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BA7D96" w:rsidP="00982C1F">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60975259" w:rsidR="005F7880" w:rsidRDefault="005D32DA" w:rsidP="00982C1F">
            <w:pPr>
              <w:pStyle w:val="TAL"/>
              <w:rPr>
                <w:lang w:eastAsia="zh-CN"/>
              </w:rPr>
            </w:pPr>
            <w:hyperlink r:id="rId11" w:history="1">
              <w:r w:rsidRPr="00FD41C9">
                <w:rPr>
                  <w:rStyle w:val="Hyperlink"/>
                  <w:rFonts w:hint="eastAsia"/>
                  <w:lang w:eastAsia="zh-CN"/>
                </w:rPr>
                <w:t>C</w:t>
              </w:r>
              <w:r w:rsidRPr="00FD41C9">
                <w:rPr>
                  <w:rStyle w:val="Hyperlink"/>
                  <w:lang w:eastAsia="zh-CN"/>
                </w:rPr>
                <w:t>henli5g@vivo.com</w:t>
              </w:r>
            </w:hyperlink>
          </w:p>
        </w:tc>
      </w:tr>
      <w:tr w:rsidR="005D32DA" w14:paraId="2306B841" w14:textId="77777777" w:rsidTr="00F93253">
        <w:tc>
          <w:tcPr>
            <w:tcW w:w="1647" w:type="dxa"/>
          </w:tcPr>
          <w:p w14:paraId="4C807D74" w14:textId="7E20CE91" w:rsidR="005D32DA" w:rsidRDefault="005D32DA" w:rsidP="00982C1F">
            <w:pPr>
              <w:pStyle w:val="TAL"/>
              <w:rPr>
                <w:lang w:eastAsia="zh-CN"/>
              </w:rPr>
            </w:pPr>
            <w:r>
              <w:rPr>
                <w:lang w:eastAsia="zh-CN"/>
              </w:rPr>
              <w:t>BT</w:t>
            </w:r>
          </w:p>
        </w:tc>
        <w:tc>
          <w:tcPr>
            <w:tcW w:w="7415" w:type="dxa"/>
          </w:tcPr>
          <w:p w14:paraId="7859AB1F" w14:textId="2F1BA3AB" w:rsidR="005D32DA" w:rsidRDefault="005D32DA" w:rsidP="00982C1F">
            <w:pPr>
              <w:pStyle w:val="TAL"/>
              <w:rPr>
                <w:lang w:eastAsia="zh-CN"/>
              </w:rPr>
            </w:pPr>
            <w:r>
              <w:rPr>
                <w:lang w:eastAsia="zh-CN"/>
              </w:rPr>
              <w:t>salva.diazsendra@bt.com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982C1F">
        <w:tc>
          <w:tcPr>
            <w:tcW w:w="1885" w:type="dxa"/>
          </w:tcPr>
          <w:p w14:paraId="0682C686" w14:textId="77777777" w:rsidR="007A0D91" w:rsidRDefault="007A0D91" w:rsidP="00982C1F">
            <w:r>
              <w:t>Ericsson</w:t>
            </w:r>
          </w:p>
        </w:tc>
        <w:tc>
          <w:tcPr>
            <w:tcW w:w="7020" w:type="dxa"/>
          </w:tcPr>
          <w:p w14:paraId="6206A3B9" w14:textId="77777777" w:rsidR="007A0D91" w:rsidRDefault="007A0D91" w:rsidP="00982C1F">
            <w:r>
              <w:t>Similar to Qualcomm, we think there are benefits of having profiles to guide the echo system. But 3GPP seem not the best place to handle this.</w:t>
            </w:r>
          </w:p>
          <w:p w14:paraId="33C3CE05" w14:textId="77777777" w:rsidR="007A0D91" w:rsidRDefault="007A0D91" w:rsidP="00982C1F"/>
          <w:p w14:paraId="79C3592C" w14:textId="77777777" w:rsidR="007A0D91" w:rsidRDefault="007A0D91" w:rsidP="00982C1F">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982C1F"/>
          <w:p w14:paraId="158A28BC" w14:textId="77777777" w:rsidR="007A0D91" w:rsidRDefault="007A0D91" w:rsidP="00982C1F">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lastRenderedPageBreak/>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r>
              <w:t>Futurewei</w:t>
            </w:r>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t>
            </w:r>
            <w:proofErr w:type="spellStart"/>
            <w:r>
              <w:t>wayforward</w:t>
            </w:r>
            <w:proofErr w:type="spellEnd"/>
            <w:r>
              <w:t xml:space="preserve"> in 3GPP, we could consider also applying basic FG to URLLC, with possibilities of including relations among UE capabilities as more and more enhancements are introduced in various releases.  </w:t>
            </w:r>
          </w:p>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lastRenderedPageBreak/>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lastRenderedPageBreak/>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xml:space="preserve">) is not expected to be kept up to date but instead only captures a snapshot of the capabilities. We are fine to add Rel-16 features to this TR, however we should not attempt to keep this </w:t>
            </w:r>
            <w:r>
              <w:rPr>
                <w:lang w:eastAsia="zh-CN"/>
              </w:rPr>
              <w:lastRenderedPageBreak/>
              <w:t>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lastRenderedPageBreak/>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EF4E08" w:rsidRDefault="00AF024E" w:rsidP="00781081">
            <w:pPr>
              <w:rPr>
                <w:rFonts w:eastAsia="MS Mincho"/>
                <w:lang w:val="fr-FR"/>
              </w:rPr>
            </w:pPr>
            <w:r w:rsidRPr="00EF4E08">
              <w:rPr>
                <w:rFonts w:eastAsia="MS Mincho"/>
                <w:lang w:val="fr-FR"/>
              </w:rPr>
              <w:t>Intel (</w:t>
            </w:r>
            <w:proofErr w:type="spellStart"/>
            <w:r w:rsidRPr="00EF4E08">
              <w:rPr>
                <w:rFonts w:eastAsia="MS Mincho"/>
                <w:lang w:val="fr-FR"/>
              </w:rPr>
              <w:t>proponent</w:t>
            </w:r>
            <w:proofErr w:type="spellEnd"/>
            <w:r w:rsidRPr="00EF4E08">
              <w:rPr>
                <w:rFonts w:eastAsia="MS Mincho"/>
                <w:lang w:val="fr-FR"/>
              </w:rPr>
              <w:t xml:space="preserve">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w:t>
            </w:r>
            <w:r>
              <w:rPr>
                <w:rFonts w:eastAsia="MS Mincho"/>
              </w:rPr>
              <w:lastRenderedPageBreak/>
              <w:t xml:space="preserve">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lastRenderedPageBreak/>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982C1F">
        <w:tc>
          <w:tcPr>
            <w:tcW w:w="1885" w:type="dxa"/>
          </w:tcPr>
          <w:p w14:paraId="363C2C73" w14:textId="77777777" w:rsidR="007A0D91" w:rsidRDefault="007A0D91" w:rsidP="00982C1F">
            <w:r>
              <w:t>Ericsson</w:t>
            </w:r>
          </w:p>
        </w:tc>
        <w:tc>
          <w:tcPr>
            <w:tcW w:w="7020" w:type="dxa"/>
          </w:tcPr>
          <w:p w14:paraId="3D820F38" w14:textId="77777777" w:rsidR="007A0D91" w:rsidRDefault="007A0D91" w:rsidP="00982C1F">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781081">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781081">
        <w:tc>
          <w:tcPr>
            <w:tcW w:w="1885" w:type="dxa"/>
          </w:tcPr>
          <w:p w14:paraId="2C4ACC06" w14:textId="47316394" w:rsidR="00E55B79" w:rsidRPr="007307AF" w:rsidRDefault="00872B5C" w:rsidP="00E55B79">
            <w:pPr>
              <w:rPr>
                <w:rFonts w:eastAsia="Malgun Gothic"/>
                <w:lang w:eastAsia="ko-KR"/>
              </w:rPr>
            </w:pPr>
            <w:r>
              <w:rPr>
                <w:rFonts w:eastAsia="Malgun Gothic"/>
                <w:lang w:eastAsia="ko-KR"/>
              </w:rPr>
              <w:t>BT</w:t>
            </w:r>
          </w:p>
        </w:tc>
        <w:tc>
          <w:tcPr>
            <w:tcW w:w="7020" w:type="dxa"/>
          </w:tcPr>
          <w:p w14:paraId="13577BE9" w14:textId="77777777" w:rsidR="00E55B79" w:rsidRDefault="000B2D2B" w:rsidP="00E55B79">
            <w:r>
              <w:rPr>
                <w:rFonts w:eastAsia="Malgun Gothic"/>
                <w:lang w:eastAsia="ko-KR"/>
              </w:rPr>
              <w:t xml:space="preserve">We’re ok with moderator’s proposal pending to clarify </w:t>
            </w:r>
            <w:r w:rsidR="00F43F57">
              <w:rPr>
                <w:rFonts w:eastAsia="Malgun Gothic"/>
                <w:lang w:eastAsia="ko-KR"/>
              </w:rPr>
              <w:t xml:space="preserve">the meaning of </w:t>
            </w:r>
            <w:r w:rsidR="00F43F57" w:rsidRPr="00747FF8">
              <w:t>small “corrections”</w:t>
            </w:r>
            <w:r w:rsidR="00F43F57">
              <w:t>.</w:t>
            </w:r>
          </w:p>
          <w:p w14:paraId="4C81BE1F" w14:textId="5E6BBDA6" w:rsidR="00967A7D" w:rsidRPr="007307AF" w:rsidRDefault="00967A7D" w:rsidP="00E55B79">
            <w:pPr>
              <w:rPr>
                <w:rFonts w:eastAsia="Malgun Gothic"/>
                <w:lang w:eastAsia="ko-KR"/>
              </w:rPr>
            </w:pPr>
            <w:r>
              <w:t>We agree with ZTE</w:t>
            </w:r>
            <w:r w:rsidR="00BF37BF">
              <w:t xml:space="preserve"> proposing </w:t>
            </w:r>
            <w:r w:rsidR="00BF37BF">
              <w:rPr>
                <w:rFonts w:eastAsia="MS Mincho"/>
              </w:rPr>
              <w:t>TR38.822</w:t>
            </w:r>
            <w:r w:rsidR="00BF37BF">
              <w:rPr>
                <w:rFonts w:eastAsia="MS Mincho"/>
              </w:rPr>
              <w:t xml:space="preserve"> should be</w:t>
            </w:r>
            <w:r w:rsidR="00BF37BF">
              <w:rPr>
                <w:rFonts w:eastAsia="MS Mincho"/>
              </w:rPr>
              <w:t xml:space="preserve"> consistent with</w:t>
            </w:r>
            <w:r w:rsidR="00BF37BF">
              <w:rPr>
                <w:rFonts w:eastAsia="MS Mincho"/>
              </w:rPr>
              <w:t xml:space="preserve"> </w:t>
            </w:r>
            <w:r w:rsidR="00AB09A4">
              <w:rPr>
                <w:rFonts w:eastAsia="MS Mincho"/>
              </w:rPr>
              <w:t xml:space="preserve">TS </w:t>
            </w:r>
            <w:r w:rsidR="00BF37BF">
              <w:rPr>
                <w:rFonts w:eastAsia="MS Mincho"/>
              </w:rPr>
              <w:t>3</w:t>
            </w:r>
            <w:r w:rsidR="00BF37BF">
              <w:rPr>
                <w:rFonts w:eastAsia="MS Mincho"/>
              </w:rPr>
              <w:t>8.306</w:t>
            </w:r>
            <w:r w:rsidR="00ED5C40">
              <w:rPr>
                <w:rFonts w:eastAsia="MS Mincho"/>
              </w:rPr>
              <w:t xml:space="preserve"> and</w:t>
            </w:r>
            <w:r w:rsidR="00350847">
              <w:rPr>
                <w:rFonts w:eastAsia="MS Mincho"/>
              </w:rPr>
              <w:t xml:space="preserve"> </w:t>
            </w:r>
            <w:r w:rsidR="00BF37BF">
              <w:rPr>
                <w:rFonts w:eastAsia="MS Mincho"/>
              </w:rPr>
              <w:t>RAN1</w:t>
            </w:r>
            <w:r w:rsidR="00AB09A4">
              <w:rPr>
                <w:rFonts w:eastAsia="MS Mincho"/>
              </w:rPr>
              <w:t>, RAN2 and RAN</w:t>
            </w:r>
            <w:r w:rsidR="00BF37BF">
              <w:rPr>
                <w:rFonts w:eastAsia="MS Mincho"/>
              </w:rPr>
              <w:t>4 feature list</w:t>
            </w:r>
            <w:r w:rsidR="00ED5C40">
              <w:rPr>
                <w:rFonts w:eastAsia="MS Mincho"/>
              </w:rPr>
              <w:t>. T</w:t>
            </w:r>
            <w:r w:rsidR="00E02A2C">
              <w:rPr>
                <w:rFonts w:eastAsia="MS Mincho"/>
              </w:rPr>
              <w:t xml:space="preserve">hat </w:t>
            </w:r>
            <w:r w:rsidR="00681BBF">
              <w:rPr>
                <w:rFonts w:eastAsia="MS Mincho"/>
              </w:rPr>
              <w:t>includ</w:t>
            </w:r>
            <w:r w:rsidR="00E02A2C">
              <w:rPr>
                <w:rFonts w:eastAsia="MS Mincho"/>
              </w:rPr>
              <w:t>es</w:t>
            </w:r>
            <w:r w:rsidR="00681BBF">
              <w:rPr>
                <w:rFonts w:eastAsia="MS Mincho"/>
              </w:rPr>
              <w:t xml:space="preserve"> the </w:t>
            </w:r>
            <w:r w:rsidR="0078383C">
              <w:rPr>
                <w:rFonts w:eastAsia="MS Mincho"/>
              </w:rPr>
              <w:t>FG</w:t>
            </w:r>
            <w:r w:rsidR="0078383C">
              <w:rPr>
                <w:rFonts w:eastAsia="MS Mincho"/>
              </w:rPr>
              <w:t xml:space="preserve"> </w:t>
            </w:r>
            <w:r w:rsidR="0078383C">
              <w:rPr>
                <w:rFonts w:eastAsia="MS Mincho"/>
              </w:rPr>
              <w:t>numbering in the RAN1</w:t>
            </w:r>
            <w:r w:rsidR="0078383C">
              <w:rPr>
                <w:rFonts w:eastAsia="MS Mincho"/>
              </w:rPr>
              <w:t xml:space="preserve"> and RAN</w:t>
            </w:r>
            <w:r w:rsidR="0078383C">
              <w:rPr>
                <w:rFonts w:eastAsia="MS Mincho"/>
              </w:rPr>
              <w:t xml:space="preserve">4 feature lists </w:t>
            </w:r>
            <w:r w:rsidR="0078383C">
              <w:rPr>
                <w:rFonts w:eastAsia="MS Mincho"/>
              </w:rPr>
              <w:t>as noted by Nokia</w:t>
            </w:r>
            <w:r w:rsidR="00E02A2C">
              <w:rPr>
                <w:rFonts w:eastAsia="MS Mincho"/>
              </w:rPr>
              <w:t>.</w:t>
            </w: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lastRenderedPageBreak/>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9CF53" w14:textId="77777777" w:rsidR="00BA7D96" w:rsidRDefault="00BA7D96" w:rsidP="000274E9">
      <w:pPr>
        <w:spacing w:after="0"/>
      </w:pPr>
      <w:r>
        <w:separator/>
      </w:r>
    </w:p>
  </w:endnote>
  <w:endnote w:type="continuationSeparator" w:id="0">
    <w:p w14:paraId="346D57B4" w14:textId="77777777" w:rsidR="00BA7D96" w:rsidRDefault="00BA7D9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8621" w14:textId="77777777" w:rsidR="007175CD" w:rsidRDefault="00717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Footer"/>
    </w:pPr>
    <w:r>
      <w:rPr>
        <w:noProof/>
        <w:lang w:eastAsia="zh-CN"/>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C4ZEansgIAAEgFAAAO&#10;AAAAAAAAAAAAAAAAAC4CAABkcnMvZTJvRG9jLnhtbFBLAQItABQABgAIAAAAIQAng4KJ3gAAAAsB&#10;AAAPAAAAAAAAAAAAAAAAAAwFAABkcnMvZG93bnJldi54bWxQSwUGAAAAAAQABADzAAAAFwYAAAAA&#10;" o:allowincell="f" filled="f" stroked="f" strokeweight=".5pt">
              <v:textbox inset="20pt,0,,0">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40FA" w14:textId="77777777" w:rsidR="007175CD" w:rsidRDefault="0071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50EBD" w14:textId="77777777" w:rsidR="00BA7D96" w:rsidRDefault="00BA7D96" w:rsidP="000274E9">
      <w:pPr>
        <w:spacing w:after="0"/>
      </w:pPr>
      <w:r>
        <w:separator/>
      </w:r>
    </w:p>
  </w:footnote>
  <w:footnote w:type="continuationSeparator" w:id="0">
    <w:p w14:paraId="54061E62" w14:textId="77777777" w:rsidR="00BA7D96" w:rsidRDefault="00BA7D96" w:rsidP="00027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414E" w14:textId="77777777" w:rsidR="007175CD" w:rsidRDefault="0071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C450A" w14:textId="77777777" w:rsidR="007175CD" w:rsidRDefault="00717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5BED" w14:textId="77777777" w:rsidR="007175CD" w:rsidRDefault="0071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B2D2B"/>
    <w:rsid w:val="000C0578"/>
    <w:rsid w:val="000C5230"/>
    <w:rsid w:val="000D10C4"/>
    <w:rsid w:val="000E1E27"/>
    <w:rsid w:val="000E51FE"/>
    <w:rsid w:val="000F1B6D"/>
    <w:rsid w:val="00100216"/>
    <w:rsid w:val="00103FD0"/>
    <w:rsid w:val="00120F8D"/>
    <w:rsid w:val="0013001D"/>
    <w:rsid w:val="0014525B"/>
    <w:rsid w:val="001453C1"/>
    <w:rsid w:val="00153462"/>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77D3"/>
    <w:rsid w:val="00276878"/>
    <w:rsid w:val="00292E23"/>
    <w:rsid w:val="002942D7"/>
    <w:rsid w:val="002B3029"/>
    <w:rsid w:val="002C777A"/>
    <w:rsid w:val="002D5A97"/>
    <w:rsid w:val="002D7F9A"/>
    <w:rsid w:val="002E5BD2"/>
    <w:rsid w:val="00302688"/>
    <w:rsid w:val="003062AD"/>
    <w:rsid w:val="003068B4"/>
    <w:rsid w:val="00312032"/>
    <w:rsid w:val="00320EC5"/>
    <w:rsid w:val="00327D85"/>
    <w:rsid w:val="003344F3"/>
    <w:rsid w:val="00350847"/>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A5C3B"/>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32DA"/>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81BBF"/>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383C"/>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72B5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67A7D"/>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B09A4"/>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A7D96"/>
    <w:rsid w:val="00BB68BB"/>
    <w:rsid w:val="00BC0EF9"/>
    <w:rsid w:val="00BE467E"/>
    <w:rsid w:val="00BF37BF"/>
    <w:rsid w:val="00C147B1"/>
    <w:rsid w:val="00C23C3D"/>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02A2C"/>
    <w:rsid w:val="00E101B8"/>
    <w:rsid w:val="00E10AB3"/>
    <w:rsid w:val="00E136A8"/>
    <w:rsid w:val="00E250A8"/>
    <w:rsid w:val="00E26542"/>
    <w:rsid w:val="00E45140"/>
    <w:rsid w:val="00E46E40"/>
    <w:rsid w:val="00E55B79"/>
    <w:rsid w:val="00E62652"/>
    <w:rsid w:val="00E7361A"/>
    <w:rsid w:val="00E97D85"/>
    <w:rsid w:val="00EA6892"/>
    <w:rsid w:val="00EA690F"/>
    <w:rsid w:val="00EC1807"/>
    <w:rsid w:val="00ED2C1E"/>
    <w:rsid w:val="00ED31AB"/>
    <w:rsid w:val="00ED5C40"/>
    <w:rsid w:val="00ED72F7"/>
    <w:rsid w:val="00ED76DB"/>
    <w:rsid w:val="00EE4815"/>
    <w:rsid w:val="00EF4E08"/>
    <w:rsid w:val="00F076EA"/>
    <w:rsid w:val="00F43F57"/>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styleId="UnresolvedMention">
    <w:name w:val="Unresolved Mention"/>
    <w:basedOn w:val="DefaultParagraphFont"/>
    <w:uiPriority w:val="99"/>
    <w:semiHidden/>
    <w:unhideWhenUsed/>
    <w:rsid w:val="005D3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li5g@viv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nook.soghomonian@vodafon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4606</Words>
  <Characters>26260</Characters>
  <Application>Microsoft Office Word</Application>
  <DocSecurity>0</DocSecurity>
  <Lines>218</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Diaz Sendra,S,Salva,TLW8 R</cp:lastModifiedBy>
  <cp:revision>18</cp:revision>
  <dcterms:created xsi:type="dcterms:W3CDTF">2021-06-16T11:55:00Z</dcterms:created>
  <dcterms:modified xsi:type="dcterms:W3CDTF">2021-06-16T16:15:00Z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y fmtid="{D5CDD505-2E9C-101B-9397-08002B2CF9AE}" pid="20" name="MSIP_Label_55818d02-8d25-4bb9-b27c-e4db64670887_Enabled">
    <vt:lpwstr>true</vt:lpwstr>
  </property>
  <property fmtid="{D5CDD505-2E9C-101B-9397-08002B2CF9AE}" pid="21" name="MSIP_Label_55818d02-8d25-4bb9-b27c-e4db64670887_SetDate">
    <vt:lpwstr>2021-06-16T15:55:09Z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067c9b58-a063-47d3-9be7-658f30f78e0c</vt:lpwstr>
  </property>
  <property fmtid="{D5CDD505-2E9C-101B-9397-08002B2CF9AE}" pid="26" name="MSIP_Label_55818d02-8d25-4bb9-b27c-e4db64670887_ContentBits">
    <vt:lpwstr>0</vt:lpwstr>
  </property>
</Properties>
</file>