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Huawei, HiSilicon</w:t>
            </w:r>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Note that even with downscoping,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Huawei, HiSilicon</w:t>
            </w:r>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Similarly to many others, we also think that we should wait one more quarter to understand better the RAN2 situation, and surely we should not penalize other WIs by adding TUs for this one and taking way some form others. We thought that we can anyway use the TUs under “Others”. That was our default understanding. Then if there is any special case we can look at it (in September RAN).</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taken into account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w:t>
      </w:r>
      <w:r w:rsidR="00F6018F">
        <w:t>RP-210925</w:t>
      </w:r>
      <w:r w:rsidR="00F6018F">
        <w:t>, the labeling of previously endorsed parts from the separate RAN2 TUs excel table was changed. The RAN2 “reserve” TUs are included in the separate line “</w:t>
      </w:r>
      <w:r w:rsidR="00F6018F" w:rsidRPr="00F6018F">
        <w:t>R17 Other, 5G Bcast etc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a) Majority of companies prefers to as far as possible not impact the TU allocation of ongoing items in order to make room for not yet allocated work, and as first option make use of RAN2 reserve TUs (currently under R17 other).</w:t>
      </w:r>
    </w:p>
    <w:p w14:paraId="46C2EB89" w14:textId="58E3AD52" w:rsidR="008A7BF6" w:rsidRDefault="008A7BF6">
      <w:r>
        <w:t>b) There is interest to do down-scoping in order to secure R17.</w:t>
      </w:r>
      <w:r w:rsidR="00D54F57">
        <w:t xml:space="preserve"> As concrete proposals for down-scoping are indeed already progressed at current meeting, it is assumed that no action will be taken </w:t>
      </w:r>
      <w:r w:rsidR="00D54F57">
        <w:t>from this offline discussion</w:t>
      </w:r>
      <w:r w:rsidR="00D54F57">
        <w:t xml:space="preserve">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bookmarkStart w:id="1" w:name="_GoBack"/>
      <w:bookmarkEnd w:id="1"/>
    </w:p>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and also to measurement gap Enh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3B032D6A" w:rsidR="008847CE" w:rsidRDefault="008847CE" w:rsidP="00750879"/>
        </w:tc>
        <w:tc>
          <w:tcPr>
            <w:tcW w:w="7406" w:type="dxa"/>
          </w:tcPr>
          <w:p w14:paraId="30EEDD27" w14:textId="62503B63" w:rsidR="008847CE" w:rsidRDefault="008847CE" w:rsidP="00750879"/>
        </w:tc>
      </w:tr>
      <w:tr w:rsidR="008847CE" w14:paraId="1936B50E" w14:textId="77777777" w:rsidTr="00750879">
        <w:tc>
          <w:tcPr>
            <w:tcW w:w="1656" w:type="dxa"/>
          </w:tcPr>
          <w:p w14:paraId="5E37B610" w14:textId="7A5A7B4B" w:rsidR="008847CE" w:rsidRDefault="008847CE" w:rsidP="00750879"/>
        </w:tc>
        <w:tc>
          <w:tcPr>
            <w:tcW w:w="7406" w:type="dxa"/>
          </w:tcPr>
          <w:p w14:paraId="1A5064C6" w14:textId="03F21D4B" w:rsidR="008847CE" w:rsidRDefault="008847CE" w:rsidP="00750879"/>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750879">
            <w:pPr>
              <w:pStyle w:val="ListParagraph"/>
              <w:numPr>
                <w:ilvl w:val="0"/>
                <w:numId w:val="4"/>
              </w:numPr>
              <w:ind w:firstLineChars="0"/>
            </w:pPr>
          </w:p>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58E777A8" w14:textId="77777777" w:rsidR="008847CE" w:rsidRDefault="008847CE"/>
    <w:p w14:paraId="42E65B59" w14:textId="77777777" w:rsidR="008847CE" w:rsidRDefault="008847CE"/>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w:t>
      </w:r>
      <w:r>
        <w:t>itial</w:t>
      </w:r>
      <w:r>
        <w:t xml:space="preserve">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t>Huawei, HiSilicon</w:t>
            </w:r>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w:t>
      </w:r>
      <w:r w:rsidR="007622BE">
        <w:t>Measurement Gap Enhancement</w:t>
      </w:r>
      <w:r w:rsidR="007622BE">
        <w:t xml:space="preserve"> add 0.5 TU per meeting from</w:t>
      </w:r>
      <w:r>
        <w:t xml:space="preserve"> Nov in RAN2. Revisit in RP 93, correlate with actual progress in RAN4, and take action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38CE5D37" w:rsidR="008847CE" w:rsidRDefault="008847CE" w:rsidP="00750879"/>
        </w:tc>
        <w:tc>
          <w:tcPr>
            <w:tcW w:w="7406" w:type="dxa"/>
          </w:tcPr>
          <w:p w14:paraId="2C835740" w14:textId="2B495F00" w:rsidR="008847CE" w:rsidRDefault="008847CE" w:rsidP="00750879"/>
        </w:tc>
      </w:tr>
      <w:tr w:rsidR="008847CE" w14:paraId="26D0CED1" w14:textId="77777777" w:rsidTr="00750879">
        <w:tc>
          <w:tcPr>
            <w:tcW w:w="1656" w:type="dxa"/>
          </w:tcPr>
          <w:p w14:paraId="19634B06" w14:textId="77777777" w:rsidR="008847CE" w:rsidRDefault="008847CE" w:rsidP="00750879"/>
        </w:tc>
        <w:tc>
          <w:tcPr>
            <w:tcW w:w="7406" w:type="dxa"/>
          </w:tcPr>
          <w:p w14:paraId="1141DD3B" w14:textId="77777777" w:rsidR="008847CE" w:rsidRDefault="008847CE" w:rsidP="00750879"/>
        </w:tc>
      </w:tr>
      <w:tr w:rsidR="008847CE" w14:paraId="7295195C" w14:textId="77777777" w:rsidTr="00750879">
        <w:tc>
          <w:tcPr>
            <w:tcW w:w="1656" w:type="dxa"/>
          </w:tcPr>
          <w:p w14:paraId="339AEC1D" w14:textId="77777777" w:rsidR="008847CE" w:rsidRDefault="008847CE" w:rsidP="00750879"/>
        </w:tc>
        <w:tc>
          <w:tcPr>
            <w:tcW w:w="7406" w:type="dxa"/>
          </w:tcPr>
          <w:p w14:paraId="5960D340" w14:textId="77777777" w:rsidR="008847CE" w:rsidRDefault="008847CE" w:rsidP="00750879"/>
        </w:tc>
      </w:tr>
      <w:tr w:rsidR="008847CE" w14:paraId="34F1DF5E" w14:textId="77777777" w:rsidTr="00750879">
        <w:tc>
          <w:tcPr>
            <w:tcW w:w="1656" w:type="dxa"/>
          </w:tcPr>
          <w:p w14:paraId="5CFAD9D4" w14:textId="77777777" w:rsidR="008847CE" w:rsidRDefault="008847CE" w:rsidP="00750879">
            <w:pPr>
              <w:rPr>
                <w:lang w:eastAsia="zh-CN"/>
              </w:rPr>
            </w:pPr>
          </w:p>
        </w:tc>
        <w:tc>
          <w:tcPr>
            <w:tcW w:w="7406" w:type="dxa"/>
          </w:tcPr>
          <w:p w14:paraId="1E837A27" w14:textId="77777777" w:rsidR="008847CE" w:rsidRDefault="008847CE" w:rsidP="00750879">
            <w:pPr>
              <w:pStyle w:val="ListParagraph"/>
              <w:numPr>
                <w:ilvl w:val="0"/>
                <w:numId w:val="4"/>
              </w:numPr>
              <w:ind w:firstLineChars="0"/>
            </w:pP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22FD36FB" w14:textId="77777777" w:rsidR="008847CE" w:rsidRDefault="008847CE" w:rsidP="00DE1739"/>
    <w:p w14:paraId="731CDA5E" w14:textId="77777777" w:rsidR="00DE1739" w:rsidRDefault="00DE1739" w:rsidP="00DE1739">
      <w:pPr>
        <w:pStyle w:val="Heading2"/>
      </w:pPr>
      <w:r>
        <w:t>Other WIs</w:t>
      </w:r>
    </w:p>
    <w:p w14:paraId="46BFE5DB" w14:textId="6445096C" w:rsidR="005748E2" w:rsidRPr="005748E2" w:rsidRDefault="005748E2" w:rsidP="005748E2">
      <w:pPr>
        <w:pStyle w:val="Heading3"/>
      </w:pPr>
      <w:r>
        <w:t>I</w:t>
      </w:r>
      <w:r>
        <w:t>nitial</w:t>
      </w:r>
      <w:r>
        <w:t xml:space="preserve">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WIs. It will </w:t>
            </w:r>
            <w:r w:rsidR="00CB01B7">
              <w:t xml:space="preserve">initially </w:t>
            </w:r>
            <w:r>
              <w:t>be allocated the equivalent of 0.5</w:t>
            </w:r>
            <w:r w:rsidR="00CB01B7">
              <w:t>-1</w:t>
            </w:r>
            <w:r>
              <w:t xml:space="preserve"> TU, taken from the common Pool of Chairman-m</w:t>
            </w:r>
            <w:r w:rsidR="00CB01B7">
              <w:t xml:space="preserve">gmt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r w:rsidRPr="00BB13AD">
              <w:rPr>
                <w:b/>
              </w:rPr>
              <w:t>feMIMO</w:t>
            </w:r>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Coverage Enh</w:t>
            </w:r>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tdocs in R2. </w:t>
            </w:r>
          </w:p>
        </w:tc>
      </w:tr>
      <w:tr w:rsidR="005748E2" w14:paraId="30CD7F69" w14:textId="77777777" w:rsidTr="00750879">
        <w:tc>
          <w:tcPr>
            <w:tcW w:w="1656" w:type="dxa"/>
          </w:tcPr>
          <w:p w14:paraId="498EF765" w14:textId="580A6FF0" w:rsidR="005748E2" w:rsidRDefault="005748E2" w:rsidP="00750879"/>
        </w:tc>
        <w:tc>
          <w:tcPr>
            <w:tcW w:w="7406" w:type="dxa"/>
          </w:tcPr>
          <w:p w14:paraId="0CB5AD7E" w14:textId="77777777" w:rsidR="005748E2" w:rsidRDefault="005748E2" w:rsidP="00750879"/>
        </w:tc>
      </w:tr>
      <w:tr w:rsidR="005748E2" w14:paraId="1A562149" w14:textId="77777777" w:rsidTr="00750879">
        <w:tc>
          <w:tcPr>
            <w:tcW w:w="1656" w:type="dxa"/>
          </w:tcPr>
          <w:p w14:paraId="569DA14E" w14:textId="77777777" w:rsidR="005748E2" w:rsidRDefault="005748E2" w:rsidP="00750879"/>
        </w:tc>
        <w:tc>
          <w:tcPr>
            <w:tcW w:w="7406" w:type="dxa"/>
          </w:tcPr>
          <w:p w14:paraId="78421615" w14:textId="77777777" w:rsidR="005748E2" w:rsidRDefault="005748E2" w:rsidP="00750879"/>
        </w:tc>
      </w:tr>
      <w:tr w:rsidR="005748E2" w14:paraId="288D19C2" w14:textId="77777777" w:rsidTr="00750879">
        <w:tc>
          <w:tcPr>
            <w:tcW w:w="1656" w:type="dxa"/>
          </w:tcPr>
          <w:p w14:paraId="7547B885" w14:textId="77777777" w:rsidR="005748E2" w:rsidRDefault="005748E2" w:rsidP="00750879">
            <w:pPr>
              <w:rPr>
                <w:lang w:eastAsia="zh-CN"/>
              </w:rPr>
            </w:pPr>
          </w:p>
        </w:tc>
        <w:tc>
          <w:tcPr>
            <w:tcW w:w="7406" w:type="dxa"/>
          </w:tcPr>
          <w:p w14:paraId="5B7EBFB3" w14:textId="77777777" w:rsidR="005748E2" w:rsidRDefault="005748E2" w:rsidP="0073555C"/>
        </w:tc>
      </w:tr>
      <w:tr w:rsidR="005748E2" w14:paraId="04A755B5" w14:textId="77777777" w:rsidTr="00750879">
        <w:tc>
          <w:tcPr>
            <w:tcW w:w="1656" w:type="dxa"/>
          </w:tcPr>
          <w:p w14:paraId="4821F840" w14:textId="77777777" w:rsidR="005748E2" w:rsidRPr="00856D03" w:rsidRDefault="005748E2" w:rsidP="00750879">
            <w:pPr>
              <w:rPr>
                <w:rFonts w:eastAsia="MS Mincho"/>
              </w:rPr>
            </w:pPr>
          </w:p>
        </w:tc>
        <w:tc>
          <w:tcPr>
            <w:tcW w:w="7406" w:type="dxa"/>
          </w:tcPr>
          <w:p w14:paraId="5A3D81BF" w14:textId="77777777" w:rsidR="005748E2" w:rsidRPr="00856D03" w:rsidRDefault="005748E2" w:rsidP="00750879">
            <w:pPr>
              <w:rPr>
                <w:rFonts w:eastAsia="MS Mincho"/>
              </w:rPr>
            </w:pP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593D79CB" w14:textId="77777777" w:rsidR="005748E2" w:rsidRDefault="005748E2"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B1C84" w14:textId="77777777" w:rsidR="00034DF6" w:rsidRDefault="00034DF6" w:rsidP="000274E9">
      <w:pPr>
        <w:spacing w:after="0"/>
      </w:pPr>
      <w:r>
        <w:separator/>
      </w:r>
    </w:p>
  </w:endnote>
  <w:endnote w:type="continuationSeparator" w:id="0">
    <w:p w14:paraId="20019A5F" w14:textId="77777777" w:rsidR="00034DF6" w:rsidRDefault="00034DF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06BC2" w14:textId="77777777" w:rsidR="00034DF6" w:rsidRDefault="00034DF6" w:rsidP="000274E9">
      <w:pPr>
        <w:spacing w:after="0"/>
      </w:pPr>
      <w:r>
        <w:separator/>
      </w:r>
    </w:p>
  </w:footnote>
  <w:footnote w:type="continuationSeparator" w:id="0">
    <w:p w14:paraId="06D81CB6" w14:textId="77777777" w:rsidR="00034DF6" w:rsidRDefault="00034DF6"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34DF6"/>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100216"/>
    <w:rsid w:val="00103FD0"/>
    <w:rsid w:val="00115DBF"/>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56178"/>
    <w:rsid w:val="004769BB"/>
    <w:rsid w:val="00481C6D"/>
    <w:rsid w:val="004822A7"/>
    <w:rsid w:val="004852B3"/>
    <w:rsid w:val="00487384"/>
    <w:rsid w:val="004901C7"/>
    <w:rsid w:val="00492325"/>
    <w:rsid w:val="004B39EA"/>
    <w:rsid w:val="004F1A79"/>
    <w:rsid w:val="004F42FB"/>
    <w:rsid w:val="00502083"/>
    <w:rsid w:val="00511A97"/>
    <w:rsid w:val="005147D7"/>
    <w:rsid w:val="00551443"/>
    <w:rsid w:val="00552672"/>
    <w:rsid w:val="005549B8"/>
    <w:rsid w:val="00556425"/>
    <w:rsid w:val="005748E2"/>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D116E"/>
    <w:rsid w:val="008D3FB0"/>
    <w:rsid w:val="008D5EE7"/>
    <w:rsid w:val="008F6FAE"/>
    <w:rsid w:val="009002D9"/>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1154F"/>
    <w:rsid w:val="00A305BA"/>
    <w:rsid w:val="00A36CD6"/>
    <w:rsid w:val="00A40685"/>
    <w:rsid w:val="00A443E2"/>
    <w:rsid w:val="00A534E4"/>
    <w:rsid w:val="00A5395E"/>
    <w:rsid w:val="00A72DBD"/>
    <w:rsid w:val="00A83A46"/>
    <w:rsid w:val="00A967CC"/>
    <w:rsid w:val="00AB59E8"/>
    <w:rsid w:val="00AD284E"/>
    <w:rsid w:val="00AD2F6C"/>
    <w:rsid w:val="00AE7B7A"/>
    <w:rsid w:val="00B171A4"/>
    <w:rsid w:val="00B2426A"/>
    <w:rsid w:val="00B409B5"/>
    <w:rsid w:val="00B47036"/>
    <w:rsid w:val="00B54163"/>
    <w:rsid w:val="00B73420"/>
    <w:rsid w:val="00B75C4A"/>
    <w:rsid w:val="00BA6190"/>
    <w:rsid w:val="00BB13AD"/>
    <w:rsid w:val="00BB357F"/>
    <w:rsid w:val="00BC0EF9"/>
    <w:rsid w:val="00C058BF"/>
    <w:rsid w:val="00C1777E"/>
    <w:rsid w:val="00C205EB"/>
    <w:rsid w:val="00C33678"/>
    <w:rsid w:val="00C40517"/>
    <w:rsid w:val="00C43944"/>
    <w:rsid w:val="00C670AB"/>
    <w:rsid w:val="00C819E0"/>
    <w:rsid w:val="00C82EC5"/>
    <w:rsid w:val="00C91629"/>
    <w:rsid w:val="00C95162"/>
    <w:rsid w:val="00CB01B7"/>
    <w:rsid w:val="00CB31B2"/>
    <w:rsid w:val="00CF79C3"/>
    <w:rsid w:val="00D1108A"/>
    <w:rsid w:val="00D44844"/>
    <w:rsid w:val="00D46A0C"/>
    <w:rsid w:val="00D46A5B"/>
    <w:rsid w:val="00D47B89"/>
    <w:rsid w:val="00D54F57"/>
    <w:rsid w:val="00D576FE"/>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FE"/>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UnresolvedMention">
    <w:name w:val="Unresolved Mention"/>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4</cp:revision>
  <dcterms:created xsi:type="dcterms:W3CDTF">2021-06-15T12:20:00Z</dcterms:created>
  <dcterms:modified xsi:type="dcterms:W3CDTF">2021-06-15T13:52:00Z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