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analog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E633B6">
            <w:pPr>
              <w:spacing w:after="120"/>
              <w:rPr>
                <w:b/>
                <w:bCs/>
                <w:lang w:val="en-US" w:eastAsia="zh-CN"/>
              </w:rPr>
            </w:pPr>
            <w:r>
              <w:rPr>
                <w:b/>
                <w:bCs/>
                <w:lang w:val="en-US" w:eastAsia="zh-CN"/>
              </w:rPr>
              <w:t>Company</w:t>
            </w:r>
          </w:p>
        </w:tc>
        <w:tc>
          <w:tcPr>
            <w:tcW w:w="8286"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E633B6">
            <w:pPr>
              <w:spacing w:after="120"/>
              <w:rPr>
                <w:lang w:val="en-US" w:eastAsia="zh-CN"/>
              </w:rPr>
            </w:pPr>
            <w:r>
              <w:rPr>
                <w:lang w:val="en-US" w:eastAsia="zh-CN"/>
              </w:rPr>
              <w:t>TIM</w:t>
            </w:r>
          </w:p>
        </w:tc>
        <w:tc>
          <w:tcPr>
            <w:tcW w:w="8286"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E633B6">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E633B6">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  this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286" w:type="dxa"/>
          </w:tcPr>
          <w:p w14:paraId="74B1A0F8" w14:textId="4223DA5B" w:rsidR="008C5DF3" w:rsidRDefault="008C5DF3" w:rsidP="00E633B6">
            <w:pPr>
              <w:spacing w:after="120"/>
              <w:rPr>
                <w:lang w:val="en-US" w:eastAsia="zh-CN"/>
              </w:rPr>
            </w:pPr>
            <w:r>
              <w:rPr>
                <w:lang w:val="en-US" w:eastAsia="zh-CN"/>
              </w:rPr>
              <w:t>High Interest - this is an important feature to provide enhanced coverage, especially for our mmW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r w:rsidRPr="00521D3F">
              <w:rPr>
                <w:bCs/>
              </w:rPr>
              <w:t>RInImp-REP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We are seeing a growing market interest in Repeaters for NR and believe they are well suited for NR environments to overcome both penetration attenuation and free space attenuation. We think a standard for basic RF repeaters (including Over The Air Repeaters, Fiber Optic Repeaters, Distributed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Priority 1: FR! TDD, Priority 2: FR2 TDD, Priority 3 :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F23E90">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We agree on the current objectives but will like to point out that we believe the side information provided by the repeater with beam/timing information may have some RAN1 impact.  We believe some RAN1 work needs to be added to the wid</w:t>
            </w:r>
          </w:p>
        </w:tc>
      </w:tr>
      <w:tr w:rsidR="00FA2A54" w14:paraId="44288E83" w14:textId="77777777" w:rsidTr="00F23E90">
        <w:tc>
          <w:tcPr>
            <w:tcW w:w="1236" w:type="dxa"/>
          </w:tcPr>
          <w:p w14:paraId="14E19ECD" w14:textId="74CBB06A" w:rsidR="00FA2A54" w:rsidRDefault="00FA2A54" w:rsidP="00FA2A54">
            <w:pPr>
              <w:spacing w:after="120"/>
              <w:rPr>
                <w:lang w:val="en-US" w:eastAsia="zh-CN"/>
              </w:rPr>
            </w:pPr>
            <w:r>
              <w:rPr>
                <w:lang w:val="en-US" w:eastAsia="zh-CN"/>
              </w:rPr>
              <w:lastRenderedPageBreak/>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FA2A54" w14:paraId="52F94E38" w14:textId="77777777" w:rsidTr="00F23E90">
        <w:tc>
          <w:tcPr>
            <w:tcW w:w="1236" w:type="dxa"/>
          </w:tcPr>
          <w:p w14:paraId="62F0025E" w14:textId="77777777" w:rsidR="00FA2A54" w:rsidRDefault="00FA2A54" w:rsidP="00FA2A54">
            <w:pPr>
              <w:spacing w:after="120"/>
              <w:rPr>
                <w:lang w:val="en-US" w:eastAsia="zh-CN"/>
              </w:rPr>
            </w:pPr>
          </w:p>
        </w:tc>
        <w:tc>
          <w:tcPr>
            <w:tcW w:w="8395" w:type="dxa"/>
          </w:tcPr>
          <w:p w14:paraId="2C97B4A1" w14:textId="77777777" w:rsidR="00FA2A54" w:rsidRDefault="00FA2A54" w:rsidP="00FA2A54">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form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 n</w:t>
            </w:r>
            <w:r>
              <w:rPr>
                <w:lang w:val="en-US" w:eastAsia="zh-CN"/>
              </w:rPr>
              <w:t>eedless to say, we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F23E90">
        <w:tc>
          <w:tcPr>
            <w:tcW w:w="1236" w:type="dxa"/>
          </w:tcPr>
          <w:p w14:paraId="2076FDCD" w14:textId="0A816DA8" w:rsidR="00FA2A54" w:rsidRDefault="00FA2A54" w:rsidP="00F23E90">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bookmarkStart w:id="0" w:name="_GoBack"/>
            <w:bookmarkEnd w:id="0"/>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lastRenderedPageBreak/>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gNB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a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w:t>
            </w:r>
            <w:r>
              <w:rPr>
                <w:lang w:val="en-US"/>
              </w:rPr>
              <w:lastRenderedPageBreak/>
              <w:t>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There are RF repeaters for NR, even without 3gpp repeater specification. Together with IABs, they are part of the integreated coverage solution. However, we feel that RF repeater and IAB alone,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And of coruse,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trunwall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w:t>
            </w:r>
            <w:r>
              <w:rPr>
                <w:rFonts w:eastAsiaTheme="minorEastAsia"/>
                <w:lang w:val="en-US" w:eastAsia="zh-CN"/>
              </w:rPr>
              <w:lastRenderedPageBreak/>
              <w:t xml:space="preserve">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We agree that RF repeater in FR2 may benefit from availability of side information. However, many of the technical issues can be potentially resolved in implementation-specific manner (e.g. via detection of selected parameters or via vendor-specific signalling/configuration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gNB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w:t>
            </w:r>
            <w:r>
              <w:rPr>
                <w:lang w:val="en-US" w:eastAsia="zh-CN"/>
              </w:rPr>
              <w:lastRenderedPageBreak/>
              <w:t xml:space="preserve">gain beams can be directed to the gNB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And before running simulation, we would like to know how the smart repeater utilizes those side information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Sub-topic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We think that just an SI would push the availability of specifications to Rel.18 and this could be too late and jeopardize the timely availability of smart repeaters ; It seems there is a need for these devices that were widely used in previous generations and are beneficialfor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gNB to repeated link ?</w:t>
            </w:r>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repeater to UE link ?</w:t>
            </w:r>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repeater ?</w:t>
            </w:r>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UE ?</w:t>
            </w:r>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Timing aspects and impact on TDD synchronocity</w:t>
            </w:r>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lastRenderedPageBreak/>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converentional RF repeater – though whether or not it is easily definable is unclear. So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use(e.g. beamforming gain, number of beams, etc). Some very simple system simulation similar to what is used for co-existence </w:t>
            </w:r>
            <w:r>
              <w:rPr>
                <w:lang w:val="en-US" w:eastAsia="zh-CN"/>
              </w:rPr>
              <w:lastRenderedPageBreak/>
              <w:t>studies(e.g.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gNB/UE and IAB(mostly IAB-MT) specifications. Depending on the definition of side information, there could be some performance work related to it(e.g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ie.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  identifying scenarios, performaning SLS and identifing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lastRenderedPageBreak/>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What is the link between the gNB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We agree that other WGs need to get involved at some point. So in the SI phase, we should set a goal to miniumize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RAN1/RAN2/RAN3 should be get involved as some signalling information should be added and interferace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gNB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lastRenderedPageBreak/>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RAN1 and RAN2 work depend on the solutions and possible need for signaling, but impact to RAN1 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r>
        <w:rPr>
          <w:lang w:val="en-US" w:eastAsia="zh-CN"/>
        </w:rPr>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lastRenderedPageBreak/>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E5AB" w14:textId="77777777" w:rsidR="00A556A6" w:rsidRDefault="00A556A6" w:rsidP="001E365C">
      <w:pPr>
        <w:spacing w:after="0"/>
      </w:pPr>
      <w:r>
        <w:separator/>
      </w:r>
    </w:p>
  </w:endnote>
  <w:endnote w:type="continuationSeparator" w:id="0">
    <w:p w14:paraId="59E20D9A" w14:textId="77777777" w:rsidR="00A556A6" w:rsidRDefault="00A556A6" w:rsidP="001E365C">
      <w:pPr>
        <w:spacing w:after="0"/>
      </w:pPr>
      <w:r>
        <w:continuationSeparator/>
      </w:r>
    </w:p>
  </w:endnote>
  <w:endnote w:type="continuationNotice" w:id="1">
    <w:p w14:paraId="78AB99F6" w14:textId="77777777" w:rsidR="00A556A6" w:rsidRDefault="00A556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B73E7" w:rsidRDefault="00FB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OEMMtIAMAADgGAAAOAAAA&#10;AAAAAAAAAAAAAC4CAABkcnMvZTJvRG9jLnhtbFBLAQItABQABgAIAAAAIQBRlEOe3wAAAAsBAAAP&#10;AAAAAAAAAAAAAAAAAHoFAABkcnMvZG93bnJldi54bWxQSwUGAAAAAAQABADzAAAAhgY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B73E7" w:rsidRDefault="00FB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A87F" w14:textId="77777777" w:rsidR="00A556A6" w:rsidRDefault="00A556A6" w:rsidP="001E365C">
      <w:pPr>
        <w:spacing w:after="0"/>
      </w:pPr>
      <w:r>
        <w:separator/>
      </w:r>
    </w:p>
  </w:footnote>
  <w:footnote w:type="continuationSeparator" w:id="0">
    <w:p w14:paraId="227EBBD5" w14:textId="77777777" w:rsidR="00A556A6" w:rsidRDefault="00A556A6" w:rsidP="001E365C">
      <w:pPr>
        <w:spacing w:after="0"/>
      </w:pPr>
      <w:r>
        <w:continuationSeparator/>
      </w:r>
    </w:p>
  </w:footnote>
  <w:footnote w:type="continuationNotice" w:id="1">
    <w:p w14:paraId="48AB2B16" w14:textId="77777777" w:rsidR="00A556A6" w:rsidRDefault="00A556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B73E7" w:rsidRDefault="00FB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B73E7" w:rsidRDefault="00FB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B73E7" w:rsidRDefault="00FB7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240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E6173136-4B67-42CA-A6B3-01FBD0AC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13</Pages>
  <Words>5834</Words>
  <Characters>33259</Characters>
  <Application>Microsoft Office Word</Application>
  <DocSecurity>0</DocSecurity>
  <Lines>277</Lines>
  <Paragraphs>78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CarrionRodrigo, Inma</cp:lastModifiedBy>
  <cp:revision>5</cp:revision>
  <cp:lastPrinted>2019-04-25T01:09:00Z</cp:lastPrinted>
  <dcterms:created xsi:type="dcterms:W3CDTF">2020-10-09T16:15:00Z</dcterms:created>
  <dcterms:modified xsi:type="dcterms:W3CDTF">2020-10-09T16:22:00Z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