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495258" w:rsidP="00627206">
            <w:hyperlink r:id="rId8"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9"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eastAsia="ko-KR"/>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eastAsia="ko-KR"/>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3"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4" w:history="1">
        <w:r w:rsidR="00433C8F" w:rsidRPr="00961D5E">
          <w:rPr>
            <w:rStyle w:val="Hyperlink"/>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r w:rsidRPr="00943E78">
              <w:rPr>
                <w:i/>
                <w:iCs/>
              </w:rPr>
              <w:t>supportedBandwidthCombinationSetIntraENDC</w:t>
            </w:r>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r w:rsidRPr="007C2450">
              <w:rPr>
                <w:lang w:eastAsia="zh-CN"/>
              </w:rPr>
              <w:t>supportedBandwidthCombinationSetIntraENDC</w:t>
            </w:r>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r w:rsidRPr="00943E78">
              <w:rPr>
                <w:i/>
                <w:iCs/>
              </w:rPr>
              <w:t>supportedBandwidthCombinationSetIntraENDC</w:t>
            </w:r>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 xml:space="preserve">From our point of view, i.e. network, it is important to just have all the UE vendors align to a common understanding of the terminology, that is </w:t>
            </w:r>
            <w:r>
              <w:rPr>
                <w:lang w:eastAsia="zh-CN"/>
              </w:rPr>
              <w:t>unambiguou</w:t>
            </w:r>
            <w:r>
              <w:rPr>
                <w:lang w:eastAsia="zh-CN"/>
              </w:rPr>
              <w:t>s, so that the network may be able to align to that understanding</w:t>
            </w:r>
            <w:r w:rsidR="000B0EDA">
              <w:rPr>
                <w:lang w:eastAsia="zh-CN"/>
              </w:rPr>
              <w:t xml:space="preserve"> for the future</w:t>
            </w:r>
            <w:r>
              <w:rPr>
                <w:lang w:eastAsia="zh-CN"/>
              </w:rPr>
              <w:t>.</w:t>
            </w:r>
          </w:p>
        </w:tc>
      </w:tr>
      <w:tr w:rsidR="00B7116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B7116A" w:rsidRDefault="00B7116A" w:rsidP="00B7116A">
            <w:pPr>
              <w:pStyle w:val="TAC"/>
              <w:spacing w:before="20" w:after="20"/>
              <w:ind w:left="57" w:right="57"/>
              <w:jc w:val="left"/>
              <w:rPr>
                <w:lang w:eastAsia="zh-CN"/>
              </w:rPr>
            </w:pPr>
          </w:p>
        </w:tc>
      </w:tr>
      <w:tr w:rsidR="00B7116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B7116A" w:rsidRDefault="00B7116A" w:rsidP="00B7116A">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r w:rsidR="009550DF">
              <w:t>s</w:t>
            </w:r>
            <w:r w:rsidR="001B2E9B" w:rsidRPr="00943E78">
              <w:rPr>
                <w:i/>
                <w:iCs/>
              </w:rPr>
              <w:t>upportedBandwidthCombinationSetIntraENDC</w:t>
            </w:r>
            <w:r w:rsidR="001B2E9B">
              <w:rPr>
                <w:iCs/>
              </w:rPr>
              <w:t xml:space="preserve"> is not reported the combination is inter-band EN-DC.</w:t>
            </w:r>
          </w:p>
        </w:tc>
      </w:tr>
      <w:tr w:rsidR="00941400"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bookmarkStart w:id="0" w:name="_GoBack"/>
            <w:bookmarkEnd w:id="0"/>
          </w:p>
        </w:tc>
        <w:tc>
          <w:tcPr>
            <w:tcW w:w="6942" w:type="dxa"/>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B7116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B7116A" w:rsidRDefault="00B7116A" w:rsidP="00B7116A">
            <w:pPr>
              <w:pStyle w:val="TAC"/>
              <w:spacing w:before="20" w:after="20"/>
              <w:ind w:left="57" w:right="57"/>
              <w:jc w:val="left"/>
              <w:rPr>
                <w:lang w:eastAsia="zh-CN"/>
              </w:rPr>
            </w:pPr>
          </w:p>
        </w:tc>
      </w:tr>
      <w:tr w:rsidR="00B7116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B7116A" w:rsidRDefault="00B7116A" w:rsidP="00B7116A">
            <w:pPr>
              <w:pStyle w:val="TAC"/>
              <w:spacing w:before="20" w:after="20"/>
              <w:ind w:left="57" w:right="57"/>
              <w:jc w:val="left"/>
              <w:rPr>
                <w:lang w:eastAsia="zh-CN"/>
              </w:rPr>
            </w:pPr>
          </w:p>
        </w:tc>
      </w:tr>
      <w:tr w:rsidR="00B7116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B7116A" w:rsidRDefault="00B7116A" w:rsidP="00B7116A">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r>
              <w:rPr>
                <w:lang w:eastAsia="zh-CN"/>
              </w:rPr>
              <w:t>Futurewei</w:t>
            </w:r>
          </w:p>
        </w:tc>
        <w:tc>
          <w:tcPr>
            <w:tcW w:w="7225" w:type="dxa"/>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Suggested way forward from Huawei and Futurewei seems reasonable.</w:t>
            </w:r>
          </w:p>
        </w:tc>
      </w:tr>
      <w:tr w:rsidR="00B7116A"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B7116A"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B7116A" w:rsidRDefault="00B7116A" w:rsidP="00B7116A">
            <w:pPr>
              <w:pStyle w:val="TAC"/>
              <w:spacing w:before="20" w:after="20"/>
              <w:ind w:left="57" w:right="57"/>
              <w:jc w:val="left"/>
              <w:rPr>
                <w:lang w:eastAsia="zh-CN"/>
              </w:rPr>
            </w:pPr>
          </w:p>
        </w:tc>
      </w:tr>
      <w:tr w:rsidR="00B7116A"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B7116A" w:rsidRDefault="00B7116A" w:rsidP="00B7116A">
            <w:pPr>
              <w:pStyle w:val="TAC"/>
              <w:spacing w:before="20" w:after="20"/>
              <w:ind w:left="57" w:right="57"/>
              <w:jc w:val="left"/>
              <w:rPr>
                <w:lang w:eastAsia="zh-CN"/>
              </w:rPr>
            </w:pPr>
          </w:p>
        </w:tc>
      </w:tr>
      <w:tr w:rsidR="00B7116A"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B7116A" w:rsidRDefault="00B7116A" w:rsidP="00B7116A">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26A4" w14:textId="77777777" w:rsidR="00E325D8" w:rsidRDefault="00E325D8">
      <w:r>
        <w:separator/>
      </w:r>
    </w:p>
  </w:endnote>
  <w:endnote w:type="continuationSeparator" w:id="0">
    <w:p w14:paraId="08FE3C19" w14:textId="77777777" w:rsidR="00E325D8" w:rsidRDefault="00E325D8">
      <w:r>
        <w:continuationSeparator/>
      </w:r>
    </w:p>
  </w:endnote>
  <w:endnote w:type="continuationNotice" w:id="1">
    <w:p w14:paraId="65E291C7" w14:textId="77777777" w:rsidR="00E325D8" w:rsidRDefault="00E325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6A9F" w14:textId="77777777" w:rsidR="00E325D8" w:rsidRDefault="00E325D8">
      <w:r>
        <w:separator/>
      </w:r>
    </w:p>
  </w:footnote>
  <w:footnote w:type="continuationSeparator" w:id="0">
    <w:p w14:paraId="3780F575" w14:textId="77777777" w:rsidR="00E325D8" w:rsidRDefault="00E325D8">
      <w:r>
        <w:continuationSeparator/>
      </w:r>
    </w:p>
  </w:footnote>
  <w:footnote w:type="continuationNotice" w:id="1">
    <w:p w14:paraId="0B807C44" w14:textId="77777777" w:rsidR="00E325D8" w:rsidRDefault="00E325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6557"/>
    <w:rsid w:val="00023C40"/>
    <w:rsid w:val="00033397"/>
    <w:rsid w:val="000340D4"/>
    <w:rsid w:val="00037049"/>
    <w:rsid w:val="00040095"/>
    <w:rsid w:val="00061C7B"/>
    <w:rsid w:val="00073C9C"/>
    <w:rsid w:val="00080512"/>
    <w:rsid w:val="00090468"/>
    <w:rsid w:val="00094568"/>
    <w:rsid w:val="000B0EDA"/>
    <w:rsid w:val="000B7BCF"/>
    <w:rsid w:val="000C522B"/>
    <w:rsid w:val="000D58AB"/>
    <w:rsid w:val="00112F1A"/>
    <w:rsid w:val="00145075"/>
    <w:rsid w:val="00164985"/>
    <w:rsid w:val="001741A0"/>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5258"/>
    <w:rsid w:val="00496F49"/>
    <w:rsid w:val="004A1F7B"/>
    <w:rsid w:val="004C44D2"/>
    <w:rsid w:val="004D3578"/>
    <w:rsid w:val="004D380D"/>
    <w:rsid w:val="004E213A"/>
    <w:rsid w:val="004E6DBA"/>
    <w:rsid w:val="004F5216"/>
    <w:rsid w:val="00501AC8"/>
    <w:rsid w:val="00501C23"/>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23655"/>
    <w:rsid w:val="00936071"/>
    <w:rsid w:val="009376CD"/>
    <w:rsid w:val="00940212"/>
    <w:rsid w:val="00941400"/>
    <w:rsid w:val="00942EC2"/>
    <w:rsid w:val="00943E78"/>
    <w:rsid w:val="009550DF"/>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482A"/>
    <w:rsid w:val="00B27303"/>
    <w:rsid w:val="00B47FD1"/>
    <w:rsid w:val="00B516BB"/>
    <w:rsid w:val="00B7116A"/>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E05D20"/>
    <w:rsid w:val="00E31A4B"/>
    <w:rsid w:val="00E325D8"/>
    <w:rsid w:val="00E416C1"/>
    <w:rsid w:val="00E46C08"/>
    <w:rsid w:val="00E471CF"/>
    <w:rsid w:val="00E62835"/>
    <w:rsid w:val="00E77645"/>
    <w:rsid w:val="00E83697"/>
    <w:rsid w:val="00E86664"/>
    <w:rsid w:val="00EA66C9"/>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17270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2020-12-08T05:20:00Z</dcterms:created>
  <dcterms:modified xsi:type="dcterms:W3CDTF">2020-12-08T11:09:00Z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ies>
</file>