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a6"/>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w:t>
      </w:r>
      <w:proofErr w:type="gramStart"/>
      <w:r w:rsidR="00627206" w:rsidRPr="00627206">
        <w:rPr>
          <w:rFonts w:ascii="Arial" w:hAnsi="Arial" w:cs="Arial"/>
          <w:b/>
          <w:bCs/>
          <w:sz w:val="24"/>
        </w:rPr>
        <w:t>E][</w:t>
      </w:r>
      <w:proofErr w:type="gramEnd"/>
      <w:r w:rsidR="00627206" w:rsidRPr="00627206">
        <w:rPr>
          <w:rFonts w:ascii="Arial" w:hAnsi="Arial" w:cs="Arial"/>
          <w:b/>
          <w:bCs/>
          <w:sz w:val="24"/>
        </w:rPr>
        <w:t>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ab"/>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0B3D68" w:rsidP="00627206">
            <w:hyperlink r:id="rId8" w:history="1">
              <w:r w:rsidR="005A75FF">
                <w:rPr>
                  <w:rStyle w:val="a6"/>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ab"/>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w:t>
            </w:r>
            <w:proofErr w:type="gramStart"/>
            <w:r w:rsidRPr="008562A2">
              <w:t>e][</w:t>
            </w:r>
            <w:proofErr w:type="gramEnd"/>
            <w:r w:rsidRPr="008562A2">
              <w:t>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9" w:history="1">
        <w:r w:rsidR="005A75FF">
          <w:rPr>
            <w:rStyle w:val="a6"/>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a6"/>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3" w:history="1">
        <w:r w:rsidR="00433C8F" w:rsidRPr="00961D5E">
          <w:rPr>
            <w:rStyle w:val="a6"/>
            <w:sz w:val="21"/>
            <w:szCs w:val="21"/>
            <w:lang w:eastAsia="zh-CN"/>
          </w:rPr>
          <w:t>R2-2002390</w:t>
        </w:r>
      </w:hyperlink>
      <w:r w:rsidR="00433C8F" w:rsidRPr="00961D5E">
        <w:rPr>
          <w:sz w:val="21"/>
          <w:szCs w:val="21"/>
          <w:lang w:eastAsia="zh-CN"/>
        </w:rPr>
        <w:t xml:space="preserve"> &amp; </w:t>
      </w:r>
      <w:hyperlink r:id="rId14" w:history="1">
        <w:r w:rsidR="00433C8F" w:rsidRPr="00961D5E">
          <w:rPr>
            <w:rStyle w:val="a6"/>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a6"/>
          </w:rPr>
          <w:t>RP-202514</w:t>
        </w:r>
      </w:hyperlink>
      <w:r>
        <w:t xml:space="preserve"> </w:t>
      </w:r>
      <w:r w:rsidR="00BC4900">
        <w:t xml:space="preserve">makes the following observations and one </w:t>
      </w:r>
      <w:r>
        <w:t>proposal based on those:</w:t>
      </w:r>
    </w:p>
    <w:tbl>
      <w:tblPr>
        <w:tblStyle w:val="ab"/>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763A9A2" w:rsidR="0044550C" w:rsidRDefault="00A77D5B" w:rsidP="00084B6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0B3EDDA" w:rsidR="0044550C" w:rsidRDefault="00A77D5B" w:rsidP="00084B6D">
            <w:pPr>
              <w:pStyle w:val="TAC"/>
              <w:spacing w:before="20" w:after="20"/>
              <w:ind w:left="57" w:right="57"/>
              <w:jc w:val="left"/>
              <w:rPr>
                <w:lang w:eastAsia="zh-CN"/>
              </w:rPr>
            </w:pPr>
            <w:proofErr w:type="gramStart"/>
            <w:r>
              <w:rPr>
                <w:lang w:eastAsia="zh-CN"/>
              </w:rPr>
              <w:t>Generally</w:t>
            </w:r>
            <w:proofErr w:type="gramEnd"/>
            <w:r>
              <w:rPr>
                <w:lang w:eastAsia="zh-CN"/>
              </w:rPr>
              <w:t xml:space="preserve"> we agree with Apple, however we should discuss this issue in RAN2 group. </w:t>
            </w: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lastRenderedPageBreak/>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E416C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2145D58D" w:rsidR="00E416C1" w:rsidRDefault="00A77D5B" w:rsidP="00E416C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68300F17" w:rsidR="00E416C1" w:rsidRDefault="00A77D5B" w:rsidP="00E416C1">
            <w:pPr>
              <w:pStyle w:val="TAC"/>
              <w:spacing w:before="20" w:after="20"/>
              <w:ind w:left="57" w:right="57"/>
              <w:jc w:val="left"/>
              <w:rPr>
                <w:lang w:eastAsia="zh-CN"/>
              </w:rPr>
            </w:pPr>
            <w:r>
              <w:rPr>
                <w:lang w:eastAsia="zh-CN"/>
              </w:rPr>
              <w:t xml:space="preserve">We agree with T-Mobile USA. </w:t>
            </w:r>
          </w:p>
        </w:tc>
      </w:tr>
      <w:tr w:rsidR="00E416C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E416C1" w:rsidRDefault="00E416C1" w:rsidP="00E416C1">
            <w:pPr>
              <w:pStyle w:val="TAC"/>
              <w:spacing w:before="20" w:after="20"/>
              <w:ind w:left="57" w:right="57"/>
              <w:jc w:val="left"/>
              <w:rPr>
                <w:lang w:eastAsia="zh-CN"/>
              </w:rPr>
            </w:pPr>
          </w:p>
        </w:tc>
      </w:tr>
      <w:tr w:rsidR="00E416C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E416C1" w:rsidRDefault="00E416C1" w:rsidP="00E416C1">
            <w:pPr>
              <w:pStyle w:val="TAC"/>
              <w:spacing w:before="20" w:after="20"/>
              <w:ind w:left="57" w:right="57"/>
              <w:jc w:val="left"/>
              <w:rPr>
                <w:lang w:eastAsia="zh-CN"/>
              </w:rPr>
            </w:pPr>
          </w:p>
        </w:tc>
      </w:tr>
      <w:tr w:rsidR="00E416C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E416C1" w:rsidRDefault="00E416C1" w:rsidP="00E416C1">
            <w:pPr>
              <w:pStyle w:val="TAC"/>
              <w:spacing w:before="20" w:after="20"/>
              <w:ind w:left="57" w:right="57"/>
              <w:jc w:val="left"/>
              <w:rPr>
                <w:lang w:eastAsia="zh-CN"/>
              </w:rPr>
            </w:pPr>
          </w:p>
        </w:tc>
      </w:tr>
      <w:tr w:rsidR="00E416C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E416C1" w:rsidRDefault="00E416C1" w:rsidP="00E416C1">
            <w:pPr>
              <w:pStyle w:val="TAC"/>
              <w:spacing w:before="20" w:after="20"/>
              <w:ind w:left="57" w:right="57"/>
              <w:jc w:val="left"/>
              <w:rPr>
                <w:lang w:eastAsia="zh-CN"/>
              </w:rPr>
            </w:pPr>
          </w:p>
        </w:tc>
      </w:tr>
      <w:tr w:rsidR="00E416C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E416C1" w:rsidRDefault="00E416C1" w:rsidP="00E416C1">
            <w:pPr>
              <w:pStyle w:val="TAC"/>
              <w:spacing w:before="20" w:after="20"/>
              <w:ind w:left="57" w:right="57"/>
              <w:jc w:val="left"/>
              <w:rPr>
                <w:lang w:eastAsia="zh-CN"/>
              </w:rPr>
            </w:pPr>
          </w:p>
        </w:tc>
      </w:tr>
      <w:tr w:rsidR="00E416C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E416C1" w:rsidRDefault="00E416C1" w:rsidP="00E416C1">
            <w:pPr>
              <w:pStyle w:val="TAC"/>
              <w:spacing w:before="20" w:after="20"/>
              <w:ind w:left="57" w:right="57"/>
              <w:jc w:val="left"/>
              <w:rPr>
                <w:lang w:eastAsia="zh-CN"/>
              </w:rPr>
            </w:pPr>
          </w:p>
        </w:tc>
      </w:tr>
      <w:tr w:rsidR="00E416C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E416C1" w:rsidRDefault="00E416C1" w:rsidP="00E416C1">
            <w:pPr>
              <w:pStyle w:val="TAC"/>
              <w:spacing w:before="20" w:after="20"/>
              <w:ind w:left="57" w:right="57"/>
              <w:jc w:val="left"/>
              <w:rPr>
                <w:lang w:eastAsia="zh-CN"/>
              </w:rPr>
            </w:pPr>
          </w:p>
        </w:tc>
      </w:tr>
      <w:tr w:rsidR="00E416C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E416C1" w:rsidRDefault="00E416C1" w:rsidP="00E416C1">
            <w:pPr>
              <w:pStyle w:val="TAC"/>
              <w:spacing w:before="20" w:after="20"/>
              <w:ind w:left="57" w:right="57"/>
              <w:jc w:val="left"/>
              <w:rPr>
                <w:lang w:eastAsia="zh-CN"/>
              </w:rPr>
            </w:pPr>
          </w:p>
        </w:tc>
      </w:tr>
      <w:tr w:rsidR="00E416C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E416C1" w:rsidRDefault="00E416C1" w:rsidP="00E416C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E416C1" w:rsidRDefault="00E416C1" w:rsidP="00E416C1">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A77D5B"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18EFFD6C" w:rsidR="00A77D5B" w:rsidRDefault="00A77D5B" w:rsidP="00A77D5B">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7F34966E" w14:textId="45ECB9D2" w:rsidR="00A77D5B" w:rsidRDefault="00A77D5B" w:rsidP="00A77D5B">
            <w:pPr>
              <w:pStyle w:val="TAC"/>
              <w:spacing w:before="20" w:after="20"/>
              <w:ind w:left="57" w:right="57"/>
              <w:jc w:val="left"/>
              <w:rPr>
                <w:lang w:eastAsia="zh-CN"/>
              </w:rPr>
            </w:pPr>
            <w:r>
              <w:rPr>
                <w:lang w:eastAsia="zh-CN"/>
              </w:rPr>
              <w:t>We agree with T-Mobile USA.</w:t>
            </w: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3C38DCD" w:rsidR="00D20496" w:rsidRDefault="00A77D5B" w:rsidP="00C35F09">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7AF7391F" w14:textId="19BD5C25" w:rsidR="00D20496" w:rsidRDefault="00A77D5B" w:rsidP="00A77D5B">
            <w:pPr>
              <w:pStyle w:val="TAC"/>
              <w:spacing w:before="20" w:after="20"/>
              <w:ind w:right="57"/>
              <w:jc w:val="left"/>
              <w:rPr>
                <w:lang w:eastAsia="zh-CN"/>
              </w:rPr>
            </w:pPr>
            <w:r>
              <w:rPr>
                <w:lang w:eastAsia="zh-CN"/>
              </w:rPr>
              <w:t xml:space="preserve"> Xiaodong Yang</w:t>
            </w:r>
          </w:p>
        </w:tc>
        <w:tc>
          <w:tcPr>
            <w:tcW w:w="4391" w:type="dxa"/>
            <w:tcBorders>
              <w:top w:val="single" w:sz="4" w:space="0" w:color="auto"/>
              <w:left w:val="single" w:sz="4" w:space="0" w:color="auto"/>
              <w:bottom w:val="single" w:sz="4" w:space="0" w:color="auto"/>
              <w:right w:val="single" w:sz="4" w:space="0" w:color="auto"/>
            </w:tcBorders>
          </w:tcPr>
          <w:p w14:paraId="79575F68" w14:textId="1F0941B3" w:rsidR="00D20496" w:rsidRDefault="00A77D5B" w:rsidP="00C35F09">
            <w:pPr>
              <w:pStyle w:val="TAC"/>
              <w:spacing w:before="20" w:after="20"/>
              <w:ind w:left="57" w:right="57"/>
              <w:jc w:val="left"/>
              <w:rPr>
                <w:lang w:eastAsia="zh-CN"/>
              </w:rPr>
            </w:pPr>
            <w:r>
              <w:rPr>
                <w:lang w:eastAsia="zh-CN"/>
              </w:rPr>
              <w:t>Yangxiaodong5g@vivo.com</w:t>
            </w:r>
            <w:bookmarkStart w:id="0" w:name="_GoBack"/>
            <w:bookmarkEnd w:id="0"/>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FB4A" w14:textId="77777777" w:rsidR="000B3D68" w:rsidRDefault="000B3D68">
      <w:r>
        <w:separator/>
      </w:r>
    </w:p>
  </w:endnote>
  <w:endnote w:type="continuationSeparator" w:id="0">
    <w:p w14:paraId="2E78F666" w14:textId="77777777" w:rsidR="000B3D68" w:rsidRDefault="000B3D68">
      <w:r>
        <w:continuationSeparator/>
      </w:r>
    </w:p>
  </w:endnote>
  <w:endnote w:type="continuationNotice" w:id="1">
    <w:p w14:paraId="757DC933" w14:textId="77777777" w:rsidR="000B3D68" w:rsidRDefault="000B3D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FDFF" w14:textId="77777777" w:rsidR="000B3D68" w:rsidRDefault="000B3D68">
      <w:r>
        <w:separator/>
      </w:r>
    </w:p>
  </w:footnote>
  <w:footnote w:type="continuationSeparator" w:id="0">
    <w:p w14:paraId="6F51E866" w14:textId="77777777" w:rsidR="000B3D68" w:rsidRDefault="000B3D68">
      <w:r>
        <w:continuationSeparator/>
      </w:r>
    </w:p>
  </w:footnote>
  <w:footnote w:type="continuationNotice" w:id="1">
    <w:p w14:paraId="1C719DD4" w14:textId="77777777" w:rsidR="000B3D68" w:rsidRDefault="000B3D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3D68"/>
    <w:rsid w:val="000B7BCF"/>
    <w:rsid w:val="000C522B"/>
    <w:rsid w:val="000D58AB"/>
    <w:rsid w:val="00112F1A"/>
    <w:rsid w:val="00145075"/>
    <w:rsid w:val="001741A0"/>
    <w:rsid w:val="00175FA0"/>
    <w:rsid w:val="00194CD0"/>
    <w:rsid w:val="001A7C99"/>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77D5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900"/>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6346"/>
    <w:rsid w:val="00EE32C4"/>
    <w:rsid w:val="00EE3DF9"/>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2020-12-07T22:37:00Z</dcterms:created>
  <dcterms:modified xsi:type="dcterms:W3CDTF">2020-12-08T02:04:00Z</dcterms:modified>
  <cp:category/>
</cp:coreProperties>
</file>