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Heading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w:t>
            </w:r>
            <w:proofErr w:type="spellStart"/>
            <w:r w:rsidRPr="00987E32">
              <w:rPr>
                <w:b/>
                <w:bCs/>
              </w:rPr>
              <w:t>Seunghoon</w:t>
            </w:r>
            <w:proofErr w:type="spellEnd"/>
            <w:r w:rsidRPr="00987E32">
              <w:rPr>
                <w:b/>
                <w:bCs/>
              </w:rPr>
              <w:t>)</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 xml:space="preserve">FFS: how to decide whether FDD or TDD capabilities apply to SUL/SDL including </w:t>
            </w:r>
            <w:proofErr w:type="gramStart"/>
            <w:r w:rsidRPr="00987E32">
              <w:rPr>
                <w:lang w:eastAsia="zh-CN"/>
              </w:rPr>
              <w:t>whether or not</w:t>
            </w:r>
            <w:proofErr w:type="gramEnd"/>
            <w:r w:rsidRPr="00987E32">
              <w:rPr>
                <w:lang w:eastAsia="zh-CN"/>
              </w:rPr>
              <w:t xml:space="preserve"> to add common or dedicated </w:t>
            </w:r>
            <w:proofErr w:type="spellStart"/>
            <w:r w:rsidRPr="00987E32">
              <w:rPr>
                <w:lang w:eastAsia="zh-CN"/>
              </w:rPr>
              <w:t>signaling</w:t>
            </w:r>
            <w:proofErr w:type="spellEnd"/>
            <w:r w:rsidRPr="00987E32">
              <w:rPr>
                <w:lang w:eastAsia="zh-CN"/>
              </w:rPr>
              <w:t xml:space="preserve"> of semi-static DL/UL configuration for SUL/SDL</w:t>
            </w:r>
          </w:p>
        </w:tc>
      </w:tr>
      <w:tr w:rsidR="00A8127F" w:rsidRPr="00E63A89" w14:paraId="331F028B" w14:textId="77777777" w:rsidTr="00A8127F">
        <w:tc>
          <w:tcPr>
            <w:tcW w:w="1351" w:type="dxa"/>
          </w:tcPr>
          <w:p w14:paraId="322709E4" w14:textId="7DECE107" w:rsidR="00A8127F" w:rsidRDefault="00A8127F" w:rsidP="00A8127F">
            <w:pPr>
              <w:pStyle w:val="TAL"/>
            </w:pPr>
          </w:p>
        </w:tc>
        <w:tc>
          <w:tcPr>
            <w:tcW w:w="7203" w:type="dxa"/>
          </w:tcPr>
          <w:p w14:paraId="5F96B15C" w14:textId="70EAE1FF" w:rsidR="00A8127F" w:rsidRDefault="00A8127F" w:rsidP="00A8127F">
            <w:pPr>
              <w:pStyle w:val="TAL"/>
            </w:pP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r w:rsidRPr="007A4A45">
        <w:t>per UE capabilit</w:t>
      </w:r>
      <w:r>
        <w:t>y</w:t>
      </w:r>
      <w:r w:rsidRPr="007A4A45">
        <w:t xml:space="preserve"> related to SUL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w:t>
            </w:r>
            <w:proofErr w:type="spellStart"/>
            <w:r>
              <w:rPr>
                <w:lang w:eastAsia="zh-CN"/>
              </w:rPr>
              <w:t>xDD</w:t>
            </w:r>
            <w:proofErr w:type="spellEnd"/>
            <w:r>
              <w:rPr>
                <w:lang w:eastAsia="zh-CN"/>
              </w:rPr>
              <w:t xml:space="preserve"> differentiated have been converted to ‘per band’, this resolved the issue being discussed. However, we </w:t>
            </w:r>
            <w:proofErr w:type="gramStart"/>
            <w:r>
              <w:rPr>
                <w:lang w:eastAsia="zh-CN"/>
              </w:rPr>
              <w:t>didn’t</w:t>
            </w:r>
            <w:proofErr w:type="gramEnd"/>
            <w:r>
              <w:rPr>
                <w:lang w:eastAsia="zh-CN"/>
              </w:rPr>
              <w:t xml:space="preserve"> agree with the view that this solved the issue. The above (purple) RAN1 conclusion applies not only to per UE capabilities that are </w:t>
            </w:r>
            <w:proofErr w:type="spellStart"/>
            <w:r>
              <w:rPr>
                <w:lang w:eastAsia="zh-CN"/>
              </w:rPr>
              <w:t>xDD</w:t>
            </w:r>
            <w:proofErr w:type="spellEnd"/>
            <w:r>
              <w:rPr>
                <w:lang w:eastAsia="zh-CN"/>
              </w:rPr>
              <w:t xml:space="preserve">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w:t>
            </w:r>
            <w:proofErr w:type="gramStart"/>
            <w:r>
              <w:rPr>
                <w:lang w:eastAsia="zh-CN"/>
              </w:rPr>
              <w:t>and also</w:t>
            </w:r>
            <w:proofErr w:type="gramEnd"/>
            <w:r>
              <w:rPr>
                <w:lang w:eastAsia="zh-CN"/>
              </w:rPr>
              <w:t xml:space="preserve"> that it supports SUL in an SUL band overlapping with a TDD band then with the above (purple) conclusion, or with the Intel proposal above, the interpretation is that the UE must support CLI measurement in that SUL band, which I don’t believe represent the common view. </w:t>
            </w:r>
            <w:proofErr w:type="gramStart"/>
            <w:r>
              <w:rPr>
                <w:lang w:eastAsia="zh-CN"/>
              </w:rPr>
              <w:t>So</w:t>
            </w:r>
            <w:proofErr w:type="gramEnd"/>
            <w:r>
              <w:rPr>
                <w:lang w:eastAsia="zh-CN"/>
              </w:rPr>
              <w:t xml:space="preserve">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FC2CE5" w14:paraId="3B3F534E" w14:textId="77777777" w:rsidTr="00FC2CE5">
        <w:tc>
          <w:tcPr>
            <w:tcW w:w="1351" w:type="dxa"/>
          </w:tcPr>
          <w:p w14:paraId="75BCF1A2" w14:textId="77777777" w:rsidR="00FC2CE5" w:rsidRDefault="00FC2CE5" w:rsidP="00FC2CE5">
            <w:pPr>
              <w:pStyle w:val="TAL"/>
            </w:pPr>
          </w:p>
        </w:tc>
        <w:tc>
          <w:tcPr>
            <w:tcW w:w="7203" w:type="dxa"/>
          </w:tcPr>
          <w:p w14:paraId="6C8EBEEC" w14:textId="77777777" w:rsidR="00FC2CE5" w:rsidRDefault="00FC2CE5" w:rsidP="00FC2CE5">
            <w:pPr>
              <w:pStyle w:val="TAL"/>
            </w:pPr>
          </w:p>
        </w:tc>
      </w:tr>
      <w:tr w:rsidR="00FC2CE5" w14:paraId="35668C2A" w14:textId="77777777" w:rsidTr="00FC2CE5">
        <w:tc>
          <w:tcPr>
            <w:tcW w:w="1351" w:type="dxa"/>
          </w:tcPr>
          <w:p w14:paraId="076B9CA6" w14:textId="77777777" w:rsidR="00FC2CE5" w:rsidRDefault="00FC2CE5" w:rsidP="00FC2CE5">
            <w:pPr>
              <w:pStyle w:val="TAL"/>
            </w:pPr>
          </w:p>
        </w:tc>
        <w:tc>
          <w:tcPr>
            <w:tcW w:w="7203" w:type="dxa"/>
          </w:tcPr>
          <w:p w14:paraId="46654074" w14:textId="77777777" w:rsidR="00FC2CE5" w:rsidRDefault="00FC2CE5" w:rsidP="00FC2CE5">
            <w:pPr>
              <w:pStyle w:val="TAL"/>
              <w:rPr>
                <w:lang w:eastAsia="zh-CN"/>
              </w:rPr>
            </w:pP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F7338C" w14:paraId="0CD1355F" w14:textId="77777777" w:rsidTr="00F7338C">
        <w:tc>
          <w:tcPr>
            <w:tcW w:w="1351" w:type="dxa"/>
          </w:tcPr>
          <w:p w14:paraId="308AFE42" w14:textId="77777777" w:rsidR="00F7338C" w:rsidRDefault="00F7338C" w:rsidP="00F7338C">
            <w:pPr>
              <w:pStyle w:val="TAL"/>
            </w:pPr>
          </w:p>
        </w:tc>
        <w:tc>
          <w:tcPr>
            <w:tcW w:w="7203" w:type="dxa"/>
          </w:tcPr>
          <w:p w14:paraId="5F48F44E" w14:textId="77777777" w:rsidR="00F7338C" w:rsidRDefault="00F7338C" w:rsidP="00F7338C">
            <w:pPr>
              <w:pStyle w:val="TAL"/>
            </w:pPr>
          </w:p>
        </w:tc>
      </w:tr>
      <w:tr w:rsidR="00F7338C" w14:paraId="6A0B5DF1" w14:textId="77777777" w:rsidTr="00F7338C">
        <w:tc>
          <w:tcPr>
            <w:tcW w:w="1351" w:type="dxa"/>
          </w:tcPr>
          <w:p w14:paraId="50F9399A" w14:textId="77777777" w:rsidR="00F7338C" w:rsidRDefault="00F7338C" w:rsidP="00F7338C">
            <w:pPr>
              <w:pStyle w:val="TAL"/>
            </w:pPr>
          </w:p>
        </w:tc>
        <w:tc>
          <w:tcPr>
            <w:tcW w:w="7203" w:type="dxa"/>
          </w:tcPr>
          <w:p w14:paraId="0423BCB7" w14:textId="77777777" w:rsidR="00F7338C" w:rsidRDefault="00F7338C" w:rsidP="00F7338C">
            <w:pPr>
              <w:pStyle w:val="TAL"/>
              <w:rPr>
                <w:lang w:eastAsia="zh-CN"/>
              </w:rPr>
            </w:pPr>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Default="00627E2A" w:rsidP="00171840">
            <w:pPr>
              <w:pStyle w:val="TAL"/>
            </w:pPr>
            <w:r>
              <w:t>Seunghee Han, seunghee.han@intel.com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CE60A" w14:textId="77777777" w:rsidR="002C2DEB" w:rsidRDefault="002C2DEB">
      <w:r>
        <w:separator/>
      </w:r>
    </w:p>
  </w:endnote>
  <w:endnote w:type="continuationSeparator" w:id="0">
    <w:p w14:paraId="6B391788" w14:textId="77777777" w:rsidR="002C2DEB" w:rsidRDefault="002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0478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A5466" w14:textId="77777777" w:rsidR="002C2DEB" w:rsidRDefault="002C2DEB">
      <w:r>
        <w:separator/>
      </w:r>
    </w:p>
  </w:footnote>
  <w:footnote w:type="continuationSeparator" w:id="0">
    <w:p w14:paraId="3A2D454C" w14:textId="77777777" w:rsidR="002C2DEB" w:rsidRDefault="002C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8"/>
  </w:num>
  <w:num w:numId="6">
    <w:abstractNumId w:val="10"/>
  </w:num>
  <w:num w:numId="7">
    <w:abstractNumId w:val="6"/>
  </w:num>
  <w:num w:numId="8">
    <w:abstractNumId w:val="11"/>
  </w:num>
  <w:num w:numId="9">
    <w:abstractNumId w:val="13"/>
  </w:num>
  <w:num w:numId="10">
    <w:abstractNumId w:val="3"/>
  </w:num>
  <w:num w:numId="11">
    <w:abstractNumId w:val="5"/>
  </w:num>
  <w:num w:numId="12">
    <w:abstractNumId w:val="9"/>
  </w:num>
  <w:num w:numId="13">
    <w:abstractNumId w:val="2"/>
  </w:num>
  <w:num w:numId="14">
    <w:abstractNumId w:val="12"/>
  </w:num>
  <w:num w:numId="15">
    <w:abstractNumId w:val="4"/>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6DAB"/>
    <w:rsid w:val="000132F0"/>
    <w:rsid w:val="000167EA"/>
    <w:rsid w:val="00023D3D"/>
    <w:rsid w:val="00025C98"/>
    <w:rsid w:val="000308DF"/>
    <w:rsid w:val="00033397"/>
    <w:rsid w:val="00040095"/>
    <w:rsid w:val="00042720"/>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0851"/>
    <w:rsid w:val="002C2DEB"/>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D08"/>
    <w:rsid w:val="003A0BC1"/>
    <w:rsid w:val="003A58D6"/>
    <w:rsid w:val="003B0024"/>
    <w:rsid w:val="003E5BA4"/>
    <w:rsid w:val="00414436"/>
    <w:rsid w:val="00414589"/>
    <w:rsid w:val="00423791"/>
    <w:rsid w:val="0043437C"/>
    <w:rsid w:val="004579DC"/>
    <w:rsid w:val="0047752C"/>
    <w:rsid w:val="004A7548"/>
    <w:rsid w:val="004B001C"/>
    <w:rsid w:val="004B40F2"/>
    <w:rsid w:val="004C0B17"/>
    <w:rsid w:val="004C4C78"/>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820FD"/>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73934"/>
    <w:rsid w:val="008768CA"/>
    <w:rsid w:val="00876EC9"/>
    <w:rsid w:val="008871EE"/>
    <w:rsid w:val="00892958"/>
    <w:rsid w:val="00893A79"/>
    <w:rsid w:val="00897451"/>
    <w:rsid w:val="00897AED"/>
    <w:rsid w:val="008A211C"/>
    <w:rsid w:val="008C1B33"/>
    <w:rsid w:val="008C463D"/>
    <w:rsid w:val="008D3393"/>
    <w:rsid w:val="008E648F"/>
    <w:rsid w:val="008F0E52"/>
    <w:rsid w:val="008F1A65"/>
    <w:rsid w:val="008F32CA"/>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2474"/>
    <w:rsid w:val="00A25040"/>
    <w:rsid w:val="00A466F9"/>
    <w:rsid w:val="00A53724"/>
    <w:rsid w:val="00A619D0"/>
    <w:rsid w:val="00A6608A"/>
    <w:rsid w:val="00A7219E"/>
    <w:rsid w:val="00A8127F"/>
    <w:rsid w:val="00A82346"/>
    <w:rsid w:val="00A8707C"/>
    <w:rsid w:val="00A91493"/>
    <w:rsid w:val="00AA4DAF"/>
    <w:rsid w:val="00AB3AA5"/>
    <w:rsid w:val="00AE2616"/>
    <w:rsid w:val="00AF2FB7"/>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2371F"/>
    <w:rsid w:val="00C33079"/>
    <w:rsid w:val="00C3500F"/>
    <w:rsid w:val="00C403A6"/>
    <w:rsid w:val="00C409C0"/>
    <w:rsid w:val="00C573D3"/>
    <w:rsid w:val="00C668F1"/>
    <w:rsid w:val="00C66F3E"/>
    <w:rsid w:val="00C67308"/>
    <w:rsid w:val="00C67F49"/>
    <w:rsid w:val="00C70556"/>
    <w:rsid w:val="00C81DDA"/>
    <w:rsid w:val="00CA3D0C"/>
    <w:rsid w:val="00CA6AF2"/>
    <w:rsid w:val="00CB36E8"/>
    <w:rsid w:val="00CB733C"/>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A03E3"/>
    <w:rsid w:val="00EA2B19"/>
    <w:rsid w:val="00EA3073"/>
    <w:rsid w:val="00EB266A"/>
    <w:rsid w:val="00EB28CA"/>
    <w:rsid w:val="00EB5463"/>
    <w:rsid w:val="00EC4A25"/>
    <w:rsid w:val="00ED3648"/>
    <w:rsid w:val="00ED6A76"/>
    <w:rsid w:val="00EE58DC"/>
    <w:rsid w:val="00EF27B5"/>
    <w:rsid w:val="00F025A2"/>
    <w:rsid w:val="00F23BC2"/>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8C4"/>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列表段落,¥¡¡¡¡ì¬º¥¹¥È¶ÎÂä,ÁÐ³ö¶ÎÂä,列表段落1,—ño’i—Ž,¥ê¥¹¥È¶ÎÂä,1st level - Bullet List Paragraph,Lettre d'introduction,Paragrafo elenco,Normal bullet 2,Bullet list,목록단락,列表段落11,列出段落,列"/>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列表段落 Char,1st level - Bullet List Paragraph Char,列 Ch"/>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9F93DF98-7B82-48BD-AF34-3D9E0ED81692}">
  <ds:schemaRefs>
    <ds:schemaRef ds:uri="http://schemas.openxmlformats.org/officeDocument/2006/bibliography"/>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2387</Words>
  <Characters>11849</Characters>
  <Application>Microsoft Office Word</Application>
  <DocSecurity>0</DocSecurity>
  <Lines>98</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Manager/>
  <Company/>
  <LinksUpToDate>false</LinksUpToDate>
  <CharactersWithSpaces>14208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Peter Gaal</cp:lastModifiedBy>
  <cp:revision>13</cp:revision>
  <dcterms:created xsi:type="dcterms:W3CDTF">2020-12-09T07:41:00Z</dcterms:created>
  <dcterms:modified xsi:type="dcterms:W3CDTF">2020-12-09T08:16:00Z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