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bookmarkStart w:id="5" w:name="OLE_LINK2"/>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bookmarkEnd w:id="5"/>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b"/>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ac"/>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ac"/>
              <w:ind w:left="0"/>
            </w:pPr>
            <w:r w:rsidRPr="00987E32">
              <w:t>Update on 10/29 – deadline extended to 11/4</w:t>
            </w:r>
          </w:p>
          <w:p w14:paraId="425C0DDB" w14:textId="77777777" w:rsidR="00A8127F" w:rsidRPr="00987E32" w:rsidRDefault="00A8127F" w:rsidP="00A8127F">
            <w:pPr>
              <w:pStyle w:val="ac"/>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FFS: how to decide whether FDD or TDD capabilities apply to SUL/SDL including whether or not to add common or dedicated signaling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r w:rsidR="005C248D" w:rsidRPr="00A8524C">
              <w:rPr>
                <w:rFonts w:cs="Arial"/>
              </w:rPr>
              <w:t>L</w:t>
            </w:r>
            <w:r w:rsidR="005C248D">
              <w:rPr>
                <w:rFonts w:cs="Arial"/>
                <w:bCs/>
              </w:rPr>
              <w:t>S on UE capability xDD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6" w:name="OLE_LINK5"/>
      <w:bookmarkStart w:id="7" w:name="OLE_LINK6"/>
      <w:r w:rsidRPr="007A4A45">
        <w:t>per UE capabilit</w:t>
      </w:r>
      <w:r>
        <w:t>y</w:t>
      </w:r>
      <w:r w:rsidRPr="007A4A45">
        <w:t xml:space="preserve"> related to SUL</w:t>
      </w:r>
      <w:bookmarkEnd w:id="6"/>
      <w:bookmarkEnd w:id="7"/>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b"/>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宋体"/>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Rel-16 per-UE capabilities with xDD differentiation and FRx differentiation can be differentiated for SUL/SDL bands by "per-band” capability signaling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FFS for Rel-15 per-UE capabilities with xDD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Thus, it seems the question is for Rel-15 or Rel-17+ as Rel-16 case can be handled by per-band capability signaling.</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宋体" w:cs="Arial"/>
                <w:i/>
                <w:lang w:eastAsia="zh-CN"/>
              </w:rPr>
              <w:t>all the slots can be used as UL in this SUL band</w:t>
            </w:r>
            <w:r>
              <w:rPr>
                <w:rFonts w:eastAsia="宋体" w:cs="Arial"/>
                <w:i/>
                <w:lang w:eastAsia="zh-CN"/>
              </w:rPr>
              <w:t>”</w:t>
            </w:r>
            <w:r>
              <w:rPr>
                <w:rFonts w:eastAsia="宋体"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xDD differentiated have been converted to ‘per band’, this resolved the issue being discussed. However, we didn’t agree with the view that this solved the issue. The above (purple) RAN1 conclusion applies not only to per UE capabilities that are xDD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宋体" w:cs="Arial"/>
                <w:i/>
                <w:lang w:eastAsia="zh-CN"/>
              </w:rPr>
              <w:t>all the slots can be used as UL in this SUL band</w:t>
            </w:r>
            <w:r>
              <w:rPr>
                <w:rFonts w:eastAsia="宋体" w:cs="Arial"/>
                <w:i/>
                <w:lang w:eastAsia="zh-CN"/>
              </w:rPr>
              <w:t>”</w:t>
            </w:r>
            <w:r>
              <w:rPr>
                <w:rFonts w:eastAsia="宋体" w:cs="Arial"/>
                <w:iCs/>
                <w:lang w:eastAsia="zh-CN"/>
              </w:rPr>
              <w:t xml:space="preserve"> only applies to a specific band. Bands can be added in the future that apply to Rel-16 </w:t>
            </w:r>
            <w:r w:rsidR="00CE22E6">
              <w:rPr>
                <w:rFonts w:eastAsia="宋体" w:cs="Arial"/>
                <w:iCs/>
                <w:lang w:eastAsia="zh-CN"/>
              </w:rPr>
              <w:t>without</w:t>
            </w:r>
            <w:r>
              <w:rPr>
                <w:rFonts w:eastAsia="宋体" w:cs="Arial"/>
                <w:iCs/>
                <w:lang w:eastAsia="zh-CN"/>
              </w:rPr>
              <w:t xml:space="preserve"> hav</w:t>
            </w:r>
            <w:r w:rsidR="00CE22E6">
              <w:rPr>
                <w:rFonts w:eastAsia="宋体" w:cs="Arial"/>
                <w:iCs/>
                <w:lang w:eastAsia="zh-CN"/>
              </w:rPr>
              <w:t>ing</w:t>
            </w:r>
            <w:r>
              <w:rPr>
                <w:rFonts w:eastAsia="宋体"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PerUE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FFS: how to decide whether FDD or TDD capabilities apply to SUL/SDL including whether or not to add common or dedicated signaling of semistatic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xDD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We are fine ti support SUL as FDD for the UE capabilities with xDD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i.e. whether FDD-only capabilities should be applicable to SUL. e.g. </w:t>
            </w:r>
            <w:r>
              <w:rPr>
                <w:b/>
                <w:i/>
              </w:rPr>
              <w:t>fdd-PCellUL-TX-AllUL-Subframe-r16</w:t>
            </w:r>
          </w:p>
          <w:p w14:paraId="0292263E" w14:textId="600AB504" w:rsidR="00080841" w:rsidRPr="00080841" w:rsidRDefault="00080841" w:rsidP="00080841">
            <w:pPr>
              <w:pStyle w:val="TAL"/>
              <w:rPr>
                <w:lang w:eastAsia="zh-CN"/>
              </w:rPr>
            </w:pPr>
            <w:r>
              <w:rPr>
                <w:lang w:eastAsia="zh-CN"/>
              </w:rPr>
              <w:t>is a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b"/>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(i.e.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agreed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(i.e.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was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2"/>
      </w:pPr>
      <w:r>
        <w:t>4</w:t>
      </w:r>
      <w:r>
        <w:tab/>
        <w:t>Final round</w:t>
      </w:r>
    </w:p>
    <w:p w14:paraId="68DFC596" w14:textId="3CFFB87B" w:rsidR="000D2893" w:rsidRDefault="000D2893" w:rsidP="000D2893">
      <w:r>
        <w:t>Companies are invited to provide feedback to the m</w:t>
      </w:r>
      <w:r w:rsidRPr="000D2893">
        <w:t>oderator's conclusion from Intermediate round (1):</w:t>
      </w:r>
    </w:p>
    <w:tbl>
      <w:tblPr>
        <w:tblStyle w:val="ab"/>
        <w:tblW w:w="0" w:type="auto"/>
        <w:tblLook w:val="04A0" w:firstRow="1" w:lastRow="0" w:firstColumn="1" w:lastColumn="0" w:noHBand="0" w:noVBand="1"/>
      </w:tblPr>
      <w:tblGrid>
        <w:gridCol w:w="1351"/>
        <w:gridCol w:w="7203"/>
      </w:tblGrid>
      <w:tr w:rsidR="000D2893" w14:paraId="37542550" w14:textId="77777777" w:rsidTr="00F32BCD">
        <w:tc>
          <w:tcPr>
            <w:tcW w:w="1351" w:type="dxa"/>
          </w:tcPr>
          <w:p w14:paraId="6F99B6DD" w14:textId="77777777" w:rsidR="000D2893" w:rsidRPr="00517FD5" w:rsidRDefault="000D2893" w:rsidP="008003FE">
            <w:pPr>
              <w:pStyle w:val="TAL"/>
              <w:rPr>
                <w:b/>
                <w:bCs/>
              </w:rPr>
            </w:pPr>
            <w:r w:rsidRPr="00517FD5">
              <w:rPr>
                <w:b/>
                <w:bCs/>
              </w:rPr>
              <w:lastRenderedPageBreak/>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F32BCD">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(i.e.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F32BCD">
        <w:tc>
          <w:tcPr>
            <w:tcW w:w="1351" w:type="dxa"/>
          </w:tcPr>
          <w:p w14:paraId="27AB5718" w14:textId="6A0B8FD8"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54BCB19C" w14:textId="5E16A784" w:rsidR="000D2893" w:rsidRDefault="008072FC" w:rsidP="008003FE">
            <w:pPr>
              <w:pStyle w:val="TAL"/>
              <w:rPr>
                <w:lang w:eastAsia="zh-CN"/>
              </w:rPr>
            </w:pPr>
            <w:r>
              <w:rPr>
                <w:lang w:eastAsia="zh-CN"/>
              </w:rPr>
              <w:t xml:space="preserve">We support the moderator’s conclusion for Question 2, i.e., </w:t>
            </w:r>
          </w:p>
          <w:p w14:paraId="65F680EA" w14:textId="2099A751" w:rsidR="008072FC" w:rsidRDefault="008072FC" w:rsidP="008003FE">
            <w:pPr>
              <w:pStyle w:val="TAL"/>
              <w:rPr>
                <w:lang w:eastAsia="zh-CN"/>
              </w:rPr>
            </w:pPr>
            <w:r w:rsidRPr="008072FC">
              <w:rPr>
                <w:i/>
              </w:rPr>
              <w:t>UE Capabilities that are FDD/TDD differentiated when applied to SUL carriers are always considered FDD (i.e. in effect the capabilities are not FDD/TDD differentiated for this case). WGs (RAN1 and/or RAN2) are tasked to prepare CRs to capture this agreement</w:t>
            </w:r>
            <w:r>
              <w:t>.</w:t>
            </w:r>
          </w:p>
          <w:p w14:paraId="262565D2" w14:textId="77777777" w:rsidR="008072FC" w:rsidRDefault="008072FC" w:rsidP="008003FE">
            <w:pPr>
              <w:pStyle w:val="TAL"/>
              <w:rPr>
                <w:lang w:eastAsia="zh-CN"/>
              </w:rPr>
            </w:pPr>
          </w:p>
          <w:p w14:paraId="597EFA1F" w14:textId="4422189F" w:rsidR="008072FC" w:rsidRDefault="008072FC" w:rsidP="008003FE">
            <w:pPr>
              <w:pStyle w:val="TAL"/>
              <w:rPr>
                <w:lang w:eastAsia="zh-CN"/>
              </w:rPr>
            </w:pPr>
            <w:r>
              <w:rPr>
                <w:rFonts w:hint="eastAsia"/>
                <w:lang w:eastAsia="zh-CN"/>
              </w:rPr>
              <w:t>T</w:t>
            </w:r>
            <w:r>
              <w:rPr>
                <w:lang w:eastAsia="zh-CN"/>
              </w:rPr>
              <w:t>o Qualcomm proposed wording, we do not see the need. The moderator conclusion is already clear enough. The Capabilities differentiated by FDD/TDD applies either as FDD or as TDD. We are not sure what the additional wording implies.</w:t>
            </w:r>
          </w:p>
          <w:p w14:paraId="73390C35" w14:textId="2BD9B199" w:rsidR="008072FC" w:rsidRPr="008072FC" w:rsidRDefault="008072FC" w:rsidP="008003FE">
            <w:pPr>
              <w:pStyle w:val="TAL"/>
              <w:rPr>
                <w:lang w:eastAsia="zh-CN"/>
              </w:rPr>
            </w:pPr>
          </w:p>
        </w:tc>
      </w:tr>
      <w:tr w:rsidR="000D2893" w14:paraId="228B58A3" w14:textId="77777777" w:rsidTr="00F32BCD">
        <w:tc>
          <w:tcPr>
            <w:tcW w:w="1351" w:type="dxa"/>
          </w:tcPr>
          <w:p w14:paraId="1460531F" w14:textId="7C22361F" w:rsidR="000D2893" w:rsidRDefault="007F690A" w:rsidP="008003FE">
            <w:pPr>
              <w:pStyle w:val="TAL"/>
              <w:rPr>
                <w:lang w:eastAsia="zh-CN"/>
              </w:rPr>
            </w:pPr>
            <w:r>
              <w:rPr>
                <w:lang w:eastAsia="zh-CN"/>
              </w:rPr>
              <w:t>Intel</w:t>
            </w:r>
          </w:p>
        </w:tc>
        <w:tc>
          <w:tcPr>
            <w:tcW w:w="7203" w:type="dxa"/>
          </w:tcPr>
          <w:p w14:paraId="1FB293FC" w14:textId="77777777" w:rsidR="000D2893" w:rsidRDefault="007F690A" w:rsidP="008003FE">
            <w:pPr>
              <w:pStyle w:val="TAL"/>
              <w:rPr>
                <w:lang w:eastAsia="zh-CN"/>
              </w:rPr>
            </w:pPr>
            <w:r>
              <w:rPr>
                <w:lang w:eastAsia="zh-CN"/>
              </w:rPr>
              <w:t>Given lack of signalling for DL/UL configuration (as per the first agreement), we are fine with moderator’s conclusion.</w:t>
            </w:r>
          </w:p>
          <w:p w14:paraId="61A6B3E4" w14:textId="77777777" w:rsidR="00926873" w:rsidRDefault="00926873" w:rsidP="008003FE">
            <w:pPr>
              <w:pStyle w:val="TAL"/>
              <w:rPr>
                <w:lang w:eastAsia="zh-CN"/>
              </w:rPr>
            </w:pPr>
          </w:p>
          <w:p w14:paraId="4C6A3BF7" w14:textId="25EC8BE7" w:rsidR="00926873" w:rsidRDefault="00926873" w:rsidP="008003FE">
            <w:pPr>
              <w:pStyle w:val="TAL"/>
              <w:rPr>
                <w:lang w:eastAsia="zh-CN"/>
              </w:rPr>
            </w:pPr>
            <w:r>
              <w:rPr>
                <w:lang w:eastAsia="zh-CN"/>
              </w:rPr>
              <w:t xml:space="preserve">One other request is to clarify all those agreements will </w:t>
            </w:r>
            <w:r w:rsidR="004F2319">
              <w:rPr>
                <w:lang w:eastAsia="zh-CN"/>
              </w:rPr>
              <w:t>be applied for Rel-15/16. If there is a concern, any clarification would be appreciated.</w:t>
            </w:r>
          </w:p>
        </w:tc>
      </w:tr>
      <w:tr w:rsidR="000D2893" w14:paraId="1644024E" w14:textId="77777777" w:rsidTr="00F32BCD">
        <w:tc>
          <w:tcPr>
            <w:tcW w:w="1351" w:type="dxa"/>
          </w:tcPr>
          <w:p w14:paraId="56D419E3" w14:textId="7A5F63EC" w:rsidR="000D2893" w:rsidRPr="00314512" w:rsidRDefault="00314512" w:rsidP="008003FE">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5E0C3B18" w14:textId="79AF29DE" w:rsidR="000D2893" w:rsidRPr="00314512" w:rsidRDefault="00314512" w:rsidP="00314512">
            <w:pPr>
              <w:pStyle w:val="TAL"/>
              <w:rPr>
                <w:rFonts w:eastAsia="Malgun Gothic"/>
                <w:lang w:eastAsia="ko-KR"/>
              </w:rPr>
            </w:pPr>
            <w:r>
              <w:rPr>
                <w:rFonts w:eastAsia="Malgun Gothic" w:hint="eastAsia"/>
                <w:lang w:eastAsia="ko-KR"/>
              </w:rPr>
              <w:t>We support the moderator</w:t>
            </w:r>
            <w:r>
              <w:rPr>
                <w:rFonts w:eastAsia="Malgun Gothic"/>
                <w:lang w:eastAsia="ko-KR"/>
              </w:rPr>
              <w:t xml:space="preserve">’s conclusion. We share the similar view as Huawei and Intel that additional text for clarification from Qualcomm seems not necessary. </w:t>
            </w:r>
          </w:p>
        </w:tc>
      </w:tr>
      <w:tr w:rsidR="000D2893" w14:paraId="0BDA4401" w14:textId="77777777" w:rsidTr="00F32BCD">
        <w:tc>
          <w:tcPr>
            <w:tcW w:w="1351" w:type="dxa"/>
          </w:tcPr>
          <w:p w14:paraId="4A19241B" w14:textId="5E7824B7" w:rsidR="000D2893" w:rsidRDefault="005734BF" w:rsidP="008003FE">
            <w:pPr>
              <w:pStyle w:val="TAL"/>
              <w:rPr>
                <w:lang w:eastAsia="zh-CN"/>
              </w:rPr>
            </w:pPr>
            <w:r>
              <w:rPr>
                <w:rFonts w:hint="eastAsia"/>
                <w:lang w:eastAsia="zh-CN"/>
              </w:rPr>
              <w:t>O</w:t>
            </w:r>
            <w:r>
              <w:rPr>
                <w:lang w:eastAsia="zh-CN"/>
              </w:rPr>
              <w:t>PPO</w:t>
            </w:r>
          </w:p>
        </w:tc>
        <w:tc>
          <w:tcPr>
            <w:tcW w:w="7203" w:type="dxa"/>
          </w:tcPr>
          <w:p w14:paraId="55FF2C87" w14:textId="77777777" w:rsidR="000D2893" w:rsidRDefault="005734BF" w:rsidP="008003FE">
            <w:pPr>
              <w:pStyle w:val="TAL"/>
              <w:rPr>
                <w:lang w:eastAsia="zh-CN"/>
              </w:rPr>
            </w:pPr>
            <w:r>
              <w:rPr>
                <w:lang w:eastAsia="zh-CN"/>
              </w:rPr>
              <w:t>We are fine with moderator’s conclusion.</w:t>
            </w:r>
          </w:p>
          <w:p w14:paraId="1AE10CB5" w14:textId="77777777" w:rsidR="005734BF" w:rsidRDefault="005734BF" w:rsidP="008003FE">
            <w:pPr>
              <w:pStyle w:val="TAL"/>
              <w:rPr>
                <w:lang w:eastAsia="zh-CN"/>
              </w:rPr>
            </w:pPr>
          </w:p>
          <w:p w14:paraId="418AFB5F" w14:textId="21FFB58E" w:rsidR="005734BF" w:rsidRDefault="005734BF" w:rsidP="008003FE">
            <w:pPr>
              <w:pStyle w:val="TAL"/>
              <w:rPr>
                <w:lang w:eastAsia="zh-CN"/>
              </w:rPr>
            </w:pPr>
            <w:r>
              <w:rPr>
                <w:rFonts w:hint="eastAsia"/>
                <w:lang w:eastAsia="zh-CN"/>
              </w:rPr>
              <w:t>S</w:t>
            </w:r>
            <w:r>
              <w:rPr>
                <w:lang w:eastAsia="zh-CN"/>
              </w:rPr>
              <w:t>imilar to Intel, we believe it would be beneficial to clarify this agreement applies to Rel-15. For Rel-16, the following question addressed the possible unclear part.</w:t>
            </w:r>
          </w:p>
        </w:tc>
      </w:tr>
      <w:tr w:rsidR="000D2893" w14:paraId="3D6F42B5" w14:textId="77777777" w:rsidTr="00F32BCD">
        <w:tc>
          <w:tcPr>
            <w:tcW w:w="1351" w:type="dxa"/>
          </w:tcPr>
          <w:p w14:paraId="4F6FA1B2" w14:textId="67A04CC6" w:rsidR="000D2893" w:rsidRDefault="004E07C3" w:rsidP="008003FE">
            <w:pPr>
              <w:pStyle w:val="TAL"/>
              <w:rPr>
                <w:lang w:eastAsia="zh-CN"/>
              </w:rPr>
            </w:pPr>
            <w:r>
              <w:rPr>
                <w:rFonts w:hint="eastAsia"/>
                <w:lang w:eastAsia="zh-CN"/>
              </w:rPr>
              <w:t>CATT</w:t>
            </w:r>
          </w:p>
        </w:tc>
        <w:tc>
          <w:tcPr>
            <w:tcW w:w="7203" w:type="dxa"/>
          </w:tcPr>
          <w:p w14:paraId="089B0082" w14:textId="78B02532" w:rsidR="000D2893" w:rsidRDefault="004E07C3" w:rsidP="008E1505">
            <w:pPr>
              <w:pStyle w:val="TAL"/>
              <w:rPr>
                <w:lang w:eastAsia="zh-CN"/>
              </w:rPr>
            </w:pPr>
            <w:r>
              <w:rPr>
                <w:lang w:eastAsia="zh-CN"/>
              </w:rPr>
              <w:t>We are fine with moderator’s conclusion</w:t>
            </w:r>
            <w:r>
              <w:rPr>
                <w:rFonts w:hint="eastAsia"/>
                <w:lang w:eastAsia="zh-CN"/>
              </w:rPr>
              <w:t>.</w:t>
            </w:r>
          </w:p>
        </w:tc>
      </w:tr>
      <w:tr w:rsidR="000A24F0" w14:paraId="4455C7A5" w14:textId="77777777" w:rsidTr="00F32BCD">
        <w:tc>
          <w:tcPr>
            <w:tcW w:w="1351" w:type="dxa"/>
          </w:tcPr>
          <w:p w14:paraId="7A462422" w14:textId="26633BE6" w:rsidR="000A24F0" w:rsidRDefault="000A24F0" w:rsidP="008003FE">
            <w:pPr>
              <w:pStyle w:val="TAL"/>
              <w:rPr>
                <w:lang w:eastAsia="zh-CN"/>
              </w:rPr>
            </w:pPr>
            <w:r>
              <w:rPr>
                <w:rFonts w:hint="eastAsia"/>
                <w:lang w:eastAsia="zh-CN"/>
              </w:rPr>
              <w:t>Z</w:t>
            </w:r>
            <w:r>
              <w:rPr>
                <w:lang w:eastAsia="zh-CN"/>
              </w:rPr>
              <w:t>TE</w:t>
            </w:r>
          </w:p>
        </w:tc>
        <w:tc>
          <w:tcPr>
            <w:tcW w:w="7203" w:type="dxa"/>
          </w:tcPr>
          <w:p w14:paraId="6FE521FD" w14:textId="08CAFBE8" w:rsidR="000A24F0" w:rsidRDefault="000A24F0" w:rsidP="006F6D33">
            <w:pPr>
              <w:pStyle w:val="TAL"/>
              <w:rPr>
                <w:lang w:eastAsia="zh-CN"/>
              </w:rPr>
            </w:pPr>
            <w:r>
              <w:rPr>
                <w:rFonts w:hint="eastAsia"/>
                <w:lang w:eastAsia="zh-CN"/>
              </w:rPr>
              <w:t xml:space="preserve">We are okay with </w:t>
            </w:r>
            <w:r>
              <w:rPr>
                <w:lang w:eastAsia="zh-CN"/>
              </w:rPr>
              <w:t xml:space="preserve">the conclusion and </w:t>
            </w:r>
            <w:r>
              <w:rPr>
                <w:rFonts w:hint="eastAsia"/>
                <w:lang w:eastAsia="zh-CN"/>
              </w:rPr>
              <w:t xml:space="preserve">the additional clarification by Qualcomm since TDD-only </w:t>
            </w:r>
            <w:r>
              <w:rPr>
                <w:lang w:eastAsia="zh-CN"/>
              </w:rPr>
              <w:t xml:space="preserve">capabilities </w:t>
            </w:r>
            <w:r>
              <w:rPr>
                <w:rFonts w:hint="eastAsia"/>
                <w:lang w:eastAsia="zh-CN"/>
              </w:rPr>
              <w:t>may not be categorized</w:t>
            </w:r>
            <w:r>
              <w:rPr>
                <w:lang w:eastAsia="zh-CN"/>
              </w:rPr>
              <w:t xml:space="preserve"> as “UE capabilities that are FDD/TDD differentiated”.  </w:t>
            </w:r>
            <w:r w:rsidR="0051382B">
              <w:rPr>
                <w:lang w:eastAsia="zh-CN"/>
              </w:rPr>
              <w:t xml:space="preserve">Therefore, such clarification is useful.  </w:t>
            </w:r>
            <w:r>
              <w:rPr>
                <w:lang w:eastAsia="zh-CN"/>
              </w:rPr>
              <w:t xml:space="preserve">I don’t see </w:t>
            </w:r>
            <w:r w:rsidR="006F6D33">
              <w:rPr>
                <w:lang w:eastAsia="zh-CN"/>
              </w:rPr>
              <w:t>any</w:t>
            </w:r>
            <w:r>
              <w:rPr>
                <w:lang w:eastAsia="zh-CN"/>
              </w:rPr>
              <w:t xml:space="preserve"> reason to object this additional clarification unless companies really think TDD-only capabilities can be applicable to SUL carriers.</w:t>
            </w:r>
          </w:p>
        </w:tc>
      </w:tr>
      <w:tr w:rsidR="000150FF" w14:paraId="656D9389" w14:textId="77777777" w:rsidTr="000150FF">
        <w:tc>
          <w:tcPr>
            <w:tcW w:w="1351" w:type="dxa"/>
          </w:tcPr>
          <w:p w14:paraId="7666B191" w14:textId="77777777" w:rsidR="000150FF" w:rsidRDefault="000150FF" w:rsidP="00EA1A7F">
            <w:pPr>
              <w:pStyle w:val="TAL"/>
              <w:rPr>
                <w:lang w:eastAsia="zh-CN"/>
              </w:rPr>
            </w:pPr>
            <w:r w:rsidRPr="008117D6">
              <w:rPr>
                <w:highlight w:val="yellow"/>
                <w:lang w:eastAsia="zh-CN"/>
              </w:rPr>
              <w:t>Moderator</w:t>
            </w:r>
          </w:p>
        </w:tc>
        <w:tc>
          <w:tcPr>
            <w:tcW w:w="7203" w:type="dxa"/>
          </w:tcPr>
          <w:p w14:paraId="5CB6F7B1" w14:textId="77777777" w:rsidR="000150FF" w:rsidRDefault="000150FF" w:rsidP="00EA1A7F">
            <w:pPr>
              <w:pStyle w:val="TAL"/>
              <w:rPr>
                <w:lang w:eastAsia="zh-CN"/>
              </w:rPr>
            </w:pPr>
            <w:r>
              <w:rPr>
                <w:lang w:eastAsia="zh-CN"/>
              </w:rPr>
              <w:t>I have 2 comments to try to help resolve this discussion</w:t>
            </w:r>
          </w:p>
          <w:p w14:paraId="7249306B" w14:textId="77777777" w:rsidR="000150FF" w:rsidRDefault="000150FF" w:rsidP="00EA1A7F">
            <w:pPr>
              <w:pStyle w:val="TAL"/>
              <w:rPr>
                <w:lang w:eastAsia="zh-CN"/>
              </w:rPr>
            </w:pPr>
          </w:p>
          <w:p w14:paraId="7CD36105" w14:textId="77777777" w:rsidR="000150FF" w:rsidRDefault="000150FF" w:rsidP="00EA1A7F">
            <w:pPr>
              <w:pStyle w:val="TAL"/>
              <w:rPr>
                <w:lang w:eastAsia="zh-CN"/>
              </w:rPr>
            </w:pPr>
            <w:r>
              <w:rPr>
                <w:lang w:eastAsia="zh-CN"/>
              </w:rPr>
              <w:t>1/ I understand the additional sentence proposed from Qualcomm not related to the UE Capabilities that are FDD/TDD differentiated - i.e. it is not attempting to further clarify the text in the moderator's proposal. It is a separate point about UE capabilities that are TDD only and the question is whether these TDD only capabilities can apply to SUL carriers. With this in mind I would like ask if companies have comments on that additional sentence.</w:t>
            </w:r>
          </w:p>
          <w:p w14:paraId="543DE93D" w14:textId="77777777" w:rsidR="000150FF" w:rsidRDefault="000150FF" w:rsidP="00EA1A7F">
            <w:pPr>
              <w:pStyle w:val="TAL"/>
              <w:rPr>
                <w:lang w:eastAsia="zh-CN"/>
              </w:rPr>
            </w:pPr>
          </w:p>
          <w:p w14:paraId="66299CB4" w14:textId="77777777" w:rsidR="000150FF" w:rsidRDefault="000150FF" w:rsidP="00EA1A7F">
            <w:pPr>
              <w:pStyle w:val="TAL"/>
              <w:rPr>
                <w:lang w:eastAsia="zh-CN"/>
              </w:rPr>
            </w:pPr>
            <w:r>
              <w:rPr>
                <w:lang w:eastAsia="zh-CN"/>
              </w:rPr>
              <w:t xml:space="preserve">2/ Regarding the Rel-15/Rel-16 question my understanding is that this applies to both Rel-15 and Rel-16 (and onwards). The </w:t>
            </w:r>
            <w:r w:rsidRPr="008117D6">
              <w:rPr>
                <w:lang w:eastAsia="zh-CN"/>
              </w:rPr>
              <w:t>UE Capabilities that are FDD/TDD differentiated</w:t>
            </w:r>
            <w:r>
              <w:rPr>
                <w:lang w:eastAsia="zh-CN"/>
              </w:rPr>
              <w:t xml:space="preserve"> that we are talking about exist in both Rel-15 and Rel-16 specs, so I cannot see how the conclusion could only be applicable to Rel-15. </w:t>
            </w:r>
          </w:p>
        </w:tc>
      </w:tr>
      <w:tr w:rsidR="00461E16" w14:paraId="3C403353" w14:textId="77777777" w:rsidTr="000150FF">
        <w:tc>
          <w:tcPr>
            <w:tcW w:w="1351" w:type="dxa"/>
          </w:tcPr>
          <w:p w14:paraId="5D1D3361" w14:textId="50F8866D" w:rsidR="00461E16" w:rsidRPr="008117D6" w:rsidRDefault="00461E16" w:rsidP="00EA1A7F">
            <w:pPr>
              <w:pStyle w:val="TAL"/>
              <w:rPr>
                <w:highlight w:val="yellow"/>
                <w:lang w:eastAsia="zh-CN"/>
              </w:rPr>
            </w:pPr>
            <w:r>
              <w:rPr>
                <w:rFonts w:hint="eastAsia"/>
                <w:highlight w:val="yellow"/>
                <w:lang w:eastAsia="zh-CN"/>
              </w:rPr>
              <w:t>H</w:t>
            </w:r>
            <w:r>
              <w:rPr>
                <w:highlight w:val="yellow"/>
                <w:lang w:eastAsia="zh-CN"/>
              </w:rPr>
              <w:t>uawei</w:t>
            </w:r>
          </w:p>
        </w:tc>
        <w:tc>
          <w:tcPr>
            <w:tcW w:w="7203" w:type="dxa"/>
          </w:tcPr>
          <w:p w14:paraId="125CB5E5" w14:textId="77777777" w:rsidR="00461E16" w:rsidRDefault="00461E16" w:rsidP="00461E16">
            <w:pPr>
              <w:pStyle w:val="TAL"/>
              <w:rPr>
                <w:lang w:eastAsia="zh-CN"/>
              </w:rPr>
            </w:pPr>
            <w:r>
              <w:rPr>
                <w:lang w:eastAsia="zh-CN"/>
              </w:rPr>
              <w:t>Regarding whether these TDD only capabilities can apply to SUL carriers,</w:t>
            </w:r>
          </w:p>
          <w:p w14:paraId="09BACA04" w14:textId="10FEC94C" w:rsidR="00461E16" w:rsidRDefault="00461E16" w:rsidP="00461E16">
            <w:pPr>
              <w:pStyle w:val="TAL"/>
              <w:rPr>
                <w:lang w:eastAsia="zh-CN"/>
              </w:rPr>
            </w:pPr>
            <w:r>
              <w:rPr>
                <w:lang w:eastAsia="zh-CN"/>
              </w:rPr>
              <w:t>[Answer]: in Rel-15 and Rel-16, these TDD only capabilities cannot apply to SUL carriers. For the feature</w:t>
            </w:r>
            <w:r w:rsidR="00CA1A29">
              <w:rPr>
                <w:lang w:eastAsia="zh-CN"/>
              </w:rPr>
              <w:t>s</w:t>
            </w:r>
            <w:r>
              <w:rPr>
                <w:lang w:eastAsia="zh-CN"/>
              </w:rPr>
              <w:t xml:space="preserve"> in future release, more discussion is needed case by case.</w:t>
            </w:r>
          </w:p>
          <w:p w14:paraId="5DE4BB4A" w14:textId="77777777" w:rsidR="00461E16" w:rsidRDefault="00461E16" w:rsidP="00461E16">
            <w:pPr>
              <w:pStyle w:val="TAL"/>
              <w:rPr>
                <w:lang w:eastAsia="zh-CN"/>
              </w:rPr>
            </w:pPr>
          </w:p>
          <w:p w14:paraId="2AF1FCCC" w14:textId="3DE809DD" w:rsidR="00461E16" w:rsidRDefault="00461E16" w:rsidP="00461E16">
            <w:pPr>
              <w:pStyle w:val="TAL"/>
              <w:rPr>
                <w:lang w:eastAsia="zh-CN"/>
              </w:rPr>
            </w:pPr>
            <w:r>
              <w:rPr>
                <w:lang w:eastAsia="zh-CN"/>
              </w:rPr>
              <w:t xml:space="preserve">Regarding </w:t>
            </w:r>
            <w:r w:rsidR="00CA1A29">
              <w:rPr>
                <w:lang w:eastAsia="zh-CN"/>
              </w:rPr>
              <w:t>release</w:t>
            </w:r>
          </w:p>
          <w:p w14:paraId="4448E9DA" w14:textId="13431EBC" w:rsidR="00461E16" w:rsidRPr="00461E16" w:rsidRDefault="00CA1A29" w:rsidP="00CA1A29">
            <w:pPr>
              <w:pStyle w:val="TAL"/>
              <w:rPr>
                <w:lang w:eastAsia="zh-CN"/>
              </w:rPr>
            </w:pPr>
            <w:r>
              <w:rPr>
                <w:lang w:eastAsia="zh-CN"/>
              </w:rPr>
              <w:t>[Answer]: The conclusion applies to Rel-15 and</w:t>
            </w:r>
            <w:r w:rsidR="00461E16">
              <w:rPr>
                <w:lang w:eastAsia="zh-CN"/>
              </w:rPr>
              <w:t xml:space="preserve"> Rel-16</w:t>
            </w:r>
            <w:r>
              <w:rPr>
                <w:lang w:eastAsia="zh-CN"/>
              </w:rPr>
              <w:t>. In the future, maybe the per-UE capability would be differentiated by FDD, TDD, SUL and SDL. The conclusion may not apply for future release. So we do not need apply conclusion for beyond Rel-16.</w:t>
            </w:r>
          </w:p>
        </w:tc>
        <w:bookmarkStart w:id="8" w:name="_GoBack"/>
        <w:bookmarkEnd w:id="8"/>
      </w:tr>
    </w:tbl>
    <w:p w14:paraId="53A3A803" w14:textId="54F8E979" w:rsidR="000D2893" w:rsidRDefault="000D2893" w:rsidP="000D2893"/>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ab"/>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lastRenderedPageBreak/>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5330EA9B"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2B2ED9E2" w14:textId="0C6FD999" w:rsidR="000D2893" w:rsidRDefault="008072FC" w:rsidP="008003FE">
            <w:pPr>
              <w:pStyle w:val="TAL"/>
              <w:rPr>
                <w:lang w:eastAsia="zh-CN"/>
              </w:rPr>
            </w:pPr>
            <w:r>
              <w:rPr>
                <w:rFonts w:hint="eastAsia"/>
                <w:lang w:eastAsia="zh-CN"/>
              </w:rPr>
              <w:t>T</w:t>
            </w:r>
            <w:r>
              <w:rPr>
                <w:lang w:eastAsia="zh-CN"/>
              </w:rPr>
              <w:t xml:space="preserve">he similar topic was extensively discussed in previous RAN4 meetings. If the experts looked at the CR in </w:t>
            </w:r>
            <w:r w:rsidRPr="005668D4">
              <w:rPr>
                <w:lang w:eastAsia="zh-CN"/>
              </w:rPr>
              <w:t>R4-2014330</w:t>
            </w:r>
            <w:r>
              <w:rPr>
                <w:lang w:eastAsia="zh-CN"/>
              </w:rPr>
              <w:t>, the compromise has already been reached:</w:t>
            </w:r>
          </w:p>
          <w:p w14:paraId="3F69860C" w14:textId="77777777" w:rsidR="008072FC" w:rsidRDefault="008072FC" w:rsidP="008003FE">
            <w:pPr>
              <w:pStyle w:val="TAL"/>
              <w:rPr>
                <w:lang w:eastAsia="zh-CN"/>
              </w:rPr>
            </w:pPr>
          </w:p>
          <w:p w14:paraId="5C388A66" w14:textId="2FDD6A26" w:rsidR="008072FC" w:rsidRPr="006576DB" w:rsidRDefault="008072FC" w:rsidP="008072FC">
            <w:pPr>
              <w:pStyle w:val="TAL"/>
              <w:rPr>
                <w:i/>
              </w:rPr>
            </w:pPr>
            <w:r w:rsidRPr="006576DB">
              <w:rPr>
                <w:i/>
              </w:rPr>
              <w:t xml:space="preserve">NOTE 15: </w:t>
            </w:r>
            <w:r w:rsidRPr="008072FC">
              <w:rPr>
                <w:i/>
                <w:highlight w:val="yellow"/>
              </w:rPr>
              <w:t>The requirements for this band</w:t>
            </w:r>
            <w:r w:rsidRPr="008072FC">
              <w:t xml:space="preserve"> (referring to SUL operation)</w:t>
            </w:r>
            <w:r w:rsidRPr="008072FC">
              <w:rPr>
                <w:i/>
              </w:rPr>
              <w:t xml:space="preserve"> </w:t>
            </w:r>
            <w:r w:rsidRPr="008072FC">
              <w:rPr>
                <w:i/>
                <w:highlight w:val="yellow"/>
              </w:rPr>
              <w:t>are applicable only where no other NR or E-UTRA TDD operating band(s) are used within the frequency range of this band in the same geographical area.</w:t>
            </w:r>
            <w:r w:rsidRPr="006576DB">
              <w:rPr>
                <w:i/>
              </w:rPr>
              <w:t xml:space="preserve"> For scenarios where other NR or E-UTRA TDD operating band(s) are used within the frequency range of this band in the same geographical area, special co-existence requirements may apply that are not covered by the 3GPP specifications.</w:t>
            </w:r>
          </w:p>
          <w:p w14:paraId="4E48571F" w14:textId="77777777" w:rsidR="008072FC" w:rsidRDefault="008072FC" w:rsidP="008003FE">
            <w:pPr>
              <w:pStyle w:val="TAL"/>
              <w:rPr>
                <w:lang w:eastAsia="zh-CN"/>
              </w:rPr>
            </w:pPr>
          </w:p>
          <w:p w14:paraId="3D55A7B5" w14:textId="77334B01" w:rsidR="008072FC" w:rsidRPr="008072FC" w:rsidRDefault="008072FC" w:rsidP="008003FE">
            <w:pPr>
              <w:pStyle w:val="TAL"/>
              <w:rPr>
                <w:lang w:eastAsia="zh-CN"/>
              </w:rPr>
            </w:pPr>
            <w:r>
              <w:rPr>
                <w:rFonts w:hint="eastAsia"/>
                <w:lang w:eastAsia="zh-CN"/>
              </w:rPr>
              <w:t>T</w:t>
            </w:r>
            <w:r>
              <w:rPr>
                <w:lang w:eastAsia="zh-CN"/>
              </w:rPr>
              <w:t>he proposed wording above is almost the same as the original proposed wording in RAN4 meeting. After extensive discussions the above compromise was reached.</w:t>
            </w:r>
          </w:p>
          <w:p w14:paraId="08001548" w14:textId="74B3A787" w:rsidR="008072FC" w:rsidRPr="008072FC" w:rsidRDefault="008072FC" w:rsidP="008003FE">
            <w:pPr>
              <w:pStyle w:val="TAL"/>
              <w:rPr>
                <w:lang w:eastAsia="zh-CN"/>
              </w:rPr>
            </w:pPr>
          </w:p>
        </w:tc>
      </w:tr>
      <w:tr w:rsidR="000D2893" w14:paraId="1340CC96" w14:textId="77777777" w:rsidTr="003C2369">
        <w:tc>
          <w:tcPr>
            <w:tcW w:w="1351" w:type="dxa"/>
          </w:tcPr>
          <w:p w14:paraId="7400652C" w14:textId="1A0986D4" w:rsidR="000D2893" w:rsidRDefault="004F2319" w:rsidP="008003FE">
            <w:pPr>
              <w:pStyle w:val="TAL"/>
              <w:rPr>
                <w:lang w:eastAsia="zh-CN"/>
              </w:rPr>
            </w:pPr>
            <w:r>
              <w:rPr>
                <w:lang w:eastAsia="zh-CN"/>
              </w:rPr>
              <w:t>Intel</w:t>
            </w:r>
          </w:p>
        </w:tc>
        <w:tc>
          <w:tcPr>
            <w:tcW w:w="7203" w:type="dxa"/>
          </w:tcPr>
          <w:p w14:paraId="4E3646A3" w14:textId="0ED9E897" w:rsidR="000D2893" w:rsidRDefault="004F2319" w:rsidP="008003FE">
            <w:pPr>
              <w:pStyle w:val="TAL"/>
              <w:rPr>
                <w:lang w:eastAsia="zh-CN"/>
              </w:rPr>
            </w:pPr>
            <w:r>
              <w:rPr>
                <w:lang w:eastAsia="zh-CN"/>
              </w:rPr>
              <w:t>We are fine with Nokia’s proposal.</w:t>
            </w:r>
          </w:p>
        </w:tc>
      </w:tr>
      <w:tr w:rsidR="000D2893" w14:paraId="3208148B" w14:textId="77777777" w:rsidTr="003C2369">
        <w:tc>
          <w:tcPr>
            <w:tcW w:w="1351" w:type="dxa"/>
          </w:tcPr>
          <w:p w14:paraId="37F54326" w14:textId="4D91480D" w:rsidR="000D2893" w:rsidRPr="00314512" w:rsidRDefault="00314512" w:rsidP="008003FE">
            <w:pPr>
              <w:pStyle w:val="TAL"/>
              <w:rPr>
                <w:rFonts w:eastAsia="Malgun Gothic"/>
                <w:lang w:eastAsia="ko-KR"/>
              </w:rPr>
            </w:pPr>
            <w:r>
              <w:rPr>
                <w:rFonts w:eastAsia="Malgun Gothic" w:hint="eastAsia"/>
                <w:lang w:eastAsia="ko-KR"/>
              </w:rPr>
              <w:t xml:space="preserve">Samsung </w:t>
            </w:r>
          </w:p>
        </w:tc>
        <w:tc>
          <w:tcPr>
            <w:tcW w:w="7203" w:type="dxa"/>
          </w:tcPr>
          <w:p w14:paraId="571DEC88" w14:textId="307121F4" w:rsidR="000D2893" w:rsidRPr="00314512" w:rsidRDefault="00314512" w:rsidP="006A0302">
            <w:pPr>
              <w:pStyle w:val="TAL"/>
              <w:rPr>
                <w:rFonts w:eastAsia="Malgun Gothic"/>
                <w:lang w:eastAsia="ko-KR"/>
              </w:rPr>
            </w:pPr>
            <w:r>
              <w:rPr>
                <w:rFonts w:eastAsia="Malgun Gothic" w:hint="eastAsia"/>
                <w:lang w:eastAsia="ko-KR"/>
              </w:rPr>
              <w:t xml:space="preserve">We share the similar </w:t>
            </w:r>
            <w:r>
              <w:rPr>
                <w:rFonts w:eastAsia="Malgun Gothic"/>
                <w:lang w:eastAsia="ko-KR"/>
              </w:rPr>
              <w:t>view</w:t>
            </w:r>
            <w:r>
              <w:rPr>
                <w:rFonts w:eastAsia="Malgun Gothic" w:hint="eastAsia"/>
                <w:lang w:eastAsia="ko-KR"/>
              </w:rPr>
              <w:t xml:space="preserve"> with Huawei. </w:t>
            </w:r>
            <w:r>
              <w:rPr>
                <w:rFonts w:eastAsia="Malgun Gothic"/>
                <w:lang w:eastAsia="ko-KR"/>
              </w:rPr>
              <w:t>On top of it, based on RAN4 text of “</w:t>
            </w:r>
            <w:r w:rsidRPr="006576DB">
              <w:rPr>
                <w:i/>
              </w:rPr>
              <w:t xml:space="preserve">For scenarios where other NR or E-UTRA TDD operating band(s) are used within the frequency range of this band in the same geographical area, </w:t>
            </w:r>
            <w:r w:rsidRPr="00314512">
              <w:rPr>
                <w:i/>
                <w:highlight w:val="cyan"/>
              </w:rPr>
              <w:t>special co-existence requirements may apply that are not covered by the 3GPP specifications</w:t>
            </w:r>
            <w:r w:rsidRPr="006576DB">
              <w:rPr>
                <w:i/>
              </w:rPr>
              <w:t>.</w:t>
            </w:r>
            <w:r w:rsidRPr="00314512">
              <w:t>”,</w:t>
            </w:r>
            <w:r>
              <w:rPr>
                <w:i/>
              </w:rPr>
              <w:t xml:space="preserve"> </w:t>
            </w:r>
            <w:r w:rsidRPr="00314512">
              <w:t>we</w:t>
            </w:r>
            <w:r w:rsidR="0028433A">
              <w:t xml:space="preserve"> think </w:t>
            </w:r>
            <w:r w:rsidR="006A0302">
              <w:t xml:space="preserve">the proposed wording </w:t>
            </w:r>
            <w:r w:rsidR="00047981">
              <w:t xml:space="preserve">does not need to be </w:t>
            </w:r>
            <w:r w:rsidR="0028433A">
              <w:t xml:space="preserve">captured. </w:t>
            </w:r>
          </w:p>
        </w:tc>
      </w:tr>
      <w:tr w:rsidR="000D2893" w14:paraId="4FF9C71D" w14:textId="77777777" w:rsidTr="003C2369">
        <w:tc>
          <w:tcPr>
            <w:tcW w:w="1351" w:type="dxa"/>
          </w:tcPr>
          <w:p w14:paraId="7B08EAFD" w14:textId="308AE3F4" w:rsidR="000D2893" w:rsidRDefault="005734BF" w:rsidP="008003FE">
            <w:pPr>
              <w:pStyle w:val="TAL"/>
              <w:rPr>
                <w:lang w:eastAsia="zh-CN"/>
              </w:rPr>
            </w:pPr>
            <w:r>
              <w:rPr>
                <w:rFonts w:hint="eastAsia"/>
                <w:lang w:eastAsia="zh-CN"/>
              </w:rPr>
              <w:t>O</w:t>
            </w:r>
            <w:r>
              <w:rPr>
                <w:lang w:eastAsia="zh-CN"/>
              </w:rPr>
              <w:t>PPO</w:t>
            </w:r>
          </w:p>
        </w:tc>
        <w:tc>
          <w:tcPr>
            <w:tcW w:w="7203" w:type="dxa"/>
          </w:tcPr>
          <w:p w14:paraId="202BEB97" w14:textId="5B0FDD79" w:rsidR="000D2893" w:rsidRDefault="005734BF" w:rsidP="008003FE">
            <w:pPr>
              <w:pStyle w:val="TAL"/>
              <w:rPr>
                <w:lang w:eastAsia="zh-CN"/>
              </w:rPr>
            </w:pPr>
            <w:r>
              <w:rPr>
                <w:lang w:eastAsia="zh-CN"/>
              </w:rPr>
              <w:t>We share the similar view with Huawei and Samsung, that we can rely on the conclusion in RAN4 for this issue.</w:t>
            </w:r>
          </w:p>
        </w:tc>
      </w:tr>
      <w:tr w:rsidR="000D2893" w14:paraId="2BE9D9CB" w14:textId="77777777" w:rsidTr="003C2369">
        <w:tc>
          <w:tcPr>
            <w:tcW w:w="1351" w:type="dxa"/>
          </w:tcPr>
          <w:p w14:paraId="3C587369" w14:textId="7FE16216" w:rsidR="000D2893" w:rsidRDefault="004E07C3" w:rsidP="008003FE">
            <w:pPr>
              <w:pStyle w:val="TAL"/>
              <w:rPr>
                <w:lang w:eastAsia="zh-CN"/>
              </w:rPr>
            </w:pPr>
            <w:r>
              <w:rPr>
                <w:rFonts w:hint="eastAsia"/>
                <w:lang w:eastAsia="zh-CN"/>
              </w:rPr>
              <w:t>CATT</w:t>
            </w:r>
          </w:p>
        </w:tc>
        <w:tc>
          <w:tcPr>
            <w:tcW w:w="7203" w:type="dxa"/>
          </w:tcPr>
          <w:p w14:paraId="28504EC0" w14:textId="48CB4490" w:rsidR="000D2893" w:rsidRDefault="004E07C3" w:rsidP="008003FE">
            <w:pPr>
              <w:pStyle w:val="TAL"/>
              <w:rPr>
                <w:lang w:eastAsia="zh-CN"/>
              </w:rPr>
            </w:pPr>
            <w:r>
              <w:rPr>
                <w:rFonts w:hint="eastAsia"/>
                <w:lang w:eastAsia="zh-CN"/>
              </w:rPr>
              <w:t>We also do not think further clarification is needed.</w:t>
            </w:r>
          </w:p>
        </w:tc>
      </w:tr>
      <w:tr w:rsidR="000A24F0" w14:paraId="192E9109" w14:textId="77777777" w:rsidTr="003C2369">
        <w:tc>
          <w:tcPr>
            <w:tcW w:w="1351" w:type="dxa"/>
          </w:tcPr>
          <w:p w14:paraId="21EF9546" w14:textId="2A7ECDD4" w:rsidR="000A24F0" w:rsidRDefault="000A24F0" w:rsidP="008003FE">
            <w:pPr>
              <w:pStyle w:val="TAL"/>
              <w:rPr>
                <w:lang w:eastAsia="zh-CN"/>
              </w:rPr>
            </w:pPr>
            <w:r>
              <w:rPr>
                <w:rFonts w:hint="eastAsia"/>
                <w:lang w:eastAsia="zh-CN"/>
              </w:rPr>
              <w:t>ZTE</w:t>
            </w:r>
          </w:p>
        </w:tc>
        <w:tc>
          <w:tcPr>
            <w:tcW w:w="7203" w:type="dxa"/>
          </w:tcPr>
          <w:p w14:paraId="7F3E6ED3" w14:textId="77F03AAF" w:rsidR="000A24F0" w:rsidRDefault="000A24F0" w:rsidP="00BB0D08">
            <w:pPr>
              <w:pStyle w:val="TAL"/>
              <w:rPr>
                <w:lang w:eastAsia="zh-CN"/>
              </w:rPr>
            </w:pPr>
            <w:r>
              <w:rPr>
                <w:rFonts w:hint="eastAsia"/>
                <w:lang w:eastAsia="zh-CN"/>
              </w:rPr>
              <w:t xml:space="preserve">We are supportive of the </w:t>
            </w:r>
            <w:r>
              <w:rPr>
                <w:lang w:eastAsia="zh-CN"/>
              </w:rPr>
              <w:t>prop</w:t>
            </w:r>
            <w:r w:rsidR="00530525">
              <w:rPr>
                <w:lang w:eastAsia="zh-CN"/>
              </w:rPr>
              <w:t>osal</w:t>
            </w:r>
            <w:r w:rsidR="00BB0D08">
              <w:rPr>
                <w:lang w:eastAsia="zh-CN"/>
              </w:rPr>
              <w:t xml:space="preserve"> from Nokia</w:t>
            </w:r>
            <w:r w:rsidR="00530525">
              <w:rPr>
                <w:lang w:eastAsia="zh-CN"/>
              </w:rPr>
              <w:t>.  I</w:t>
            </w:r>
            <w:r w:rsidR="00495B93">
              <w:rPr>
                <w:lang w:eastAsia="zh-CN"/>
              </w:rPr>
              <w:t xml:space="preserve">t should be </w:t>
            </w:r>
            <w:r>
              <w:rPr>
                <w:lang w:eastAsia="zh-CN"/>
              </w:rPr>
              <w:t>discuss</w:t>
            </w:r>
            <w:r w:rsidR="00495B93">
              <w:rPr>
                <w:lang w:eastAsia="zh-CN"/>
              </w:rPr>
              <w:t>ed</w:t>
            </w:r>
            <w:r>
              <w:rPr>
                <w:lang w:eastAsia="zh-CN"/>
              </w:rPr>
              <w:t xml:space="preserve"> in which spec</w:t>
            </w:r>
            <w:r w:rsidR="00495B93">
              <w:rPr>
                <w:lang w:eastAsia="zh-CN"/>
              </w:rPr>
              <w:t>(s)</w:t>
            </w:r>
            <w:r>
              <w:rPr>
                <w:lang w:eastAsia="zh-CN"/>
              </w:rPr>
              <w:t xml:space="preserve"> this clarification should be captured</w:t>
            </w:r>
            <w:r w:rsidR="009B2D1A">
              <w:rPr>
                <w:lang w:eastAsia="zh-CN"/>
              </w:rPr>
              <w:t xml:space="preserve"> or whether this should be captured in the cover sheet of proposed CR in </w:t>
            </w:r>
            <w:r w:rsidR="009B2D1A" w:rsidRPr="00AF5393">
              <w:t>RP-202570</w:t>
            </w:r>
            <w:r w:rsidR="009B2D1A">
              <w:t>.</w:t>
            </w:r>
          </w:p>
        </w:tc>
      </w:tr>
      <w:tr w:rsidR="00BD5496" w14:paraId="03858196" w14:textId="77777777" w:rsidTr="00537C76">
        <w:tc>
          <w:tcPr>
            <w:tcW w:w="1351" w:type="dxa"/>
            <w:vAlign w:val="center"/>
          </w:tcPr>
          <w:p w14:paraId="607FE31B" w14:textId="11651066" w:rsidR="00BD5496" w:rsidRDefault="00BD5496" w:rsidP="00BD5496">
            <w:pPr>
              <w:pStyle w:val="TAL"/>
              <w:rPr>
                <w:lang w:eastAsia="zh-CN"/>
              </w:rPr>
            </w:pPr>
            <w:r>
              <w:t>Nokia, NSB</w:t>
            </w:r>
          </w:p>
        </w:tc>
        <w:tc>
          <w:tcPr>
            <w:tcW w:w="7203" w:type="dxa"/>
            <w:vAlign w:val="center"/>
          </w:tcPr>
          <w:p w14:paraId="25387FA4" w14:textId="6D32DF69" w:rsidR="00BD5496" w:rsidRDefault="00BD5496" w:rsidP="00BD5496">
            <w:pPr>
              <w:pStyle w:val="TAL"/>
              <w:rPr>
                <w:lang w:eastAsia="zh-CN"/>
              </w:rPr>
            </w:pPr>
            <w:r>
              <w:t>The CR mentioned by Huawei above is certainly relevant to this discussion, thanks for bringing it up. The problem still remains that that CR is specific to a single band, which is a natural part of RAN4 work. But the decisions we are making in this thread are about RAN1 specifications, which are band-agnostic in nature. Hence, we need a general statement that applies to every possible band where SUL support may be defined in the future. If companies would prefer to allow RAN4 to make the decisions on coexistence on a band-by-band basis, then we would need to revert the discussion we did earlier this week and actually define signalling support in RAN1 for a futureproof solution. We do not prefer such approach especially considering the essentially unanimous decision to go for Option 1 already early this week.</w:t>
            </w:r>
          </w:p>
        </w:tc>
      </w:tr>
      <w:tr w:rsidR="00F30948" w14:paraId="2AEDE0B6" w14:textId="77777777" w:rsidTr="00537C76">
        <w:tc>
          <w:tcPr>
            <w:tcW w:w="1351" w:type="dxa"/>
            <w:vAlign w:val="center"/>
          </w:tcPr>
          <w:p w14:paraId="497EA0EA" w14:textId="2A8B89B0" w:rsidR="00F30948" w:rsidRDefault="00F30948" w:rsidP="00BD5496">
            <w:pPr>
              <w:pStyle w:val="TAL"/>
            </w:pPr>
            <w:r>
              <w:t>CMCC</w:t>
            </w:r>
          </w:p>
        </w:tc>
        <w:tc>
          <w:tcPr>
            <w:tcW w:w="7203" w:type="dxa"/>
            <w:vAlign w:val="center"/>
          </w:tcPr>
          <w:p w14:paraId="19F018A3" w14:textId="1ADD3848" w:rsidR="00F30948" w:rsidRDefault="00F30948" w:rsidP="00BD5496">
            <w:pPr>
              <w:pStyle w:val="TAL"/>
            </w:pPr>
            <w:r>
              <w:t xml:space="preserve">We can not agree to capture this sentence, if no special requirements are raised to 3GPP, how can </w:t>
            </w:r>
            <w:r w:rsidR="00C4086E">
              <w:t>we</w:t>
            </w:r>
            <w:r>
              <w:t xml:space="preserve"> intervene the deployment? if someone deployed like that. Just like two TDD gNB adopt different DL/UL configuration in the same region, even it is not expected, it will occur, especially when dynamic TDD applied</w:t>
            </w:r>
            <w:r w:rsidR="00C4086E">
              <w:t>.</w:t>
            </w: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r>
              <w:rPr>
                <w:rFonts w:hint="eastAsia"/>
                <w:lang w:eastAsia="zh-CN"/>
              </w:rPr>
              <w:t>X</w:t>
            </w:r>
            <w:r>
              <w:rPr>
                <w:lang w:eastAsia="zh-CN"/>
              </w:rPr>
              <w:t xml:space="preserve">izeng Dai, </w:t>
            </w:r>
            <w:hyperlink r:id="rId12" w:history="1">
              <w:r w:rsidR="00551057" w:rsidRPr="00372B5C">
                <w:rPr>
                  <w:rStyle w:val="ad"/>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D36458" w:rsidP="00171840">
            <w:pPr>
              <w:pStyle w:val="TAL"/>
            </w:pPr>
            <w:hyperlink r:id="rId13" w:history="1">
              <w:r w:rsidR="00551057" w:rsidRPr="00372B5C">
                <w:rPr>
                  <w:rStyle w:val="ad"/>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r w:rsidR="00B151C6" w:rsidRPr="00FE5796" w14:paraId="75B72E21" w14:textId="77777777" w:rsidTr="00171840">
        <w:tc>
          <w:tcPr>
            <w:tcW w:w="1696" w:type="dxa"/>
          </w:tcPr>
          <w:p w14:paraId="6B34EA4F" w14:textId="2CA02CE4" w:rsidR="00B151C6" w:rsidRPr="00B151C6" w:rsidRDefault="00B151C6" w:rsidP="00171840">
            <w:pPr>
              <w:pStyle w:val="TAL"/>
              <w:rPr>
                <w:rFonts w:eastAsia="Malgun Gothic"/>
                <w:lang w:eastAsia="ko-KR"/>
              </w:rPr>
            </w:pPr>
            <w:r>
              <w:rPr>
                <w:rFonts w:eastAsia="Malgun Gothic" w:hint="eastAsia"/>
                <w:lang w:eastAsia="ko-KR"/>
              </w:rPr>
              <w:t>S</w:t>
            </w:r>
            <w:r>
              <w:rPr>
                <w:rFonts w:eastAsia="Malgun Gothic"/>
                <w:lang w:eastAsia="ko-KR"/>
              </w:rPr>
              <w:t>amsung</w:t>
            </w:r>
          </w:p>
        </w:tc>
        <w:tc>
          <w:tcPr>
            <w:tcW w:w="7935" w:type="dxa"/>
          </w:tcPr>
          <w:p w14:paraId="680DD527" w14:textId="1133E6D0" w:rsidR="00B151C6" w:rsidRPr="00B151C6" w:rsidRDefault="00B151C6" w:rsidP="00171840">
            <w:pPr>
              <w:pStyle w:val="TAL"/>
              <w:rPr>
                <w:rFonts w:eastAsia="Malgun Gothic"/>
                <w:lang w:val="sv-SE" w:eastAsia="ko-KR"/>
              </w:rPr>
            </w:pPr>
            <w:r>
              <w:rPr>
                <w:rFonts w:eastAsia="Malgun Gothic"/>
                <w:lang w:val="sv-SE" w:eastAsia="ko-KR"/>
              </w:rPr>
              <w:t>Taehyoung Kim, th86819.kim@samsung.com</w:t>
            </w:r>
          </w:p>
        </w:tc>
      </w:tr>
    </w:tbl>
    <w:p w14:paraId="7FC85D24" w14:textId="77777777" w:rsidR="00572C20" w:rsidRPr="00FE5796" w:rsidRDefault="00572C20" w:rsidP="00572C20">
      <w:pPr>
        <w:rPr>
          <w:lang w:val="sv-SE"/>
        </w:rPr>
      </w:pPr>
    </w:p>
    <w:sectPr w:rsidR="00572C20" w:rsidRPr="00FE5796">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815CE" w14:textId="77777777" w:rsidR="00D36458" w:rsidRDefault="00D36458">
      <w:r>
        <w:separator/>
      </w:r>
    </w:p>
  </w:endnote>
  <w:endnote w:type="continuationSeparator" w:id="0">
    <w:p w14:paraId="4D18B737" w14:textId="77777777" w:rsidR="00D36458" w:rsidRDefault="00D3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1F7FE59"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A1A29">
      <w:rPr>
        <w:rFonts w:ascii="Arial" w:hAnsi="Arial" w:cs="Arial"/>
        <w:b/>
        <w:noProof/>
        <w:sz w:val="18"/>
        <w:szCs w:val="18"/>
      </w:rPr>
      <w:t>8</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903D" w14:textId="77777777" w:rsidR="00D36458" w:rsidRDefault="00D36458">
      <w:r>
        <w:separator/>
      </w:r>
    </w:p>
  </w:footnote>
  <w:footnote w:type="continuationSeparator" w:id="0">
    <w:p w14:paraId="07B5439C" w14:textId="77777777" w:rsidR="00D36458" w:rsidRDefault="00D3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ca1AMbJu/wsAAAA"/>
  </w:docVars>
  <w:rsids>
    <w:rsidRoot w:val="004E213A"/>
    <w:rsid w:val="0000569F"/>
    <w:rsid w:val="00006DAB"/>
    <w:rsid w:val="000132F0"/>
    <w:rsid w:val="000150FF"/>
    <w:rsid w:val="000167EA"/>
    <w:rsid w:val="00023D3D"/>
    <w:rsid w:val="00025C98"/>
    <w:rsid w:val="000308DF"/>
    <w:rsid w:val="00033397"/>
    <w:rsid w:val="00040095"/>
    <w:rsid w:val="000424E0"/>
    <w:rsid w:val="00042720"/>
    <w:rsid w:val="00046011"/>
    <w:rsid w:val="00047981"/>
    <w:rsid w:val="000675D3"/>
    <w:rsid w:val="00080512"/>
    <w:rsid w:val="00080841"/>
    <w:rsid w:val="00081180"/>
    <w:rsid w:val="000901A4"/>
    <w:rsid w:val="00090F2E"/>
    <w:rsid w:val="000A1062"/>
    <w:rsid w:val="000A24F0"/>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255F0"/>
    <w:rsid w:val="001259E9"/>
    <w:rsid w:val="00145984"/>
    <w:rsid w:val="001474DC"/>
    <w:rsid w:val="0015058D"/>
    <w:rsid w:val="00160EDA"/>
    <w:rsid w:val="0016358B"/>
    <w:rsid w:val="001657DC"/>
    <w:rsid w:val="001724F1"/>
    <w:rsid w:val="0017251A"/>
    <w:rsid w:val="0018711E"/>
    <w:rsid w:val="001A29E0"/>
    <w:rsid w:val="001A5474"/>
    <w:rsid w:val="001B5707"/>
    <w:rsid w:val="001B69B2"/>
    <w:rsid w:val="001D15EF"/>
    <w:rsid w:val="001D6015"/>
    <w:rsid w:val="001E3326"/>
    <w:rsid w:val="001F02D2"/>
    <w:rsid w:val="001F168B"/>
    <w:rsid w:val="001F6493"/>
    <w:rsid w:val="0021062B"/>
    <w:rsid w:val="00226EAA"/>
    <w:rsid w:val="00237C70"/>
    <w:rsid w:val="00255B0C"/>
    <w:rsid w:val="00261552"/>
    <w:rsid w:val="00276BBA"/>
    <w:rsid w:val="00283084"/>
    <w:rsid w:val="0028433A"/>
    <w:rsid w:val="002A0B3F"/>
    <w:rsid w:val="002A5B04"/>
    <w:rsid w:val="002A6160"/>
    <w:rsid w:val="002B7092"/>
    <w:rsid w:val="002C0851"/>
    <w:rsid w:val="002C2DEB"/>
    <w:rsid w:val="002C4431"/>
    <w:rsid w:val="002C54ED"/>
    <w:rsid w:val="002E6722"/>
    <w:rsid w:val="003020EF"/>
    <w:rsid w:val="00306CA9"/>
    <w:rsid w:val="00311D69"/>
    <w:rsid w:val="00314512"/>
    <w:rsid w:val="003172DC"/>
    <w:rsid w:val="00320833"/>
    <w:rsid w:val="00323A5F"/>
    <w:rsid w:val="00331E10"/>
    <w:rsid w:val="00337251"/>
    <w:rsid w:val="003545FB"/>
    <w:rsid w:val="0035462D"/>
    <w:rsid w:val="003605A6"/>
    <w:rsid w:val="0036103D"/>
    <w:rsid w:val="00361172"/>
    <w:rsid w:val="00365324"/>
    <w:rsid w:val="003671DB"/>
    <w:rsid w:val="0037253C"/>
    <w:rsid w:val="00372994"/>
    <w:rsid w:val="00376CEF"/>
    <w:rsid w:val="00390CD5"/>
    <w:rsid w:val="00390D08"/>
    <w:rsid w:val="003A0BC1"/>
    <w:rsid w:val="003A58D6"/>
    <w:rsid w:val="003B0024"/>
    <w:rsid w:val="003C2369"/>
    <w:rsid w:val="003E5BA4"/>
    <w:rsid w:val="00414436"/>
    <w:rsid w:val="00414589"/>
    <w:rsid w:val="00423791"/>
    <w:rsid w:val="0043437C"/>
    <w:rsid w:val="004579DC"/>
    <w:rsid w:val="00461E16"/>
    <w:rsid w:val="00473F95"/>
    <w:rsid w:val="0047752C"/>
    <w:rsid w:val="00495B93"/>
    <w:rsid w:val="004A4AA6"/>
    <w:rsid w:val="004A7548"/>
    <w:rsid w:val="004B001C"/>
    <w:rsid w:val="004B40F2"/>
    <w:rsid w:val="004B7E3D"/>
    <w:rsid w:val="004C0B17"/>
    <w:rsid w:val="004C4C78"/>
    <w:rsid w:val="004C536D"/>
    <w:rsid w:val="004C647E"/>
    <w:rsid w:val="004D0A28"/>
    <w:rsid w:val="004D3578"/>
    <w:rsid w:val="004D52C0"/>
    <w:rsid w:val="004E07C3"/>
    <w:rsid w:val="004E213A"/>
    <w:rsid w:val="004E7CF4"/>
    <w:rsid w:val="004F2319"/>
    <w:rsid w:val="005132CC"/>
    <w:rsid w:val="0051382B"/>
    <w:rsid w:val="00514112"/>
    <w:rsid w:val="00517FD5"/>
    <w:rsid w:val="00530525"/>
    <w:rsid w:val="0053453B"/>
    <w:rsid w:val="0053562E"/>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734BF"/>
    <w:rsid w:val="005902CB"/>
    <w:rsid w:val="005961A5"/>
    <w:rsid w:val="005B495A"/>
    <w:rsid w:val="005C248D"/>
    <w:rsid w:val="005F2692"/>
    <w:rsid w:val="00603008"/>
    <w:rsid w:val="0062234C"/>
    <w:rsid w:val="00624446"/>
    <w:rsid w:val="00625151"/>
    <w:rsid w:val="00627E2A"/>
    <w:rsid w:val="00631E14"/>
    <w:rsid w:val="00634BFE"/>
    <w:rsid w:val="00640C3D"/>
    <w:rsid w:val="00641A68"/>
    <w:rsid w:val="006448BA"/>
    <w:rsid w:val="00655604"/>
    <w:rsid w:val="0065739D"/>
    <w:rsid w:val="006576DB"/>
    <w:rsid w:val="00664C5D"/>
    <w:rsid w:val="00682F07"/>
    <w:rsid w:val="00687FF9"/>
    <w:rsid w:val="006949BB"/>
    <w:rsid w:val="006A0302"/>
    <w:rsid w:val="006A2DBB"/>
    <w:rsid w:val="006A4095"/>
    <w:rsid w:val="006A5A49"/>
    <w:rsid w:val="006A5F4E"/>
    <w:rsid w:val="006D0014"/>
    <w:rsid w:val="006E4E4C"/>
    <w:rsid w:val="006E5ECA"/>
    <w:rsid w:val="006F6D33"/>
    <w:rsid w:val="006F71E1"/>
    <w:rsid w:val="00715508"/>
    <w:rsid w:val="0072173C"/>
    <w:rsid w:val="007331DE"/>
    <w:rsid w:val="00734A5B"/>
    <w:rsid w:val="00736995"/>
    <w:rsid w:val="00744E76"/>
    <w:rsid w:val="00770FBD"/>
    <w:rsid w:val="00771C3E"/>
    <w:rsid w:val="00781F0F"/>
    <w:rsid w:val="007820FD"/>
    <w:rsid w:val="007829C0"/>
    <w:rsid w:val="007A040F"/>
    <w:rsid w:val="007A4A45"/>
    <w:rsid w:val="007A5AB7"/>
    <w:rsid w:val="007C0BEA"/>
    <w:rsid w:val="007C4E7B"/>
    <w:rsid w:val="007D381E"/>
    <w:rsid w:val="007E595B"/>
    <w:rsid w:val="007F07C1"/>
    <w:rsid w:val="007F1AEB"/>
    <w:rsid w:val="007F690A"/>
    <w:rsid w:val="00802173"/>
    <w:rsid w:val="008028A4"/>
    <w:rsid w:val="008072FC"/>
    <w:rsid w:val="00823241"/>
    <w:rsid w:val="00823D25"/>
    <w:rsid w:val="0082490C"/>
    <w:rsid w:val="008253F2"/>
    <w:rsid w:val="0083505C"/>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1505"/>
    <w:rsid w:val="008E648F"/>
    <w:rsid w:val="008F0C56"/>
    <w:rsid w:val="008F0E52"/>
    <w:rsid w:val="008F1A65"/>
    <w:rsid w:val="008F32CA"/>
    <w:rsid w:val="008F7174"/>
    <w:rsid w:val="00901F91"/>
    <w:rsid w:val="0090271F"/>
    <w:rsid w:val="00926873"/>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2D1A"/>
    <w:rsid w:val="009B6323"/>
    <w:rsid w:val="009C6E4D"/>
    <w:rsid w:val="009E3E8B"/>
    <w:rsid w:val="009F5379"/>
    <w:rsid w:val="009F6450"/>
    <w:rsid w:val="009F6E12"/>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72A33"/>
    <w:rsid w:val="00A8127F"/>
    <w:rsid w:val="00A82346"/>
    <w:rsid w:val="00A8707C"/>
    <w:rsid w:val="00A91493"/>
    <w:rsid w:val="00AA4DAF"/>
    <w:rsid w:val="00AB3AA5"/>
    <w:rsid w:val="00AB6C9A"/>
    <w:rsid w:val="00AE2616"/>
    <w:rsid w:val="00AE415C"/>
    <w:rsid w:val="00AE487A"/>
    <w:rsid w:val="00AF2BEF"/>
    <w:rsid w:val="00AF2FB7"/>
    <w:rsid w:val="00AF5393"/>
    <w:rsid w:val="00B024A4"/>
    <w:rsid w:val="00B0478C"/>
    <w:rsid w:val="00B05752"/>
    <w:rsid w:val="00B123F6"/>
    <w:rsid w:val="00B151C6"/>
    <w:rsid w:val="00B15449"/>
    <w:rsid w:val="00B26869"/>
    <w:rsid w:val="00B3170C"/>
    <w:rsid w:val="00B31D76"/>
    <w:rsid w:val="00B334EC"/>
    <w:rsid w:val="00B4017B"/>
    <w:rsid w:val="00B64B33"/>
    <w:rsid w:val="00B65E95"/>
    <w:rsid w:val="00B718FB"/>
    <w:rsid w:val="00B87037"/>
    <w:rsid w:val="00BB0D08"/>
    <w:rsid w:val="00BB49CD"/>
    <w:rsid w:val="00BC20BF"/>
    <w:rsid w:val="00BD0E0D"/>
    <w:rsid w:val="00BD256E"/>
    <w:rsid w:val="00BD5496"/>
    <w:rsid w:val="00BF4B68"/>
    <w:rsid w:val="00C01CCC"/>
    <w:rsid w:val="00C0502E"/>
    <w:rsid w:val="00C2371F"/>
    <w:rsid w:val="00C33079"/>
    <w:rsid w:val="00C3500F"/>
    <w:rsid w:val="00C403A6"/>
    <w:rsid w:val="00C406CE"/>
    <w:rsid w:val="00C4086E"/>
    <w:rsid w:val="00C409C0"/>
    <w:rsid w:val="00C573D3"/>
    <w:rsid w:val="00C668F1"/>
    <w:rsid w:val="00C66F3E"/>
    <w:rsid w:val="00C67308"/>
    <w:rsid w:val="00C67F49"/>
    <w:rsid w:val="00C70556"/>
    <w:rsid w:val="00C725D3"/>
    <w:rsid w:val="00C81DDA"/>
    <w:rsid w:val="00C91457"/>
    <w:rsid w:val="00CA1A29"/>
    <w:rsid w:val="00CA3D0C"/>
    <w:rsid w:val="00CA6AF2"/>
    <w:rsid w:val="00CB36E8"/>
    <w:rsid w:val="00CB733C"/>
    <w:rsid w:val="00CD4E91"/>
    <w:rsid w:val="00CD76B5"/>
    <w:rsid w:val="00CE22E6"/>
    <w:rsid w:val="00CE3466"/>
    <w:rsid w:val="00CF6751"/>
    <w:rsid w:val="00CF7523"/>
    <w:rsid w:val="00D21E00"/>
    <w:rsid w:val="00D34CB3"/>
    <w:rsid w:val="00D36458"/>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0948"/>
    <w:rsid w:val="00F32BCD"/>
    <w:rsid w:val="00F379C3"/>
    <w:rsid w:val="00F4554C"/>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FF6BEA13-44CA-4B7A-B52F-E3A3D32F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95"/>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Char"/>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リスト段落 Char,Lista1 Char,列出段落1 Char,中等深浅网格 1 - 着色 21 Char,¥¡¡¡¡ì¬º¥¹¥È¶ÎÂä Char,ÁÐ³ö¶ÎÂä Char,列表段落1 Char,—ño’i—Ž Char,¥ê¥¹¥È¶ÎÂä Char,1st level - Bullet List Paragraph Char,Paragrafo elenco Char"/>
    <w:link w:val="ac"/>
    <w:uiPriority w:val="34"/>
    <w:qFormat/>
    <w:locked/>
    <w:rsid w:val="00F47AB9"/>
    <w:rPr>
      <w:rFonts w:eastAsia="MS Mincho"/>
      <w:lang w:eastAsia="en-US"/>
    </w:rPr>
  </w:style>
  <w:style w:type="character" w:customStyle="1" w:styleId="3Char">
    <w:name w:val="标题 3 Char"/>
    <w:basedOn w:val="a0"/>
    <w:link w:val="3"/>
    <w:rsid w:val="00331E10"/>
    <w:rPr>
      <w:rFonts w:ascii="Arial" w:hAnsi="Arial"/>
      <w:sz w:val="28"/>
      <w:lang w:eastAsia="en-US"/>
    </w:rPr>
  </w:style>
  <w:style w:type="character" w:customStyle="1" w:styleId="2Char">
    <w:name w:val="标题 2 Char"/>
    <w:basedOn w:val="a0"/>
    <w:link w:val="2"/>
    <w:rsid w:val="00331E10"/>
    <w:rPr>
      <w:rFonts w:ascii="Arial" w:hAnsi="Arial"/>
      <w:sz w:val="32"/>
      <w:lang w:eastAsia="en-US"/>
    </w:rPr>
  </w:style>
  <w:style w:type="character" w:styleId="ad">
    <w:name w:val="Hyperlink"/>
    <w:basedOn w:val="a0"/>
    <w:unhideWhenUsed/>
    <w:rsid w:val="00627E2A"/>
    <w:rPr>
      <w:color w:val="0563C1" w:themeColor="hyperlink"/>
      <w:u w:val="single"/>
    </w:rPr>
  </w:style>
  <w:style w:type="character" w:customStyle="1" w:styleId="11">
    <w:name w:val="未处理的提及1"/>
    <w:basedOn w:val="a0"/>
    <w:uiPriority w:val="99"/>
    <w:semiHidden/>
    <w:unhideWhenUsed/>
    <w:rsid w:val="00627E2A"/>
    <w:rPr>
      <w:color w:val="605E5C"/>
      <w:shd w:val="clear" w:color="auto" w:fill="E1DFDD"/>
    </w:rPr>
  </w:style>
  <w:style w:type="character" w:customStyle="1" w:styleId="TALCar">
    <w:name w:val="TAL Car"/>
    <w:basedOn w:val="a0"/>
    <w:link w:val="TAL"/>
    <w:qFormat/>
    <w:locked/>
    <w:rsid w:val="00080841"/>
    <w:rPr>
      <w:rFonts w:ascii="Arial" w:hAnsi="Arial"/>
      <w:sz w:val="18"/>
      <w:lang w:eastAsia="en-US"/>
    </w:rPr>
  </w:style>
  <w:style w:type="character" w:customStyle="1" w:styleId="UnresolvedMention1">
    <w:name w:val="Unresolved Mention1"/>
    <w:basedOn w:val="a0"/>
    <w:uiPriority w:val="99"/>
    <w:semiHidden/>
    <w:unhideWhenUsed/>
    <w:rsid w:val="0055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9474">
      <w:bodyDiv w:val="1"/>
      <w:marLeft w:val="0"/>
      <w:marRight w:val="0"/>
      <w:marTop w:val="0"/>
      <w:marBottom w:val="0"/>
      <w:divBdr>
        <w:top w:val="none" w:sz="0" w:space="0" w:color="auto"/>
        <w:left w:val="none" w:sz="0" w:space="0" w:color="auto"/>
        <w:bottom w:val="none" w:sz="0" w:space="0" w:color="auto"/>
        <w:right w:val="none" w:sz="0" w:space="0" w:color="auto"/>
      </w:divBdr>
      <w:divsChild>
        <w:div w:id="1890147118">
          <w:marLeft w:val="0"/>
          <w:marRight w:val="0"/>
          <w:marTop w:val="0"/>
          <w:marBottom w:val="0"/>
          <w:divBdr>
            <w:top w:val="none" w:sz="0" w:space="0" w:color="auto"/>
            <w:left w:val="none" w:sz="0" w:space="0" w:color="auto"/>
            <w:bottom w:val="none" w:sz="0" w:space="0" w:color="auto"/>
            <w:right w:val="none" w:sz="0" w:space="0" w:color="auto"/>
          </w:divBdr>
        </w:div>
      </w:divsChild>
    </w:div>
    <w:div w:id="582952407">
      <w:bodyDiv w:val="1"/>
      <w:marLeft w:val="0"/>
      <w:marRight w:val="0"/>
      <w:marTop w:val="0"/>
      <w:marBottom w:val="0"/>
      <w:divBdr>
        <w:top w:val="none" w:sz="0" w:space="0" w:color="auto"/>
        <w:left w:val="none" w:sz="0" w:space="0" w:color="auto"/>
        <w:bottom w:val="none" w:sz="0" w:space="0" w:color="auto"/>
        <w:right w:val="none" w:sz="0" w:space="0" w:color="auto"/>
      </w:divBdr>
      <w:divsChild>
        <w:div w:id="1743915700">
          <w:marLeft w:val="0"/>
          <w:marRight w:val="0"/>
          <w:marTop w:val="0"/>
          <w:marBottom w:val="0"/>
          <w:divBdr>
            <w:top w:val="none" w:sz="0" w:space="0" w:color="auto"/>
            <w:left w:val="none" w:sz="0" w:space="0" w:color="auto"/>
            <w:bottom w:val="none" w:sz="0" w:space="0" w:color="auto"/>
            <w:right w:val="none" w:sz="0" w:space="0" w:color="auto"/>
          </w:divBdr>
        </w:div>
      </w:divsChild>
    </w:div>
    <w:div w:id="774835996">
      <w:bodyDiv w:val="1"/>
      <w:marLeft w:val="0"/>
      <w:marRight w:val="0"/>
      <w:marTop w:val="0"/>
      <w:marBottom w:val="0"/>
      <w:divBdr>
        <w:top w:val="none" w:sz="0" w:space="0" w:color="auto"/>
        <w:left w:val="none" w:sz="0" w:space="0" w:color="auto"/>
        <w:bottom w:val="none" w:sz="0" w:space="0" w:color="auto"/>
        <w:right w:val="none" w:sz="0" w:space="0" w:color="auto"/>
      </w:divBdr>
    </w:div>
    <w:div w:id="18388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aixizeng@huawei.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8E1EBAD3-D5F9-479D-A3A0-B6E41325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Pages>
  <Words>4023</Words>
  <Characters>22934</Characters>
  <Application>Microsoft Office Word</Application>
  <DocSecurity>0</DocSecurity>
  <Lines>191</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
  <LinksUpToDate>false</LinksUpToDate>
  <CharactersWithSpaces>26904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5</cp:revision>
  <dcterms:created xsi:type="dcterms:W3CDTF">2020-12-10T12:16:00Z</dcterms:created>
  <dcterms:modified xsi:type="dcterms:W3CDTF">2020-12-10T12:27:00Z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(3)4c0wcb7QJklIvxsznFGq68ViT5CbjaM0BD5bC0/tMGvtPDl2qEzY5+md0fFFwOfAnKd+g0KJ
VkK4aKXaByxwa8jw2erYL8DugWJxpffWO6eGwY1lsC630f77hFgur516S7s+8z1fa8QETbCm
5x8oRli+ujf8w6gcqqxfEOlMx4UOP3S9n4er8J/6WIYH/LhGBhvLwy2EqyLtlFMldPZFJWL+
F3/tSPTv0rYedX58kW</vt:lpwstr>
  </property>
  <property fmtid="{D5CDD505-2E9C-101B-9397-08002B2CF9AE}" pid="10" name="_2015_ms_pID_7253431">
    <vt:lpwstr>Bj3fIa5FMe7wnO4ThXgxSMy0iHQv8S6Ov1IsQKuyrzr28vWhxDRfVP
ApH1Qxa2oC/lp00ddrhcrSqvFVF025mTNO4XJxztAlOI2LhDBV1oq2ckg9hFA3M08fl5Ku2S
IkfQitrCdbA4Z6Uj7jibSbWwO8LjR3UpceuMGZxgkgMlrtjlKBJCfNrfZtE4mUI4joJS/IyS
sSe0jpsF5P8NHH7MuS0fWJeYrne9UNQePQ+Z</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y fmtid="{D5CDD505-2E9C-101B-9397-08002B2CF9AE}" pid="16" name="_2015_ms_pID_7253432">
    <vt:lpwstr>ag==</vt:lpwstr>
  </property>
</Properties>
</file>