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Tabellenraster"/>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ellenraster"/>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Objective is study&amp;specify,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Listenabsatz"/>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objective already leads to normative work where it says “…and specify the identified solution…”, subject to feasibility/benefit. </w:t>
            </w:r>
          </w:p>
          <w:p w14:paraId="1F1FC93F" w14:textId="77777777" w:rsidR="0065173D" w:rsidRDefault="00D91BB8">
            <w:pPr>
              <w:pStyle w:val="Listenabsatz"/>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14:paraId="1F1FC940" w14:textId="77777777" w:rsidR="0065173D" w:rsidRDefault="00D91BB8">
            <w:pPr>
              <w:pStyle w:val="Listenabsatz"/>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The RAN1 indication from the LS is pretty clear,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We are OK to keep main bullet but suggest removing inter-UE coordination aspect since RAN1 was not able to conclude in time and one more meeting does not seem to be sufficient to study in details inter-UE coordination solutions</w:t>
            </w:r>
          </w:p>
        </w:tc>
      </w:tr>
      <w:tr w:rsidR="00AB7643" w:rsidRPr="00D91BB8" w14:paraId="788271F6" w14:textId="77777777">
        <w:tc>
          <w:tcPr>
            <w:tcW w:w="1443" w:type="dxa"/>
          </w:tcPr>
          <w:p w14:paraId="4F2148C8" w14:textId="62C30131"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NTT DOCOMO</w:t>
            </w:r>
          </w:p>
        </w:tc>
        <w:tc>
          <w:tcPr>
            <w:tcW w:w="1516" w:type="dxa"/>
          </w:tcPr>
          <w:p w14:paraId="4AF1F77F" w14:textId="42496F5C"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3FB0B0FB" w14:textId="0914D5A7" w:rsidR="00AB7643" w:rsidRDefault="00AB7643" w:rsidP="00BB745E">
            <w:pPr>
              <w:widowControl/>
              <w:wordWrap/>
              <w:rPr>
                <w:rFonts w:ascii="Calibri" w:eastAsia="SimSun" w:hAnsi="Calibri" w:cs="Calibri"/>
                <w:sz w:val="22"/>
                <w:lang w:eastAsia="zh-CN"/>
              </w:rPr>
            </w:pPr>
            <w:r>
              <w:rPr>
                <w:rFonts w:ascii="Calibri" w:eastAsia="SimSun" w:hAnsi="Calibri" w:cs="Calibri"/>
                <w:sz w:val="22"/>
                <w:lang w:eastAsia="zh-CN"/>
              </w:rPr>
              <w:t>At the RAN1 meeting, we completed to list up possible mechanisms, while we did not have enough time to discuss their performance and whether work is needed. At the next RAN1 meeting, we should have further study and then, WID can be updated as a part of this work item (or removing) based on that.</w:t>
            </w:r>
          </w:p>
        </w:tc>
      </w:tr>
      <w:tr w:rsidR="00866615" w:rsidRPr="00D91BB8" w14:paraId="3B5B9442" w14:textId="77777777">
        <w:tc>
          <w:tcPr>
            <w:tcW w:w="1443" w:type="dxa"/>
          </w:tcPr>
          <w:p w14:paraId="74387BF2" w14:textId="2916D796"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516" w:type="dxa"/>
          </w:tcPr>
          <w:p w14:paraId="35F7F54A" w14:textId="6C594C30"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489F3D3" w14:textId="38CCBE35" w:rsidR="00866615" w:rsidRDefault="00866615" w:rsidP="00866615">
            <w:pPr>
              <w:widowControl/>
              <w:wordWrap/>
              <w:rPr>
                <w:rFonts w:ascii="Calibri" w:eastAsia="SimSun" w:hAnsi="Calibri" w:cs="Calibri"/>
                <w:sz w:val="22"/>
                <w:lang w:eastAsia="zh-CN"/>
              </w:rPr>
            </w:pPr>
            <w:r w:rsidRPr="00011400">
              <w:rPr>
                <w:rFonts w:ascii="Calibri" w:eastAsiaTheme="minorEastAsia" w:hAnsi="Calibri" w:cs="Calibri"/>
                <w:sz w:val="22"/>
              </w:rPr>
              <w:t>RAN1 has progressed well in identifying different schemes for inter-UE coordination. Since the WID already states that the study for enhanced reliability and reduced latency is until RAN#91, we support to continue the study until RAN#91, after which we can move to the normative work phase.</w:t>
            </w:r>
          </w:p>
        </w:tc>
      </w:tr>
      <w:tr w:rsidR="00747794" w:rsidRPr="00D91BB8" w14:paraId="17DAB276" w14:textId="77777777">
        <w:tc>
          <w:tcPr>
            <w:tcW w:w="1443" w:type="dxa"/>
          </w:tcPr>
          <w:p w14:paraId="6759C1B1" w14:textId="05BBFBC8" w:rsidR="00747794" w:rsidRDefault="00747794" w:rsidP="00747794">
            <w:pPr>
              <w:widowControl/>
              <w:rPr>
                <w:rFonts w:ascii="Calibri" w:eastAsia="SimSun" w:hAnsi="Calibri" w:cs="Calibri"/>
                <w:sz w:val="22"/>
                <w:lang w:eastAsia="zh-CN"/>
              </w:rPr>
            </w:pPr>
            <w:r>
              <w:rPr>
                <w:rFonts w:ascii="Calibri" w:eastAsia="SimSun" w:hAnsi="Calibri" w:cs="Calibri"/>
                <w:sz w:val="22"/>
                <w:lang w:eastAsia="zh-CN"/>
              </w:rPr>
              <w:t>Sony</w:t>
            </w:r>
          </w:p>
        </w:tc>
        <w:tc>
          <w:tcPr>
            <w:tcW w:w="1516" w:type="dxa"/>
          </w:tcPr>
          <w:p w14:paraId="79688C0C" w14:textId="17B6EDA4"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Yes</w:t>
            </w:r>
          </w:p>
        </w:tc>
        <w:tc>
          <w:tcPr>
            <w:tcW w:w="6057" w:type="dxa"/>
          </w:tcPr>
          <w:p w14:paraId="3AD1A604" w14:textId="5FC77914" w:rsidR="00747794" w:rsidRPr="00011400" w:rsidRDefault="00747794" w:rsidP="00747794">
            <w:pPr>
              <w:widowControl/>
              <w:wordWrap/>
              <w:rPr>
                <w:rFonts w:ascii="Calibri" w:eastAsiaTheme="minorEastAsia" w:hAnsi="Calibri" w:cs="Calibri"/>
                <w:sz w:val="22"/>
              </w:rPr>
            </w:pPr>
            <w:r>
              <w:rPr>
                <w:rFonts w:ascii="Calibri" w:eastAsia="SimSun" w:hAnsi="Calibri" w:cs="Calibri"/>
                <w:sz w:val="22"/>
                <w:lang w:eastAsia="zh-CN"/>
              </w:rPr>
              <w:t xml:space="preserve">We </w:t>
            </w:r>
            <w:r>
              <w:rPr>
                <w:rFonts w:ascii="Calibri" w:eastAsia="MS Mincho" w:hAnsi="Calibri" w:cs="Calibri"/>
                <w:sz w:val="22"/>
                <w:lang w:eastAsia="ja-JP"/>
              </w:rPr>
              <w:t xml:space="preserve">also </w:t>
            </w:r>
            <w:r>
              <w:rPr>
                <w:rFonts w:ascii="Calibri" w:eastAsia="SimSun" w:hAnsi="Calibri" w:cs="Calibri"/>
                <w:sz w:val="22"/>
                <w:lang w:eastAsia="zh-CN"/>
              </w:rPr>
              <w:t>expect that RAN1 can achieve a conclusion in the next quarter.</w:t>
            </w:r>
          </w:p>
        </w:tc>
      </w:tr>
      <w:tr w:rsidR="00BF230E" w:rsidRPr="00D91BB8" w14:paraId="2BBE734D" w14:textId="77777777">
        <w:tc>
          <w:tcPr>
            <w:tcW w:w="1443" w:type="dxa"/>
          </w:tcPr>
          <w:p w14:paraId="545D47DF" w14:textId="26D6B777" w:rsidR="00BF230E" w:rsidRDefault="00BF230E" w:rsidP="00747794">
            <w:pPr>
              <w:widowControl/>
              <w:rPr>
                <w:rFonts w:ascii="Calibri" w:eastAsia="SimSun" w:hAnsi="Calibri" w:cs="Calibri"/>
                <w:sz w:val="22"/>
                <w:lang w:eastAsia="zh-CN"/>
              </w:rPr>
            </w:pPr>
            <w:r>
              <w:rPr>
                <w:rFonts w:ascii="Calibri" w:eastAsia="SimSun" w:hAnsi="Calibri" w:cs="Calibri"/>
                <w:sz w:val="22"/>
                <w:lang w:eastAsia="zh-CN"/>
              </w:rPr>
              <w:t>Mitsubishi</w:t>
            </w:r>
          </w:p>
        </w:tc>
        <w:tc>
          <w:tcPr>
            <w:tcW w:w="1516" w:type="dxa"/>
          </w:tcPr>
          <w:p w14:paraId="199B243C" w14:textId="1B6B72E3"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Yes</w:t>
            </w:r>
          </w:p>
        </w:tc>
        <w:tc>
          <w:tcPr>
            <w:tcW w:w="6057" w:type="dxa"/>
          </w:tcPr>
          <w:p w14:paraId="6FC9CCB0" w14:textId="4532CB51" w:rsidR="00BF230E" w:rsidRDefault="00BF230E" w:rsidP="00747794">
            <w:pPr>
              <w:widowControl/>
              <w:wordWrap/>
              <w:rPr>
                <w:rFonts w:ascii="Calibri" w:eastAsia="SimSun" w:hAnsi="Calibri" w:cs="Calibri"/>
                <w:sz w:val="22"/>
                <w:lang w:eastAsia="zh-CN"/>
              </w:rPr>
            </w:pPr>
            <w:r w:rsidRPr="00BF230E">
              <w:rPr>
                <w:rFonts w:ascii="Calibri" w:eastAsia="SimSun" w:hAnsi="Calibri" w:cs="Calibri"/>
                <w:sz w:val="22"/>
                <w:lang w:eastAsia="zh-CN"/>
              </w:rPr>
              <w:t>Continue study until RAN#91, then specify the identified solutions</w:t>
            </w:r>
          </w:p>
        </w:tc>
      </w:tr>
      <w:tr w:rsidR="007A6C4E" w:rsidRPr="00D91BB8" w14:paraId="45DC7D56" w14:textId="77777777">
        <w:tc>
          <w:tcPr>
            <w:tcW w:w="1443" w:type="dxa"/>
          </w:tcPr>
          <w:p w14:paraId="5E2D327B" w14:textId="48A74B93" w:rsidR="007A6C4E" w:rsidRDefault="007A6C4E" w:rsidP="00747794">
            <w:pPr>
              <w:widowControl/>
              <w:rPr>
                <w:rFonts w:ascii="Calibri" w:eastAsia="SimSun" w:hAnsi="Calibri" w:cs="Calibri"/>
                <w:sz w:val="22"/>
                <w:lang w:eastAsia="zh-CN"/>
              </w:rPr>
            </w:pPr>
            <w:r w:rsidRPr="00F464CD">
              <w:rPr>
                <w:rFonts w:ascii="Calibri" w:eastAsia="SimSun" w:hAnsi="Calibri" w:cs="Calibri"/>
                <w:sz w:val="22"/>
                <w:lang w:eastAsia="zh-CN"/>
              </w:rPr>
              <w:t>Volkswagen AG</w:t>
            </w:r>
          </w:p>
        </w:tc>
        <w:tc>
          <w:tcPr>
            <w:tcW w:w="1516" w:type="dxa"/>
          </w:tcPr>
          <w:p w14:paraId="06F67885" w14:textId="6747AA86" w:rsidR="007A6C4E" w:rsidRDefault="007A6C4E" w:rsidP="00747794">
            <w:pPr>
              <w:widowControl/>
              <w:rPr>
                <w:rFonts w:ascii="Calibri" w:eastAsia="MS Mincho" w:hAnsi="Calibri" w:cs="Calibri"/>
                <w:sz w:val="22"/>
                <w:lang w:eastAsia="ja-JP"/>
              </w:rPr>
            </w:pPr>
            <w:r>
              <w:rPr>
                <w:rFonts w:ascii="Calibri" w:eastAsia="MS Mincho" w:hAnsi="Calibri" w:cs="Calibri"/>
                <w:sz w:val="22"/>
                <w:lang w:eastAsia="ja-JP"/>
              </w:rPr>
              <w:t>Yes</w:t>
            </w:r>
          </w:p>
        </w:tc>
        <w:tc>
          <w:tcPr>
            <w:tcW w:w="6057" w:type="dxa"/>
          </w:tcPr>
          <w:p w14:paraId="387A4602" w14:textId="6EDA5C19" w:rsidR="007A6C4E" w:rsidRPr="00BF230E" w:rsidRDefault="007A6C4E" w:rsidP="00747794">
            <w:pPr>
              <w:widowControl/>
              <w:wordWrap/>
              <w:rPr>
                <w:rFonts w:ascii="Calibri" w:eastAsia="SimSun" w:hAnsi="Calibri" w:cs="Calibri"/>
                <w:sz w:val="22"/>
                <w:lang w:eastAsia="zh-CN"/>
              </w:rPr>
            </w:pPr>
            <w:r>
              <w:rPr>
                <w:rFonts w:ascii="Calibri" w:eastAsia="SimSun" w:hAnsi="Calibri" w:cs="Calibri"/>
                <w:sz w:val="22"/>
                <w:lang w:eastAsia="zh-CN"/>
              </w:rPr>
              <w:t>Hopefully RAN1 can conclude in the next meetings to enter the normative phase.</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ellenraster"/>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Huawei, Hisilicon</w:t>
            </w:r>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study scope should be based on RAN1’s agreements, and there is no need for RAN to restrict at WID level what particular detailed 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AD"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B1"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r w:rsidR="00AB7643" w:rsidRPr="00D91BB8" w14:paraId="21336026" w14:textId="77777777">
        <w:tc>
          <w:tcPr>
            <w:tcW w:w="1458" w:type="dxa"/>
          </w:tcPr>
          <w:p w14:paraId="6AED535C" w14:textId="183C43C8"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65F72805" w14:textId="77777777"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Option 2</w:t>
            </w:r>
          </w:p>
          <w:p w14:paraId="2DA3D547" w14:textId="2E7B4015" w:rsidR="0071767A" w:rsidRDefault="0071767A" w:rsidP="000B6260">
            <w:pPr>
              <w:widowControl/>
              <w:rPr>
                <w:rFonts w:ascii="Calibri" w:eastAsia="SimSun" w:hAnsi="Calibri" w:cs="Calibri"/>
                <w:sz w:val="22"/>
                <w:lang w:eastAsia="zh-CN"/>
              </w:rPr>
            </w:pPr>
            <w:r>
              <w:rPr>
                <w:rFonts w:ascii="Calibri" w:eastAsia="SimSun" w:hAnsi="Calibri" w:cs="Calibri"/>
                <w:sz w:val="22"/>
                <w:lang w:eastAsia="zh-CN"/>
              </w:rPr>
              <w:t>(Option 1 is second preference)</w:t>
            </w:r>
          </w:p>
        </w:tc>
        <w:tc>
          <w:tcPr>
            <w:tcW w:w="6298" w:type="dxa"/>
          </w:tcPr>
          <w:p w14:paraId="7CC1DD0E" w14:textId="7DE21734" w:rsidR="0071767A" w:rsidRDefault="0071767A" w:rsidP="0071767A">
            <w:pPr>
              <w:widowControl/>
              <w:wordWrap/>
              <w:rPr>
                <w:rFonts w:ascii="Calibri" w:eastAsia="SimSun" w:hAnsi="Calibri" w:cs="Calibri"/>
                <w:sz w:val="22"/>
                <w:lang w:eastAsia="zh-CN"/>
              </w:rPr>
            </w:pPr>
            <w:r>
              <w:rPr>
                <w:rFonts w:ascii="Calibri" w:eastAsia="SimSun" w:hAnsi="Calibri" w:cs="Calibri"/>
                <w:sz w:val="22"/>
                <w:lang w:eastAsia="zh-CN"/>
              </w:rPr>
              <w:t>Clear capture in WID is preferable, to avoid further discussion for mechanism other than listed in the last RAN1 meeting.</w:t>
            </w:r>
          </w:p>
          <w:p w14:paraId="0139CB28" w14:textId="54F9E864" w:rsidR="00AB7643" w:rsidRDefault="00AB7643" w:rsidP="0071767A">
            <w:pPr>
              <w:widowControl/>
              <w:wordWrap/>
              <w:rPr>
                <w:rFonts w:ascii="Calibri" w:eastAsia="SimSun" w:hAnsi="Calibri" w:cs="Calibri"/>
                <w:sz w:val="22"/>
                <w:lang w:eastAsia="zh-CN"/>
              </w:rPr>
            </w:pPr>
            <w:r>
              <w:rPr>
                <w:rFonts w:ascii="Calibri" w:eastAsia="SimSun" w:hAnsi="Calibri" w:cs="Calibri"/>
                <w:sz w:val="22"/>
                <w:lang w:eastAsia="zh-CN"/>
              </w:rPr>
              <w:t xml:space="preserve">Basically, RAN1 will study the mechanisms at the next meeting, which were listed at the last RAN1 meeting. In that sense, updating the WID to capture the mechanisms might be unnecessary. On the other hand, it seems that the agreement did not preclude other </w:t>
            </w:r>
            <w:r>
              <w:rPr>
                <w:rFonts w:ascii="Calibri" w:eastAsia="SimSun" w:hAnsi="Calibri" w:cs="Calibri"/>
                <w:sz w:val="22"/>
                <w:lang w:eastAsia="zh-CN"/>
              </w:rPr>
              <w:lastRenderedPageBreak/>
              <w:t>mechanism.</w:t>
            </w:r>
            <w:r w:rsidR="0071767A">
              <w:rPr>
                <w:rFonts w:ascii="Calibri" w:eastAsia="SimSun" w:hAnsi="Calibri" w:cs="Calibri"/>
                <w:sz w:val="22"/>
                <w:lang w:eastAsia="zh-CN"/>
              </w:rPr>
              <w:t xml:space="preserve"> Therefore, update of the WID is beneficial from this perspective.</w:t>
            </w:r>
          </w:p>
        </w:tc>
      </w:tr>
      <w:tr w:rsidR="00866615" w:rsidRPr="00D91BB8" w14:paraId="561A1F98" w14:textId="77777777">
        <w:tc>
          <w:tcPr>
            <w:tcW w:w="1458" w:type="dxa"/>
          </w:tcPr>
          <w:p w14:paraId="5A0EC9D2" w14:textId="329DC97F"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lastRenderedPageBreak/>
              <w:t>Fraunhofer</w:t>
            </w:r>
          </w:p>
        </w:tc>
        <w:tc>
          <w:tcPr>
            <w:tcW w:w="1260" w:type="dxa"/>
          </w:tcPr>
          <w:p w14:paraId="046153D6" w14:textId="6A47E912"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24D9E45A" w14:textId="63C552DF"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fine with the current wording for the scope of inter-UE coordination. The study timeline needs to be updated.</w:t>
            </w:r>
          </w:p>
        </w:tc>
      </w:tr>
      <w:tr w:rsidR="00747794" w:rsidRPr="00D91BB8" w14:paraId="21466E5F" w14:textId="77777777">
        <w:tc>
          <w:tcPr>
            <w:tcW w:w="1458" w:type="dxa"/>
          </w:tcPr>
          <w:p w14:paraId="0858705F" w14:textId="295B3DD3"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Sony</w:t>
            </w:r>
          </w:p>
        </w:tc>
        <w:tc>
          <w:tcPr>
            <w:tcW w:w="1260" w:type="dxa"/>
          </w:tcPr>
          <w:p w14:paraId="43DB910A" w14:textId="2C5F95E1"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Option 1</w:t>
            </w:r>
          </w:p>
        </w:tc>
        <w:tc>
          <w:tcPr>
            <w:tcW w:w="6298" w:type="dxa"/>
          </w:tcPr>
          <w:p w14:paraId="59580862" w14:textId="6A05A47D" w:rsidR="00747794" w:rsidRDefault="00747794" w:rsidP="00747794">
            <w:pPr>
              <w:widowControl/>
              <w:wordWrap/>
              <w:rPr>
                <w:rFonts w:ascii="Calibri" w:eastAsia="SimSun" w:hAnsi="Calibri" w:cs="Calibri"/>
                <w:sz w:val="22"/>
                <w:lang w:eastAsia="zh-CN"/>
              </w:rPr>
            </w:pPr>
            <w:r>
              <w:rPr>
                <w:rFonts w:ascii="Calibri" w:eastAsia="MS Mincho" w:hAnsi="Calibri" w:cs="Calibri"/>
                <w:sz w:val="22"/>
                <w:lang w:eastAsia="ja-JP"/>
              </w:rPr>
              <w:t>We could make a conclusion on feasibility and benefit of inter-UE coordination based on the RAN1 progress. But we don’t have to update the current wording on the scope.</w:t>
            </w:r>
          </w:p>
        </w:tc>
      </w:tr>
      <w:tr w:rsidR="00BF230E" w:rsidRPr="00D91BB8" w14:paraId="113BF854" w14:textId="77777777">
        <w:tc>
          <w:tcPr>
            <w:tcW w:w="1458" w:type="dxa"/>
          </w:tcPr>
          <w:p w14:paraId="3FA74A92" w14:textId="5AE83C95"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Mitsubishi</w:t>
            </w:r>
          </w:p>
        </w:tc>
        <w:tc>
          <w:tcPr>
            <w:tcW w:w="1260" w:type="dxa"/>
          </w:tcPr>
          <w:p w14:paraId="0FE48F52" w14:textId="628161B1"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Option 1</w:t>
            </w:r>
          </w:p>
        </w:tc>
        <w:tc>
          <w:tcPr>
            <w:tcW w:w="6298" w:type="dxa"/>
          </w:tcPr>
          <w:p w14:paraId="4E5AECD1" w14:textId="0B1E85EE" w:rsidR="00BF230E" w:rsidRDefault="00BF230E" w:rsidP="00747794">
            <w:pPr>
              <w:widowControl/>
              <w:wordWrap/>
              <w:rPr>
                <w:rFonts w:ascii="Calibri" w:eastAsia="MS Mincho" w:hAnsi="Calibri" w:cs="Calibri"/>
                <w:sz w:val="22"/>
                <w:lang w:eastAsia="ja-JP"/>
              </w:rPr>
            </w:pPr>
            <w:r>
              <w:rPr>
                <w:rFonts w:ascii="Calibri" w:eastAsia="MS Mincho" w:hAnsi="Calibri" w:cs="Calibri"/>
                <w:sz w:val="22"/>
                <w:lang w:eastAsia="ja-JP"/>
              </w:rPr>
              <w:t>The conclusions of RAN1 allow to pursue the study as is until the next meeting. Option 2 is also OK.</w:t>
            </w:r>
          </w:p>
        </w:tc>
      </w:tr>
      <w:tr w:rsidR="007A6C4E" w:rsidRPr="00D91BB8" w14:paraId="57D6A82E" w14:textId="77777777">
        <w:tc>
          <w:tcPr>
            <w:tcW w:w="1458" w:type="dxa"/>
          </w:tcPr>
          <w:p w14:paraId="0EA10AB6" w14:textId="1CF024D9" w:rsidR="007A6C4E" w:rsidRDefault="007A6C4E" w:rsidP="00747794">
            <w:pPr>
              <w:widowControl/>
              <w:rPr>
                <w:rFonts w:ascii="Calibri" w:eastAsia="MS Mincho" w:hAnsi="Calibri" w:cs="Calibri"/>
                <w:sz w:val="22"/>
                <w:lang w:eastAsia="ja-JP"/>
              </w:rPr>
            </w:pPr>
            <w:r w:rsidRPr="007A6C4E">
              <w:rPr>
                <w:rFonts w:ascii="Calibri" w:eastAsia="MS Mincho" w:hAnsi="Calibri" w:cs="Calibri"/>
                <w:sz w:val="22"/>
                <w:lang w:eastAsia="ja-JP"/>
              </w:rPr>
              <w:t>Volkswagen AG</w:t>
            </w:r>
          </w:p>
        </w:tc>
        <w:tc>
          <w:tcPr>
            <w:tcW w:w="1260" w:type="dxa"/>
          </w:tcPr>
          <w:p w14:paraId="5324ACC0" w14:textId="7580BF75" w:rsidR="007A6C4E" w:rsidRDefault="007A6C4E" w:rsidP="00747794">
            <w:pPr>
              <w:widowControl/>
              <w:rPr>
                <w:rFonts w:ascii="Calibri" w:eastAsia="MS Mincho" w:hAnsi="Calibri" w:cs="Calibri"/>
                <w:sz w:val="22"/>
                <w:lang w:eastAsia="ja-JP"/>
              </w:rPr>
            </w:pPr>
            <w:r>
              <w:rPr>
                <w:rFonts w:ascii="Calibri" w:eastAsia="MS Mincho" w:hAnsi="Calibri" w:cs="Calibri"/>
                <w:sz w:val="22"/>
                <w:lang w:eastAsia="ja-JP"/>
              </w:rPr>
              <w:t>Option 1</w:t>
            </w:r>
          </w:p>
        </w:tc>
        <w:tc>
          <w:tcPr>
            <w:tcW w:w="6298" w:type="dxa"/>
          </w:tcPr>
          <w:p w14:paraId="41042A46" w14:textId="554D7A4C" w:rsidR="007A6C4E" w:rsidRDefault="007A6C4E" w:rsidP="00747794">
            <w:pPr>
              <w:widowControl/>
              <w:wordWrap/>
              <w:rPr>
                <w:rFonts w:ascii="Calibri" w:eastAsia="MS Mincho" w:hAnsi="Calibri" w:cs="Calibri"/>
                <w:sz w:val="22"/>
                <w:lang w:eastAsia="ja-JP"/>
              </w:rPr>
            </w:pPr>
            <w:r>
              <w:rPr>
                <w:rFonts w:ascii="Calibri" w:eastAsia="MS Mincho" w:hAnsi="Calibri" w:cs="Calibri"/>
                <w:sz w:val="22"/>
                <w:lang w:eastAsia="ja-JP"/>
              </w:rPr>
              <w:t>Continue with the scope as agreed on when the WID was drafted.</w:t>
            </w:r>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2: Sidelink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Tabellenraster"/>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r>
              <w:rPr>
                <w:rFonts w:ascii="Times New Roman" w:eastAsia="Malgun Gothic"/>
                <w:kern w:val="0"/>
                <w:szCs w:val="20"/>
                <w:lang w:val="en-GB"/>
              </w:rPr>
              <w:t>Sidelink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with Uu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ellenraster"/>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(cf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lastRenderedPageBreak/>
              <w:t>Apple</w:t>
            </w:r>
          </w:p>
        </w:tc>
        <w:tc>
          <w:tcPr>
            <w:tcW w:w="1260" w:type="dxa"/>
          </w:tcPr>
          <w:p w14:paraId="1F1FCA1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sidelink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In our view it can be decided/revised at a later stage if necessary. Given that details of partial sensing operation are not agreed yet, there is no need strong motivation for upcoming meeting.</w:t>
            </w:r>
          </w:p>
        </w:tc>
      </w:tr>
      <w:tr w:rsidR="0071767A" w:rsidRPr="00D91BB8" w14:paraId="4082D4E5" w14:textId="77777777">
        <w:tc>
          <w:tcPr>
            <w:tcW w:w="1458" w:type="dxa"/>
          </w:tcPr>
          <w:p w14:paraId="731EB83A" w14:textId="5BDB92DF"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7C8E71E4" w14:textId="66FCDC69"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FB43C86" w14:textId="5D364B71" w:rsidR="0071767A" w:rsidRDefault="0071767A" w:rsidP="00F7494D">
            <w:pPr>
              <w:widowControl/>
              <w:wordWrap/>
              <w:rPr>
                <w:rFonts w:ascii="Calibri" w:eastAsia="SimSun" w:hAnsi="Calibri" w:cs="Calibri"/>
                <w:sz w:val="22"/>
                <w:lang w:eastAsia="zh-CN"/>
              </w:rPr>
            </w:pPr>
            <w:r>
              <w:rPr>
                <w:rFonts w:ascii="Calibri" w:eastAsia="SimSun" w:hAnsi="Calibri" w:cs="Calibri"/>
                <w:sz w:val="22"/>
                <w:lang w:eastAsia="zh-CN"/>
              </w:rPr>
              <w:t>DRX is related to resource allocation mecha</w:t>
            </w:r>
            <w:r w:rsidR="00F7494D">
              <w:rPr>
                <w:rFonts w:ascii="Calibri" w:eastAsia="SimSun" w:hAnsi="Calibri" w:cs="Calibri"/>
                <w:sz w:val="22"/>
                <w:lang w:eastAsia="zh-CN"/>
              </w:rPr>
              <w:t>nism, which was designed mainly in RAN1</w:t>
            </w:r>
            <w:r>
              <w:rPr>
                <w:rFonts w:ascii="Calibri" w:eastAsia="SimSun" w:hAnsi="Calibri" w:cs="Calibri"/>
                <w:sz w:val="22"/>
                <w:lang w:eastAsia="zh-CN"/>
              </w:rPr>
              <w:t>. In that sense, it can be said that RAN1 is one of the related working groups.</w:t>
            </w:r>
          </w:p>
        </w:tc>
      </w:tr>
      <w:tr w:rsidR="00866615" w:rsidRPr="00D91BB8" w14:paraId="04E387BB" w14:textId="77777777">
        <w:tc>
          <w:tcPr>
            <w:tcW w:w="1458" w:type="dxa"/>
          </w:tcPr>
          <w:p w14:paraId="3DEE24CE" w14:textId="5FEFDA3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260" w:type="dxa"/>
          </w:tcPr>
          <w:p w14:paraId="7406BAD7" w14:textId="0F92E9C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413AB94D" w14:textId="121EB4C3"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supportive of adding RAN1 as a secondary WG. There are certain aspects of SL DRX related to power saving that should be treated in RAN1, such as the relationship between SL DRX and partial sensing, as well as the impact on measurements (e.g. CR, CBR).</w:t>
            </w:r>
          </w:p>
        </w:tc>
      </w:tr>
      <w:tr w:rsidR="00747794" w:rsidRPr="00D91BB8" w14:paraId="36EDA9A7" w14:textId="77777777">
        <w:tc>
          <w:tcPr>
            <w:tcW w:w="1458" w:type="dxa"/>
          </w:tcPr>
          <w:p w14:paraId="18395C1A" w14:textId="2D8AB19D"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Sony</w:t>
            </w:r>
          </w:p>
        </w:tc>
        <w:tc>
          <w:tcPr>
            <w:tcW w:w="1260" w:type="dxa"/>
          </w:tcPr>
          <w:p w14:paraId="6B8F1F5E" w14:textId="3CCC9932"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Yes</w:t>
            </w:r>
          </w:p>
        </w:tc>
        <w:tc>
          <w:tcPr>
            <w:tcW w:w="6298" w:type="dxa"/>
          </w:tcPr>
          <w:p w14:paraId="6CB355C0" w14:textId="101DDFBE" w:rsidR="00747794" w:rsidRDefault="00747794" w:rsidP="00747794">
            <w:pPr>
              <w:widowControl/>
              <w:wordWrap/>
              <w:rPr>
                <w:rFonts w:ascii="Calibri" w:eastAsia="SimSun" w:hAnsi="Calibri" w:cs="Calibri"/>
                <w:sz w:val="22"/>
                <w:lang w:eastAsia="zh-CN"/>
              </w:rPr>
            </w:pPr>
            <w:r>
              <w:rPr>
                <w:rFonts w:ascii="Calibri" w:eastAsia="MS Mincho" w:hAnsi="Calibri" w:cs="Calibri"/>
                <w:sz w:val="22"/>
                <w:lang w:eastAsia="ja-JP"/>
              </w:rPr>
              <w:t>We have discussed impacts on RAN1 resource allocation from sidelink DRX. We prefer to add RAN1 as a secondary WG for sidelink DRX to avoid non-compatible operations.</w:t>
            </w:r>
          </w:p>
        </w:tc>
      </w:tr>
      <w:tr w:rsidR="007A6C4E" w:rsidRPr="00D91BB8" w14:paraId="1B04311F" w14:textId="77777777">
        <w:tc>
          <w:tcPr>
            <w:tcW w:w="1458" w:type="dxa"/>
          </w:tcPr>
          <w:p w14:paraId="7C95A838" w14:textId="063AE3DB" w:rsidR="007A6C4E" w:rsidRDefault="007A6C4E" w:rsidP="007A6C4E">
            <w:pPr>
              <w:widowControl/>
              <w:rPr>
                <w:rFonts w:ascii="Calibri" w:eastAsia="MS Mincho" w:hAnsi="Calibri" w:cs="Calibri"/>
                <w:sz w:val="22"/>
                <w:lang w:eastAsia="ja-JP"/>
              </w:rPr>
            </w:pPr>
            <w:r w:rsidRPr="007A6C4E">
              <w:rPr>
                <w:rFonts w:ascii="Calibri" w:eastAsia="MS Mincho" w:hAnsi="Calibri" w:cs="Calibri"/>
                <w:sz w:val="22"/>
                <w:lang w:eastAsia="ja-JP"/>
              </w:rPr>
              <w:t>Volkswagen AG</w:t>
            </w:r>
          </w:p>
        </w:tc>
        <w:tc>
          <w:tcPr>
            <w:tcW w:w="1260" w:type="dxa"/>
          </w:tcPr>
          <w:p w14:paraId="14635FF6" w14:textId="77777777" w:rsidR="007A6C4E" w:rsidRDefault="007A6C4E" w:rsidP="007A6C4E">
            <w:pPr>
              <w:widowControl/>
              <w:rPr>
                <w:rFonts w:ascii="Calibri" w:eastAsia="MS Mincho" w:hAnsi="Calibri" w:cs="Calibri"/>
                <w:sz w:val="22"/>
                <w:lang w:eastAsia="ja-JP"/>
              </w:rPr>
            </w:pPr>
          </w:p>
        </w:tc>
        <w:tc>
          <w:tcPr>
            <w:tcW w:w="6298" w:type="dxa"/>
          </w:tcPr>
          <w:p w14:paraId="436529DF" w14:textId="416CC3CC" w:rsidR="007A6C4E" w:rsidRDefault="007A6C4E" w:rsidP="007A6C4E">
            <w:pPr>
              <w:widowControl/>
              <w:wordWrap/>
              <w:rPr>
                <w:rFonts w:ascii="Calibri" w:eastAsia="MS Mincho" w:hAnsi="Calibri" w:cs="Calibri"/>
                <w:sz w:val="22"/>
                <w:lang w:eastAsia="ja-JP"/>
              </w:rPr>
            </w:pPr>
            <w:r>
              <w:rPr>
                <w:rFonts w:ascii="Calibri" w:eastAsia="MS Mincho" w:hAnsi="Calibri" w:cs="Calibri"/>
                <w:sz w:val="22"/>
                <w:lang w:eastAsia="ja-JP"/>
              </w:rPr>
              <w:t xml:space="preserve">All resource allocation impacts of power saving mechanisms need to be considered. </w:t>
            </w:r>
            <w:r>
              <w:rPr>
                <w:rFonts w:ascii="Calibri" w:eastAsia="MS Mincho" w:hAnsi="Calibri" w:cs="Calibri"/>
                <w:sz w:val="22"/>
                <w:lang w:eastAsia="ja-JP"/>
              </w:rPr>
              <w:t>W</w:t>
            </w:r>
            <w:r>
              <w:rPr>
                <w:rFonts w:ascii="Calibri" w:eastAsia="MS Mincho" w:hAnsi="Calibri" w:cs="Calibri"/>
                <w:sz w:val="22"/>
                <w:lang w:eastAsia="ja-JP"/>
              </w:rPr>
              <w:t>e support Nokia’s proposal.</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Tabellenraster"/>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MS Mincho"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lastRenderedPageBreak/>
              <w:t>H</w:t>
            </w:r>
            <w:r>
              <w:rPr>
                <w:rFonts w:ascii="Calibri" w:eastAsia="MS Mincho" w:hAnsi="Calibri" w:cs="Calibri"/>
                <w:sz w:val="22"/>
                <w:lang w:eastAsia="ja-JP"/>
              </w:rPr>
              <w:t>uawei, HiSilicon</w:t>
            </w:r>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Specify mechanism aiming to enhance sensing and resource allocation when sidelink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tr w:rsidR="0071767A" w14:paraId="1F7F653E" w14:textId="77777777">
        <w:tc>
          <w:tcPr>
            <w:tcW w:w="1458" w:type="dxa"/>
          </w:tcPr>
          <w:p w14:paraId="6B6C773F" w14:textId="07C1DB32"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3B27A6FF" w14:textId="04828103"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3E48E5" w14:textId="6D14089D" w:rsidR="0071767A" w:rsidRDefault="00F7494D" w:rsidP="00F7494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Resource allocation (including sensing, resource selection, etc.) should be captured for RAN1 work. </w:t>
            </w:r>
          </w:p>
        </w:tc>
      </w:tr>
      <w:tr w:rsidR="00866615" w14:paraId="36846D9F" w14:textId="77777777">
        <w:tc>
          <w:tcPr>
            <w:tcW w:w="1458" w:type="dxa"/>
          </w:tcPr>
          <w:p w14:paraId="5BBA61C0" w14:textId="5A1C794C"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Fraunhofer</w:t>
            </w:r>
          </w:p>
        </w:tc>
        <w:tc>
          <w:tcPr>
            <w:tcW w:w="1260" w:type="dxa"/>
          </w:tcPr>
          <w:p w14:paraId="1844DFE3" w14:textId="11662C9B"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No</w:t>
            </w:r>
          </w:p>
        </w:tc>
        <w:tc>
          <w:tcPr>
            <w:tcW w:w="6298" w:type="dxa"/>
          </w:tcPr>
          <w:p w14:paraId="254DD8D7" w14:textId="77777777" w:rsidR="00866615" w:rsidRDefault="00866615" w:rsidP="00866615">
            <w:pPr>
              <w:widowControl/>
              <w:kinsoku w:val="0"/>
              <w:wordWrap/>
              <w:overflowPunct w:val="0"/>
              <w:rPr>
                <w:rFonts w:ascii="Calibri" w:eastAsia="SimSun" w:hAnsi="Calibri" w:cs="Calibri"/>
                <w:sz w:val="22"/>
                <w:lang w:eastAsia="zh-CN"/>
              </w:rPr>
            </w:pPr>
          </w:p>
        </w:tc>
      </w:tr>
      <w:tr w:rsidR="00747794" w14:paraId="2C343DF9" w14:textId="77777777">
        <w:tc>
          <w:tcPr>
            <w:tcW w:w="1458" w:type="dxa"/>
          </w:tcPr>
          <w:p w14:paraId="76894B33" w14:textId="7181A0FC" w:rsidR="00747794" w:rsidRPr="00747794" w:rsidRDefault="00747794" w:rsidP="0086661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260" w:type="dxa"/>
          </w:tcPr>
          <w:p w14:paraId="0C16D87E" w14:textId="34D26CC3" w:rsidR="00747794" w:rsidRPr="00747794" w:rsidRDefault="00747794" w:rsidP="0086661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637C2214" w14:textId="77777777" w:rsidR="00747794" w:rsidRDefault="00747794" w:rsidP="00866615">
            <w:pPr>
              <w:widowControl/>
              <w:kinsoku w:val="0"/>
              <w:wordWrap/>
              <w:overflowPunct w:val="0"/>
              <w:rPr>
                <w:rFonts w:ascii="Calibri" w:eastAsia="SimSun" w:hAnsi="Calibri" w:cs="Calibri"/>
                <w:sz w:val="22"/>
                <w:lang w:eastAsia="zh-CN"/>
              </w:rPr>
            </w:pPr>
          </w:p>
        </w:tc>
      </w:tr>
      <w:tr w:rsidR="007A6C4E" w14:paraId="749E43CC" w14:textId="77777777">
        <w:tc>
          <w:tcPr>
            <w:tcW w:w="1458" w:type="dxa"/>
          </w:tcPr>
          <w:p w14:paraId="6124F309" w14:textId="01F05541" w:rsidR="007A6C4E" w:rsidRDefault="007A6C4E" w:rsidP="00866615">
            <w:pPr>
              <w:widowControl/>
              <w:kinsoku w:val="0"/>
              <w:wordWrap/>
              <w:overflowPunct w:val="0"/>
              <w:rPr>
                <w:rFonts w:ascii="Calibri" w:eastAsia="MS Mincho" w:hAnsi="Calibri" w:cs="Calibri" w:hint="eastAsia"/>
                <w:sz w:val="22"/>
                <w:lang w:eastAsia="ja-JP"/>
              </w:rPr>
            </w:pPr>
            <w:r w:rsidRPr="007A6C4E">
              <w:rPr>
                <w:rFonts w:ascii="Calibri" w:eastAsia="MS Mincho" w:hAnsi="Calibri" w:cs="Calibri"/>
                <w:sz w:val="22"/>
                <w:lang w:eastAsia="ja-JP"/>
              </w:rPr>
              <w:t>Volkswagen AG</w:t>
            </w:r>
          </w:p>
        </w:tc>
        <w:tc>
          <w:tcPr>
            <w:tcW w:w="1260" w:type="dxa"/>
          </w:tcPr>
          <w:p w14:paraId="618C9D19" w14:textId="4646A5D9" w:rsidR="007A6C4E" w:rsidRDefault="007A6C4E" w:rsidP="00866615">
            <w:pPr>
              <w:widowControl/>
              <w:kinsoku w:val="0"/>
              <w:wordWrap/>
              <w:overflowPunct w:val="0"/>
              <w:rPr>
                <w:rFonts w:ascii="Calibri" w:eastAsia="MS Mincho" w:hAnsi="Calibri" w:cs="Calibri" w:hint="eastAsia"/>
                <w:sz w:val="22"/>
                <w:lang w:eastAsia="ja-JP"/>
              </w:rPr>
            </w:pPr>
            <w:r>
              <w:rPr>
                <w:rFonts w:ascii="Calibri" w:eastAsia="MS Mincho" w:hAnsi="Calibri" w:cs="Calibri"/>
                <w:sz w:val="22"/>
                <w:lang w:eastAsia="ja-JP"/>
              </w:rPr>
              <w:t>Yes</w:t>
            </w:r>
          </w:p>
        </w:tc>
        <w:tc>
          <w:tcPr>
            <w:tcW w:w="6298" w:type="dxa"/>
          </w:tcPr>
          <w:p w14:paraId="6A73B972" w14:textId="24E741CA" w:rsidR="007A6C4E" w:rsidRDefault="007A6C4E" w:rsidP="0086661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Same comment than Ericsson</w:t>
            </w:r>
          </w:p>
        </w:tc>
      </w:tr>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 ensure sidelink operation to be confined in a predetermined geographic area), RAN2 confirms that no extra standard efforts need to be done in RAN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Huawei, Hisilicon</w:t>
            </w:r>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On vivo’s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lastRenderedPageBreak/>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r w:rsidR="00866615" w14:paraId="32AB2E19" w14:textId="77777777">
        <w:tc>
          <w:tcPr>
            <w:tcW w:w="1458" w:type="dxa"/>
          </w:tcPr>
          <w:p w14:paraId="16C098AE" w14:textId="5262842A"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Fraunhofer</w:t>
            </w:r>
          </w:p>
        </w:tc>
        <w:tc>
          <w:tcPr>
            <w:tcW w:w="7609" w:type="dxa"/>
          </w:tcPr>
          <w:p w14:paraId="75AE16BC" w14:textId="28751979"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Considering that inter-UE coordination contributes to power saving for P-UEs, we see it is a possible new solution to reduce power consumption. Since both power saving and inter-UE coordination topics are discussed individually, the combination thereof should also be considered.</w:t>
            </w:r>
          </w:p>
        </w:tc>
      </w:tr>
      <w:tr w:rsidR="007A6C4E" w14:paraId="5D103516" w14:textId="77777777">
        <w:tc>
          <w:tcPr>
            <w:tcW w:w="1458" w:type="dxa"/>
          </w:tcPr>
          <w:p w14:paraId="6B95548B" w14:textId="403573B3" w:rsidR="007A6C4E" w:rsidRDefault="007A6C4E" w:rsidP="00866615">
            <w:pPr>
              <w:widowControl/>
              <w:kinsoku w:val="0"/>
              <w:wordWrap/>
              <w:overflowPunct w:val="0"/>
              <w:rPr>
                <w:rFonts w:ascii="Calibri" w:hAnsi="Calibri" w:cs="Calibri"/>
                <w:sz w:val="22"/>
              </w:rPr>
            </w:pPr>
            <w:r>
              <w:rPr>
                <w:rFonts w:ascii="Calibri" w:hAnsi="Calibri" w:cs="Calibri"/>
                <w:sz w:val="22"/>
              </w:rPr>
              <w:t>Volkswagen AG</w:t>
            </w:r>
            <w:bookmarkStart w:id="0" w:name="_GoBack"/>
            <w:bookmarkEnd w:id="0"/>
          </w:p>
        </w:tc>
        <w:tc>
          <w:tcPr>
            <w:tcW w:w="7609" w:type="dxa"/>
          </w:tcPr>
          <w:p w14:paraId="5AD94A9C" w14:textId="1B83E4AB" w:rsidR="007A6C4E" w:rsidRDefault="007A6C4E" w:rsidP="00866615">
            <w:pPr>
              <w:widowControl/>
              <w:kinsoku w:val="0"/>
              <w:wordWrap/>
              <w:overflowPunct w:val="0"/>
              <w:rPr>
                <w:rFonts w:ascii="Calibri" w:hAnsi="Calibri" w:cs="Calibri"/>
                <w:sz w:val="22"/>
              </w:rPr>
            </w:pPr>
            <w:r>
              <w:rPr>
                <w:rFonts w:ascii="Calibri" w:hAnsi="Calibri" w:cs="Calibri"/>
                <w:sz w:val="22"/>
              </w:rPr>
              <w:t>The paramount of REL-17 sidelink work needs to be the compatibility with the REL-16 sidelink. There is no use of REL-17 VRU’s which can’t communicate with vehicles using REL-16 sidelink.</w:t>
            </w:r>
          </w:p>
        </w:tc>
      </w:tr>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202217    Scope update for R17 Sidelink Enhancements    Futurewei</w:t>
      </w:r>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202378    Views on the WI on NR sidelink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202562    Discussion of Sidelink DRX on Rel-17 NR Sidelink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202571    Scope of Rel-17 WI on sidelink enhancement    Huawei, HiSilicon</w:t>
      </w:r>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202644    Discusison on Rel-17 SL enhancememt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202673    Views on work scope of Rel-17 NR sidelink enhancement    ZTE, Sanechips</w:t>
      </w:r>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202253    Revised WID on NR Sidelink enhancement    LG Electronics</w:t>
      </w:r>
    </w:p>
    <w:sectPr w:rsidR="0065173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F6F0B" w14:textId="77777777" w:rsidR="001C7AE5" w:rsidRDefault="001C7AE5" w:rsidP="00747794">
      <w:r>
        <w:separator/>
      </w:r>
    </w:p>
  </w:endnote>
  <w:endnote w:type="continuationSeparator" w:id="0">
    <w:p w14:paraId="5F21AB04" w14:textId="77777777" w:rsidR="001C7AE5" w:rsidRDefault="001C7AE5" w:rsidP="0074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New Gulim"/>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91CA" w14:textId="77777777" w:rsidR="001C7AE5" w:rsidRDefault="001C7AE5" w:rsidP="00747794">
      <w:r>
        <w:separator/>
      </w:r>
    </w:p>
  </w:footnote>
  <w:footnote w:type="continuationSeparator" w:id="0">
    <w:p w14:paraId="10DB3850" w14:textId="77777777" w:rsidR="001C7AE5" w:rsidRDefault="001C7AE5" w:rsidP="0074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C7AE5"/>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D2F54"/>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1767A"/>
    <w:rsid w:val="00722034"/>
    <w:rsid w:val="0072329D"/>
    <w:rsid w:val="0072388A"/>
    <w:rsid w:val="00724A78"/>
    <w:rsid w:val="00727F98"/>
    <w:rsid w:val="007301A2"/>
    <w:rsid w:val="00733B65"/>
    <w:rsid w:val="00733E39"/>
    <w:rsid w:val="007343FB"/>
    <w:rsid w:val="00740D19"/>
    <w:rsid w:val="00747794"/>
    <w:rsid w:val="007537F3"/>
    <w:rsid w:val="007540E7"/>
    <w:rsid w:val="007A1003"/>
    <w:rsid w:val="007A133E"/>
    <w:rsid w:val="007A232E"/>
    <w:rsid w:val="007A6C4E"/>
    <w:rsid w:val="007C61E9"/>
    <w:rsid w:val="007D4002"/>
    <w:rsid w:val="007D75D4"/>
    <w:rsid w:val="007F6B9A"/>
    <w:rsid w:val="00801297"/>
    <w:rsid w:val="008027FE"/>
    <w:rsid w:val="0082286E"/>
    <w:rsid w:val="00823536"/>
    <w:rsid w:val="00836360"/>
    <w:rsid w:val="00854138"/>
    <w:rsid w:val="00862725"/>
    <w:rsid w:val="0086661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B7643"/>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D1C90"/>
    <w:rsid w:val="00BE11EE"/>
    <w:rsid w:val="00BE2E14"/>
    <w:rsid w:val="00BF0D8C"/>
    <w:rsid w:val="00BF230E"/>
    <w:rsid w:val="00C07B11"/>
    <w:rsid w:val="00C21313"/>
    <w:rsid w:val="00C4484E"/>
    <w:rsid w:val="00C4650D"/>
    <w:rsid w:val="00C97638"/>
    <w:rsid w:val="00CB2710"/>
    <w:rsid w:val="00CD07A4"/>
    <w:rsid w:val="00CE6166"/>
    <w:rsid w:val="00D236B7"/>
    <w:rsid w:val="00D34E97"/>
    <w:rsid w:val="00D46CEB"/>
    <w:rsid w:val="00D47FE2"/>
    <w:rsid w:val="00D7006B"/>
    <w:rsid w:val="00D707A5"/>
    <w:rsid w:val="00D71476"/>
    <w:rsid w:val="00D91BB8"/>
    <w:rsid w:val="00DB3998"/>
    <w:rsid w:val="00DE462A"/>
    <w:rsid w:val="00DF3788"/>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7494D"/>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berschrift5">
    <w:name w:val="heading 5"/>
    <w:basedOn w:val="Standard"/>
    <w:next w:val="Standard"/>
    <w:link w:val="berschrift5Zchn"/>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Pr>
      <w:rFonts w:ascii="Tahoma" w:hAnsi="Tahoma" w:cs="Tahoma"/>
      <w:sz w:val="16"/>
      <w:szCs w:val="16"/>
    </w:rPr>
  </w:style>
  <w:style w:type="paragraph" w:styleId="Kommentartext">
    <w:name w:val="annotation text"/>
    <w:basedOn w:val="Standard"/>
    <w:link w:val="KommentartextZchn"/>
    <w:uiPriority w:val="99"/>
    <w:semiHidden/>
    <w:unhideWhenUsed/>
    <w:pPr>
      <w:jc w:val="left"/>
    </w:pPr>
  </w:style>
  <w:style w:type="paragraph" w:styleId="Liste2">
    <w:name w:val="List 2"/>
    <w:basedOn w:val="Standard"/>
    <w:uiPriority w:val="99"/>
    <w:semiHidden/>
    <w:unhideWhenUsed/>
    <w:qFormat/>
    <w:pPr>
      <w:ind w:left="720" w:hanging="360"/>
      <w:contextualSpacing/>
    </w:pPr>
  </w:style>
  <w:style w:type="paragraph" w:styleId="Sprechblasentext">
    <w:name w:val="Balloon Text"/>
    <w:basedOn w:val="Standard"/>
    <w:link w:val="SprechblasentextZchn"/>
    <w:uiPriority w:val="99"/>
    <w:semiHidden/>
    <w:unhideWhenUsed/>
    <w:rPr>
      <w:rFonts w:asciiTheme="majorHAnsi" w:eastAsiaTheme="majorEastAsia" w:hAnsiTheme="majorHAnsi" w:cstheme="majorBidi"/>
      <w:sz w:val="18"/>
      <w:szCs w:val="18"/>
    </w:rPr>
  </w:style>
  <w:style w:type="paragraph" w:styleId="Fuzeile">
    <w:name w:val="footer"/>
    <w:basedOn w:val="Standard"/>
    <w:link w:val="FuzeileZchn"/>
    <w:uiPriority w:val="99"/>
    <w:unhideWhenUsed/>
    <w:pPr>
      <w:tabs>
        <w:tab w:val="center" w:pos="4513"/>
        <w:tab w:val="right" w:pos="9026"/>
      </w:tabs>
      <w:snapToGrid w:val="0"/>
    </w:pPr>
  </w:style>
  <w:style w:type="paragraph" w:styleId="Kopfzeile">
    <w:name w:val="header"/>
    <w:basedOn w:val="Standard"/>
    <w:link w:val="KopfzeileZchn"/>
    <w:uiPriority w:val="99"/>
    <w:unhideWhenUsed/>
    <w:pPr>
      <w:tabs>
        <w:tab w:val="center" w:pos="4513"/>
        <w:tab w:val="right" w:pos="9026"/>
      </w:tabs>
      <w:snapToGrid w:val="0"/>
    </w:pPr>
  </w:style>
  <w:style w:type="paragraph" w:styleId="Liste">
    <w:name w:val="List"/>
    <w:basedOn w:val="Standard"/>
    <w:uiPriority w:val="99"/>
    <w:semiHidden/>
    <w:unhideWhenUsed/>
    <w:qFormat/>
    <w:pPr>
      <w:ind w:left="360" w:hanging="360"/>
      <w:contextualSpacing/>
    </w:pPr>
  </w:style>
  <w:style w:type="paragraph" w:styleId="Kommentarthema">
    <w:name w:val="annotation subject"/>
    <w:basedOn w:val="Kommentartext"/>
    <w:next w:val="Kommentartext"/>
    <w:link w:val="KommentarthemaZchn"/>
    <w:uiPriority w:val="99"/>
    <w:semiHidden/>
    <w:unhideWhenUsed/>
    <w:qFormat/>
    <w:rPr>
      <w:b/>
      <w:bC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8"/>
      <w:szCs w:val="18"/>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qFormat/>
    <w:rPr>
      <w:rFonts w:ascii="Arial" w:eastAsia="Batang" w:hAnsi="Arial" w:cs="Times New Roman"/>
      <w:kern w:val="0"/>
      <w:sz w:val="36"/>
      <w:szCs w:val="20"/>
      <w:lang w:val="en-GB" w:eastAsia="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ListenabsatzZchn">
    <w:name w:val="Listenabsatz Zchn"/>
    <w:link w:val="Listenabsatz"/>
    <w:uiPriority w:val="34"/>
    <w:qFormat/>
    <w:rPr>
      <w:rFonts w:ascii="Malgun Gothic" w:eastAsia="Malgun Gothic" w:hAnsi="Malgun Gothic" w:cs="Times New Roman"/>
    </w:rPr>
  </w:style>
  <w:style w:type="table" w:customStyle="1" w:styleId="1">
    <w:name w:val="표 구분선1"/>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Standard"/>
    <w:next w:val="Standard"/>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szCs w:val="24"/>
    </w:rPr>
  </w:style>
  <w:style w:type="character" w:customStyle="1" w:styleId="KommentarthemaZchn">
    <w:name w:val="Kommentarthema Zchn"/>
    <w:basedOn w:val="KommentartextZchn"/>
    <w:link w:val="Kommentarthema"/>
    <w:uiPriority w:val="99"/>
    <w:semiHidden/>
    <w:rPr>
      <w:rFonts w:ascii="Batang" w:eastAsia="Batang" w:hAnsi="Times New Roman" w:cs="Times New Roman"/>
      <w:b/>
      <w:bCs/>
      <w:szCs w:val="24"/>
    </w:rPr>
  </w:style>
  <w:style w:type="character" w:customStyle="1" w:styleId="SprechblasentextZchn">
    <w:name w:val="Sprechblasentext Zchn"/>
    <w:basedOn w:val="Absatz-Standardschriftart"/>
    <w:link w:val="Sprechblasentext"/>
    <w:uiPriority w:val="99"/>
    <w:semiHidden/>
    <w:rPr>
      <w:rFonts w:asciiTheme="majorHAnsi" w:eastAsiaTheme="majorEastAsia" w:hAnsiTheme="majorHAnsi" w:cstheme="majorBidi"/>
      <w:sz w:val="18"/>
      <w:szCs w:val="18"/>
    </w:rPr>
  </w:style>
  <w:style w:type="table" w:customStyle="1" w:styleId="3">
    <w:name w:val="표 구분선3"/>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kumentstrukturZchn">
    <w:name w:val="Dokumentstruktur Zchn"/>
    <w:basedOn w:val="Absatz-Standardschriftart"/>
    <w:link w:val="Dokumentstruktur"/>
    <w:uiPriority w:val="99"/>
    <w:semiHidden/>
    <w:rPr>
      <w:rFonts w:ascii="Tahoma" w:eastAsia="Batang" w:hAnsi="Tahoma" w:cs="Tahoma"/>
      <w:sz w:val="16"/>
      <w:szCs w:val="16"/>
    </w:rPr>
  </w:style>
  <w:style w:type="paragraph" w:customStyle="1" w:styleId="B1">
    <w:name w:val="B1"/>
    <w:basedOn w:val="Liste"/>
    <w:link w:val="B1Char"/>
    <w:qFormat/>
    <w:pPr>
      <w:ind w:left="568" w:hanging="284"/>
      <w:contextualSpacing w:val="0"/>
    </w:pPr>
  </w:style>
  <w:style w:type="paragraph" w:customStyle="1" w:styleId="B2">
    <w:name w:val="B2"/>
    <w:basedOn w:val="Liste2"/>
    <w:link w:val="B2Char"/>
    <w:qFormat/>
    <w:pPr>
      <w:ind w:left="851" w:hanging="284"/>
      <w:contextualSpacing w:val="0"/>
    </w:pPr>
  </w:style>
  <w:style w:type="character" w:customStyle="1" w:styleId="berschrift5Zchn">
    <w:name w:val="Überschrift 5 Zchn"/>
    <w:basedOn w:val="Absatz-Standardschriftart"/>
    <w:link w:val="berschrift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0993EA-15D3-4EF2-B63E-A6A7DBCD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20431</Characters>
  <Application>Microsoft Office Word</Application>
  <DocSecurity>0</DocSecurity>
  <Lines>170</Lines>
  <Paragraphs>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Schmitz, Steffen (VWIF G-T/X)</cp:lastModifiedBy>
  <cp:revision>4</cp:revision>
  <dcterms:created xsi:type="dcterms:W3CDTF">2020-12-08T10:45:00Z</dcterms:created>
  <dcterms:modified xsi:type="dcterms:W3CDTF">2020-12-08T12:07:00Z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