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3D" w:rsidRDefault="00D91BB8">
      <w:pPr>
        <w:widowControl/>
        <w:kinsoku w:val="0"/>
        <w:wordWrap/>
        <w:overflowPunct w:val="0"/>
        <w:rPr>
          <w:rFonts w:ascii="Calibri" w:hAnsi="Calibri" w:cs="Calibri"/>
          <w:b/>
          <w:sz w:val="22"/>
          <w:lang w:val="en-GB"/>
        </w:rPr>
      </w:pPr>
      <w:bookmarkStart w:id="0" w:name="_GoBack"/>
      <w:bookmarkEnd w:id="0"/>
      <w:r>
        <w:rPr>
          <w:rFonts w:ascii="Calibri" w:hAnsi="Calibri" w:cs="Calibri"/>
          <w:b/>
          <w:sz w:val="22"/>
          <w:lang w:val="en-GB"/>
        </w:rPr>
        <w:t>[90E][25][R17_sidelink_scope]</w:t>
      </w: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rsidR="0065173D" w:rsidRDefault="0065173D">
      <w:pPr>
        <w:widowControl/>
        <w:kinsoku w:val="0"/>
        <w:wordWrap/>
        <w:overflowPunct w:val="0"/>
        <w:rPr>
          <w:rFonts w:ascii="Calibri" w:hAnsi="Calibri" w:cs="Calibri"/>
          <w:b/>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Mode 2 enhancement for enhanced reliability and reduced latency is as follows:</w:t>
      </w:r>
    </w:p>
    <w:tbl>
      <w:tblPr>
        <w:tblStyle w:val="TableGrid"/>
        <w:tblW w:w="0" w:type="auto"/>
        <w:tblLook w:val="04A0" w:firstRow="1" w:lastRow="0" w:firstColumn="1" w:lastColumn="0" w:noHBand="0" w:noVBand="1"/>
      </w:tblPr>
      <w:tblGrid>
        <w:gridCol w:w="9016"/>
      </w:tblGrid>
      <w:tr w:rsidR="0065173D">
        <w:tc>
          <w:tcPr>
            <w:tcW w:w="9016" w:type="dxa"/>
          </w:tcPr>
          <w:p w:rsidR="0065173D" w:rsidRDefault="00D91BB8">
            <w:pPr>
              <w:widowControl/>
              <w:numPr>
                <w:ilvl w:val="0"/>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Inter-UE coordination with the following until RAN#90.</w:t>
            </w:r>
          </w:p>
          <w:p w:rsidR="0065173D" w:rsidRDefault="00D91BB8">
            <w:pPr>
              <w:widowControl/>
              <w:numPr>
                <w:ilvl w:val="2"/>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A set of resources is determined at UE-A. This set is sent to UE-B in mode 2, and UE-B takes this into account in the resource selection for its own transmission.</w:t>
            </w:r>
          </w:p>
          <w:p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Note: </w:t>
            </w:r>
            <w:r>
              <w:rPr>
                <w:rFonts w:ascii="Times New Roman" w:eastAsia="Malgun Gothic" w:hint="eastAsia"/>
                <w:kern w:val="0"/>
                <w:szCs w:val="20"/>
                <w:lang w:val="en-GB"/>
              </w:rPr>
              <w:t>The study scope after RAN#</w:t>
            </w:r>
            <w:r>
              <w:rPr>
                <w:rFonts w:ascii="Times New Roman" w:eastAsia="Malgun Gothic"/>
                <w:kern w:val="0"/>
                <w:szCs w:val="20"/>
                <w:lang w:val="en-GB"/>
              </w:rPr>
              <w:t>90</w:t>
            </w:r>
            <w:r>
              <w:rPr>
                <w:rFonts w:ascii="Times New Roman" w:eastAsia="Malgun Gothic" w:hint="eastAsia"/>
                <w:kern w:val="0"/>
                <w:szCs w:val="20"/>
                <w:lang w:val="en-GB"/>
              </w:rPr>
              <w:t xml:space="preserve"> is to be decided in RAN#</w:t>
            </w:r>
            <w:r>
              <w:rPr>
                <w:rFonts w:ascii="Times New Roman" w:eastAsia="Malgun Gothic"/>
                <w:kern w:val="0"/>
                <w:szCs w:val="20"/>
                <w:lang w:val="en-GB"/>
              </w:rPr>
              <w:t>90.</w:t>
            </w:r>
          </w:p>
          <w:p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The solution should be able to operate in-coverage, partial coverage, and out-of-coverage and to address consecutive packet loss in all coverage scenarios.</w:t>
            </w:r>
          </w:p>
          <w:p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RAN2 work will start after RAN#89.</w:t>
            </w:r>
          </w:p>
        </w:tc>
      </w:tr>
    </w:tbl>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43"/>
        <w:gridCol w:w="1516"/>
        <w:gridCol w:w="6057"/>
      </w:tblGrid>
      <w:tr w:rsidR="0065173D">
        <w:tc>
          <w:tcPr>
            <w:tcW w:w="1443"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057"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43"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expect that RAN1 can achieve a conclusion in the next quarter, so that the normative work (including RAN2) can start properly.</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As it is already RAN1’s conclusion indicated in the received LS (RP-202153), “</w:t>
            </w:r>
            <w:r>
              <w:rPr>
                <w:rFonts w:ascii="Calibri" w:eastAsia="SimSun" w:hAnsi="Calibri" w:cs="Calibri"/>
                <w:i/>
                <w:iCs/>
                <w:sz w:val="22"/>
                <w:lang w:eastAsia="zh-CN"/>
              </w:rPr>
              <w:t>further study for this WI objective topic on the feasibility/benefit of inter-UE coordination is required</w:t>
            </w:r>
            <w:r>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rsidR="0065173D" w:rsidRDefault="00D91BB8">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objective already leads to normative work where it says “…and specify the identified solution…</w:t>
            </w:r>
            <w:proofErr w:type="gramStart"/>
            <w:r>
              <w:rPr>
                <w:rFonts w:ascii="Calibri" w:eastAsiaTheme="minorEastAsia" w:hAnsi="Calibri" w:cs="Calibri"/>
                <w:sz w:val="22"/>
              </w:rPr>
              <w:t>”,</w:t>
            </w:r>
            <w:proofErr w:type="gramEnd"/>
            <w:r>
              <w:rPr>
                <w:rFonts w:ascii="Calibri" w:eastAsiaTheme="minorEastAsia" w:hAnsi="Calibri" w:cs="Calibri"/>
                <w:sz w:val="22"/>
              </w:rPr>
              <w:t xml:space="preserve"> subject to feasibility/benefit. </w:t>
            </w:r>
          </w:p>
          <w:p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current wording of the second sub-bullet is only to decide the “</w:t>
            </w:r>
            <w:r>
              <w:rPr>
                <w:rFonts w:ascii="Calibri" w:eastAsiaTheme="minorEastAsia" w:hAnsi="Calibri" w:cs="Calibri"/>
                <w:b/>
                <w:i/>
                <w:sz w:val="22"/>
                <w:u w:val="single"/>
              </w:rPr>
              <w:t>study</w:t>
            </w:r>
            <w:r>
              <w:rPr>
                <w:rFonts w:ascii="Calibri" w:eastAsiaTheme="minorEastAsia" w:hAnsi="Calibri" w:cs="Calibri"/>
                <w:sz w:val="22"/>
              </w:rPr>
              <w:t xml:space="preserve"> scope after RAN#90”, and not to decide whether there is normative work (it is already agreed to follow). </w:t>
            </w:r>
          </w:p>
          <w:p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 xml:space="preserve">The timeline of the study is </w:t>
            </w:r>
            <w:r>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Based on the 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rsidR="0065173D" w:rsidRDefault="0065173D">
            <w:pPr>
              <w:widowControl/>
              <w:kinsoku w:val="0"/>
              <w:wordWrap/>
              <w:overflowPunct w:val="0"/>
              <w:rPr>
                <w:rFonts w:ascii="Calibri" w:eastAsia="SimSun" w:hAnsi="Calibri" w:cs="Calibri"/>
                <w:sz w:val="22"/>
                <w:lang w:eastAsia="zh-CN"/>
              </w:rPr>
            </w:pP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continues for one more meeting without changing the scope</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65173D">
            <w:pPr>
              <w:widowControl/>
              <w:kinsoku w:val="0"/>
              <w:wordWrap/>
              <w:overflowPunct w:val="0"/>
              <w:spacing w:after="120"/>
              <w:rPr>
                <w:rFonts w:ascii="Calibri" w:eastAsiaTheme="minorEastAsia" w:hAnsi="Calibri" w:cs="Calibri"/>
                <w:sz w:val="22"/>
              </w:rPr>
            </w:pP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 xml:space="preserve">Current WID states “Inter-UE coordination with the following until RAN#90 … study scope after RAN#90 is to be decided in RAN#90”. So the WID needs to be updated to make it clear that inter-UE coordination continues until RAN1#91. </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65173D">
        <w:tc>
          <w:tcPr>
            <w:tcW w:w="1443"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516"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rsidR="0065173D" w:rsidRDefault="00D91BB8">
            <w:pPr>
              <w:widowControl/>
              <w:kinsoku w:val="0"/>
              <w:wordWrap/>
              <w:overflowPunct w:val="0"/>
              <w:spacing w:after="120"/>
              <w:rPr>
                <w:rFonts w:ascii="Calibri" w:hAnsi="Calibri" w:cs="Calibri"/>
                <w:sz w:val="22"/>
                <w:lang w:val="en-GB"/>
              </w:rPr>
            </w:pPr>
            <w:r>
              <w:rPr>
                <w:rFonts w:ascii="Calibri" w:hAnsi="Calibri" w:cs="Calibri"/>
                <w:sz w:val="22"/>
                <w:lang w:val="en-GB"/>
              </w:rPr>
              <w:t>Some more mutual understanding is necessary.</w:t>
            </w:r>
          </w:p>
        </w:tc>
      </w:tr>
      <w:tr w:rsidR="0065173D">
        <w:tc>
          <w:tcPr>
            <w:tcW w:w="1443"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516"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hAnsi="Calibri" w:cs="Calibri"/>
                <w:sz w:val="22"/>
                <w:lang w:val="en-GB"/>
              </w:rPr>
            </w:pPr>
            <w:r>
              <w:rPr>
                <w:rFonts w:ascii="Calibri" w:eastAsia="SimSun" w:hAnsi="Calibri" w:cs="Calibri" w:hint="eastAsia"/>
                <w:sz w:val="22"/>
                <w:lang w:eastAsia="zh-CN"/>
              </w:rPr>
              <w:t>We expect that RAN1 can achieve conclusion on feasibility and benefit of inter-UE coordination</w:t>
            </w:r>
            <w:r>
              <w:rPr>
                <w:rFonts w:ascii="Calibri" w:eastAsia="SimSun" w:hAnsi="Calibri" w:cs="Calibri"/>
                <w:sz w:val="22"/>
                <w:lang w:eastAsia="zh-CN"/>
              </w:rPr>
              <w:t xml:space="preserve"> until RAN #91</w:t>
            </w:r>
            <w:r>
              <w:rPr>
                <w:rFonts w:ascii="Calibri" w:eastAsia="SimSun" w:hAnsi="Calibri" w:cs="Calibri" w:hint="eastAsia"/>
                <w:sz w:val="22"/>
                <w:lang w:eastAsia="zh-CN"/>
              </w:rPr>
              <w:t>.</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eastAsia="SimSun" w:hAnsi="Calibri" w:cs="Calibri"/>
                <w:sz w:val="22"/>
                <w:lang w:eastAsia="zh-CN"/>
              </w:rPr>
            </w:pPr>
            <w:r>
              <w:rPr>
                <w:rFonts w:ascii="Calibri" w:eastAsia="SimSun" w:hAnsi="Calibri" w:cs="Calibri"/>
                <w:sz w:val="22"/>
                <w:lang w:eastAsia="zh-CN"/>
              </w:rPr>
              <w:t>We are fine with the extending the scope of the study phase until next quarter and then in the next quarter normative objective scope can be defined.</w:t>
            </w:r>
          </w:p>
        </w:tc>
      </w:tr>
      <w:tr w:rsidR="00D91BB8" w:rsidTr="00245E62">
        <w:tc>
          <w:tcPr>
            <w:tcW w:w="1443"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516"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rsidR="00D91BB8" w:rsidRDefault="00D91BB8" w:rsidP="00245E62">
            <w:pPr>
              <w:widowControl/>
              <w:kinsoku w:val="0"/>
              <w:wordWrap/>
              <w:overflowPunct w:val="0"/>
              <w:spacing w:after="120"/>
              <w:rPr>
                <w:rFonts w:ascii="Calibri" w:eastAsia="SimSun" w:hAnsi="Calibri" w:cs="Calibri"/>
                <w:sz w:val="22"/>
                <w:lang w:eastAsia="zh-CN"/>
              </w:rPr>
            </w:pPr>
            <w:r>
              <w:rPr>
                <w:rFonts w:ascii="Calibri" w:eastAsiaTheme="minorEastAsia" w:hAnsi="Calibri" w:cs="Calibri" w:hint="eastAsia"/>
                <w:sz w:val="22"/>
                <w:lang w:eastAsia="zh-CN"/>
              </w:rPr>
              <w:t xml:space="preserve">As in RAN1 #103 meeting RAN1 has concluded 3 potential schemes to implement inter-UE coordination. From our understanding, down-selection should be made since the scope of some of the schemes are partially overlapped. Also the work load is too heavy if to study all of the schemes. </w:t>
            </w:r>
          </w:p>
        </w:tc>
      </w:tr>
      <w:tr w:rsidR="00D91BB8" w:rsidRPr="00D91BB8">
        <w:tc>
          <w:tcPr>
            <w:tcW w:w="1443"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516"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Yes</w:t>
            </w:r>
          </w:p>
        </w:tc>
        <w:tc>
          <w:tcPr>
            <w:tcW w:w="6057" w:type="dxa"/>
          </w:tcPr>
          <w:p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The study on the inter-UE coordination is extended to RAN#91.</w:t>
            </w:r>
            <w:r w:rsidRPr="00D91BB8">
              <w:rPr>
                <w:rFonts w:ascii="Calibri" w:eastAsia="SimSun" w:hAnsi="Calibri" w:cs="Calibri" w:hint="eastAsia"/>
                <w:sz w:val="22"/>
                <w:lang w:eastAsia="zh-CN"/>
              </w:rPr>
              <w:t xml:space="preserve"> The discussion in RAN1 by now is not reached clear consensus on the feasibility and especially benefit of inter-UE coordination. </w:t>
            </w:r>
            <w:r w:rsidRPr="00D91BB8">
              <w:rPr>
                <w:rFonts w:ascii="Calibri" w:eastAsia="SimSun" w:hAnsi="Calibri" w:cs="Calibri"/>
                <w:sz w:val="22"/>
                <w:lang w:eastAsia="zh-CN"/>
              </w:rPr>
              <w:t>T</w:t>
            </w:r>
            <w:r w:rsidRPr="00D91BB8">
              <w:rPr>
                <w:rFonts w:ascii="Calibri" w:eastAsia="SimSun" w:hAnsi="Calibri" w:cs="Calibri" w:hint="eastAsia"/>
                <w:sz w:val="22"/>
                <w:lang w:eastAsia="zh-CN"/>
              </w:rPr>
              <w:t>he current simulation results provided by several companies are not observed with convincing performance gain, which may need extended time and further evaluation on it.</w:t>
            </w:r>
          </w:p>
        </w:tc>
      </w:tr>
      <w:tr w:rsidR="00245E62" w:rsidRPr="00D91BB8">
        <w:tc>
          <w:tcPr>
            <w:tcW w:w="1443" w:type="dxa"/>
          </w:tcPr>
          <w:p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lastRenderedPageBreak/>
              <w:t>Samsung</w:t>
            </w:r>
          </w:p>
        </w:tc>
        <w:tc>
          <w:tcPr>
            <w:tcW w:w="1516" w:type="dxa"/>
          </w:tcPr>
          <w:p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Yes</w:t>
            </w:r>
          </w:p>
        </w:tc>
        <w:tc>
          <w:tcPr>
            <w:tcW w:w="6057" w:type="dxa"/>
          </w:tcPr>
          <w:p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It is clear from the RAN1 LS that more time is needed by RAN1 to determine the benefit and feasibility of inter-UE coordination.</w:t>
            </w:r>
          </w:p>
        </w:tc>
      </w:tr>
      <w:tr w:rsidR="00370201" w:rsidRPr="00D91BB8">
        <w:tc>
          <w:tcPr>
            <w:tcW w:w="1443" w:type="dxa"/>
          </w:tcPr>
          <w:p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516" w:type="dxa"/>
          </w:tcPr>
          <w:p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The RAN1 indication from the LS is pretty clear, and we think it makes sense to extend the study on this objective for an additional quarter.</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[9]).</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 select some schemes.</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Listing the schemes identified by RAN1 helps to eliminate some unnecessary arguments in the WG discussions. Nevertheless, it is not necessary to down scope in RAN – that can be handled by RAN1.</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study scope should be based on RAN1’s agreements, and there is no need for RAN to restrict at WID level what particular detailed techniques can be discussed for feasibility, benefits, and specification.</w:t>
            </w:r>
          </w:p>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rsidR="0065173D" w:rsidRDefault="0065173D">
            <w:pPr>
              <w:widowControl/>
              <w:kinsoku w:val="0"/>
              <w:wordWrap/>
              <w:overflowPunct w:val="0"/>
              <w:rPr>
                <w:rFonts w:ascii="Calibri" w:eastAsia="SimSun" w:hAnsi="Calibri" w:cs="Calibri"/>
                <w:sz w:val="22"/>
                <w:lang w:eastAsia="zh-CN"/>
              </w:rPr>
            </w:pP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lastRenderedPageBreak/>
              <w:t>F</w:t>
            </w:r>
            <w:r>
              <w:rPr>
                <w:rFonts w:ascii="Calibri" w:eastAsia="MS Mincho" w:hAnsi="Calibri" w:cs="Calibri"/>
                <w:sz w:val="22"/>
                <w:lang w:eastAsia="ja-JP"/>
              </w:rPr>
              <w:t>ujitsu</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We can keep the current WID, and the working </w:t>
            </w:r>
            <w:r>
              <w:rPr>
                <w:rFonts w:ascii="Calibri" w:eastAsiaTheme="minorEastAsia" w:hAnsi="Calibri" w:cs="Calibri"/>
                <w:sz w:val="22"/>
              </w:rPr>
              <w:t>scope can be based on RAN1’s agreements.</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As some conclusions were reached described in RAN1 LS, it can be used for further discussion. No need of the update of WID.</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MS Mincho" w:hAnsi="Calibri" w:cs="Calibri"/>
                <w:sz w:val="22"/>
                <w:lang w:eastAsia="ja-JP"/>
              </w:rPr>
            </w:pPr>
            <w:r>
              <w:rPr>
                <w:rFonts w:ascii="Calibri" w:eastAsiaTheme="minorEastAsia" w:hAnsi="Calibri" w:cs="Calibri"/>
                <w:sz w:val="22"/>
              </w:rPr>
              <w:t xml:space="preserve">We only need to update the timeline. The study scope can be based on RAN1’s agreements. </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r w:rsidR="00D91BB8" w:rsidTr="00245E62">
        <w:tc>
          <w:tcPr>
            <w:tcW w:w="1458"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rsidR="00D91BB8" w:rsidRDefault="00D91BB8" w:rsidP="00245E62">
            <w:pPr>
              <w:widowControl/>
              <w:wordWrap/>
              <w:jc w:val="left"/>
              <w:rPr>
                <w:rFonts w:ascii="Calibri" w:eastAsiaTheme="minorEastAsia" w:hAnsi="Calibri" w:cs="Calibri"/>
                <w:sz w:val="22"/>
              </w:rPr>
            </w:pPr>
            <w:r>
              <w:rPr>
                <w:rFonts w:ascii="Calibri" w:eastAsia="SimSun" w:hAnsi="Calibri" w:cs="Calibri" w:hint="eastAsia"/>
                <w:sz w:val="22"/>
                <w:lang w:eastAsia="zh-CN"/>
              </w:rPr>
              <w:t xml:space="preserve">We agree that timeline should be mainly updated, but the in the note, </w:t>
            </w:r>
            <w:r>
              <w:rPr>
                <w:rFonts w:ascii="Calibri" w:eastAsia="SimSun" w:hAnsi="Calibri" w:cs="Calibri"/>
                <w:sz w:val="22"/>
                <w:lang w:eastAsia="zh-CN"/>
              </w:rPr>
              <w:t>“</w:t>
            </w:r>
            <w:r>
              <w:rPr>
                <w:rFonts w:ascii="Calibri" w:eastAsia="SimSun" w:hAnsi="Calibri" w:cs="Calibri" w:hint="eastAsia"/>
                <w:sz w:val="22"/>
                <w:lang w:eastAsia="zh-CN"/>
              </w:rPr>
              <w:t>study scope</w:t>
            </w:r>
            <w:r>
              <w:rPr>
                <w:rFonts w:ascii="Calibri" w:eastAsia="SimSun" w:hAnsi="Calibri" w:cs="Calibri"/>
                <w:sz w:val="22"/>
                <w:lang w:eastAsia="zh-CN"/>
              </w:rPr>
              <w:t>”</w:t>
            </w:r>
            <w:r>
              <w:rPr>
                <w:rFonts w:ascii="Calibri" w:eastAsia="SimSun" w:hAnsi="Calibri" w:cs="Calibri" w:hint="eastAsia"/>
                <w:sz w:val="22"/>
                <w:lang w:eastAsia="zh-CN"/>
              </w:rPr>
              <w:t xml:space="preserve"> should be changed to </w:t>
            </w:r>
            <w:r>
              <w:rPr>
                <w:rFonts w:ascii="Calibri" w:eastAsia="SimSun" w:hAnsi="Calibri" w:cs="Calibri"/>
                <w:sz w:val="22"/>
                <w:lang w:eastAsia="zh-CN"/>
              </w:rPr>
              <w:t>“</w:t>
            </w:r>
            <w:r>
              <w:rPr>
                <w:rFonts w:ascii="Calibri" w:eastAsia="SimSun" w:hAnsi="Calibri" w:cs="Calibri" w:hint="eastAsia"/>
                <w:sz w:val="22"/>
                <w:lang w:eastAsia="zh-CN"/>
              </w:rPr>
              <w:t>specify scope</w:t>
            </w:r>
            <w:r>
              <w:rPr>
                <w:rFonts w:ascii="Calibri" w:eastAsia="SimSun" w:hAnsi="Calibri" w:cs="Calibri"/>
                <w:sz w:val="22"/>
                <w:lang w:eastAsia="zh-CN"/>
              </w:rPr>
              <w:t>”</w:t>
            </w:r>
            <w:r>
              <w:rPr>
                <w:rFonts w:ascii="Calibri" w:eastAsia="SimSun" w:hAnsi="Calibri" w:cs="Calibri" w:hint="eastAsia"/>
                <w:sz w:val="22"/>
                <w:lang w:eastAsia="zh-CN"/>
              </w:rPr>
              <w:t xml:space="preserve">. </w:t>
            </w:r>
          </w:p>
        </w:tc>
      </w:tr>
      <w:tr w:rsidR="00D91BB8" w:rsidRPr="00D91BB8">
        <w:tc>
          <w:tcPr>
            <w:tcW w:w="1458"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Option 1</w:t>
            </w:r>
          </w:p>
        </w:tc>
        <w:tc>
          <w:tcPr>
            <w:tcW w:w="6298" w:type="dxa"/>
          </w:tcPr>
          <w:p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No further wording change is needed except changing the checking point from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RAN#90</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to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RAN#91</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w:t>
            </w:r>
            <w:r w:rsidRPr="00D91BB8">
              <w:rPr>
                <w:rFonts w:ascii="Calibri" w:eastAsia="SimSun" w:hAnsi="Calibri" w:cs="Calibri"/>
                <w:sz w:val="22"/>
                <w:lang w:eastAsia="zh-CN"/>
              </w:rPr>
              <w:t>O</w:t>
            </w:r>
            <w:r w:rsidRPr="00D91BB8">
              <w:rPr>
                <w:rFonts w:ascii="Calibri" w:eastAsia="SimSun" w:hAnsi="Calibri" w:cs="Calibri" w:hint="eastAsia"/>
                <w:sz w:val="22"/>
                <w:lang w:eastAsia="zh-CN"/>
              </w:rPr>
              <w:t>ne quarter extension is enough for companies to evaluate and discuss the feasibility/benefit about it.</w:t>
            </w:r>
          </w:p>
          <w:p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w:t>
            </w:r>
            <w:r w:rsidRPr="00D91BB8">
              <w:rPr>
                <w:rFonts w:ascii="Calibri" w:eastAsia="SimSun" w:hAnsi="Calibri" w:cs="Calibri" w:hint="eastAsia"/>
                <w:sz w:val="22"/>
                <w:lang w:eastAsia="zh-CN"/>
              </w:rPr>
              <w:t xml:space="preserve">here is also no </w:t>
            </w:r>
            <w:r w:rsidRPr="00D91BB8">
              <w:rPr>
                <w:rFonts w:ascii="Calibri" w:eastAsia="SimSun" w:hAnsi="Calibri" w:cs="Calibri"/>
                <w:sz w:val="22"/>
                <w:lang w:eastAsia="zh-CN"/>
              </w:rPr>
              <w:t>necessity</w:t>
            </w:r>
            <w:r w:rsidRPr="00D91BB8">
              <w:rPr>
                <w:rFonts w:ascii="Calibri" w:eastAsia="SimSun" w:hAnsi="Calibri" w:cs="Calibri" w:hint="eastAsia"/>
                <w:sz w:val="22"/>
                <w:lang w:eastAsia="zh-CN"/>
              </w:rPr>
              <w:t xml:space="preserve"> to list all schemes in the scope, </w:t>
            </w:r>
            <w:r w:rsidRPr="00D91BB8">
              <w:rPr>
                <w:rFonts w:ascii="Calibri" w:eastAsia="SimSun" w:hAnsi="Calibri" w:cs="Calibri"/>
                <w:sz w:val="22"/>
                <w:lang w:eastAsia="zh-CN"/>
              </w:rPr>
              <w:t>because</w:t>
            </w:r>
            <w:r w:rsidRPr="00D91BB8">
              <w:rPr>
                <w:rFonts w:ascii="Calibri" w:eastAsia="SimSun" w:hAnsi="Calibri" w:cs="Calibri" w:hint="eastAsia"/>
                <w:sz w:val="22"/>
                <w:lang w:eastAsia="zh-CN"/>
              </w:rPr>
              <w:t xml:space="preserve"> there are still </w:t>
            </w:r>
            <w:r w:rsidRPr="00D91BB8">
              <w:rPr>
                <w:rFonts w:ascii="Calibri" w:eastAsia="SimSun" w:hAnsi="Calibri" w:cs="Calibri"/>
                <w:sz w:val="22"/>
                <w:lang w:eastAsia="zh-CN"/>
              </w:rPr>
              <w:t>quite lot uncertain technical aspects</w:t>
            </w:r>
            <w:r w:rsidRPr="00D91BB8">
              <w:rPr>
                <w:rFonts w:ascii="Calibri" w:eastAsia="SimSun" w:hAnsi="Calibri" w:cs="Calibri" w:hint="eastAsia"/>
                <w:sz w:val="22"/>
                <w:lang w:eastAsia="zh-CN"/>
              </w:rPr>
              <w:t xml:space="preserve"> of inter-UE coordination, list all the schemes may lead to unexpected working/discussion direction.</w:t>
            </w:r>
          </w:p>
        </w:tc>
      </w:tr>
      <w:tr w:rsidR="00245E62" w:rsidRPr="00D91BB8">
        <w:tc>
          <w:tcPr>
            <w:tcW w:w="1458" w:type="dxa"/>
          </w:tcPr>
          <w:p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rsidR="00245E62" w:rsidRDefault="00245E62" w:rsidP="00245E62">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Just updating the timeline in the WID</w:t>
            </w:r>
            <w:r>
              <w:rPr>
                <w:rFonts w:ascii="Calibri" w:eastAsiaTheme="minorEastAsia" w:hAnsi="Calibri" w:cs="Calibri"/>
                <w:sz w:val="22"/>
              </w:rPr>
              <w:t>.</w:t>
            </w:r>
          </w:p>
        </w:tc>
      </w:tr>
      <w:tr w:rsidR="00370201" w:rsidRPr="00D91BB8">
        <w:tc>
          <w:tcPr>
            <w:tcW w:w="1458" w:type="dxa"/>
          </w:tcPr>
          <w:p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don’t really see a benefit from listing the schemes in the WID.  The current scope is clear and RAN1 can continue work on this basis.</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 xml:space="preserve">Issue 2: </w:t>
      </w:r>
      <w:proofErr w:type="spellStart"/>
      <w:r>
        <w:rPr>
          <w:rFonts w:ascii="Calibri" w:hAnsi="Calibri" w:cs="Calibri"/>
          <w:b/>
          <w:sz w:val="22"/>
          <w:lang w:val="en-GB"/>
        </w:rPr>
        <w:t>Sidelink</w:t>
      </w:r>
      <w:proofErr w:type="spellEnd"/>
      <w:r>
        <w:rPr>
          <w:rFonts w:ascii="Calibri" w:hAnsi="Calibri" w:cs="Calibri"/>
          <w:b/>
          <w:sz w:val="22"/>
          <w:lang w:val="en-GB"/>
        </w:rPr>
        <w:t xml:space="preserve"> DRX</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The current objective for </w:t>
      </w:r>
      <w:proofErr w:type="spellStart"/>
      <w:r>
        <w:rPr>
          <w:rFonts w:ascii="Calibri" w:hAnsi="Calibri" w:cs="Calibri"/>
          <w:sz w:val="22"/>
          <w:lang w:val="en-GB"/>
        </w:rPr>
        <w:t>sidelink</w:t>
      </w:r>
      <w:proofErr w:type="spellEnd"/>
      <w:r>
        <w:rPr>
          <w:rFonts w:ascii="Calibri" w:hAnsi="Calibri" w:cs="Calibri"/>
          <w:sz w:val="22"/>
          <w:lang w:val="en-GB"/>
        </w:rPr>
        <w:t xml:space="preserve"> DRX is as follows:</w:t>
      </w:r>
    </w:p>
    <w:tbl>
      <w:tblPr>
        <w:tblStyle w:val="TableGrid"/>
        <w:tblW w:w="0" w:type="auto"/>
        <w:tblLook w:val="04A0" w:firstRow="1" w:lastRow="0" w:firstColumn="1" w:lastColumn="0" w:noHBand="0" w:noVBand="1"/>
      </w:tblPr>
      <w:tblGrid>
        <w:gridCol w:w="9016"/>
      </w:tblGrid>
      <w:tr w:rsidR="0065173D">
        <w:tc>
          <w:tcPr>
            <w:tcW w:w="9016" w:type="dxa"/>
          </w:tcPr>
          <w:p w:rsidR="0065173D" w:rsidRDefault="00D91BB8">
            <w:pPr>
              <w:widowControl/>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hint="eastAsia"/>
                <w:kern w:val="0"/>
                <w:szCs w:val="20"/>
                <w:lang w:val="en-GB"/>
              </w:rPr>
              <w:t xml:space="preserve">.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DRX for broadcast, </w:t>
            </w:r>
            <w:proofErr w:type="spellStart"/>
            <w:r>
              <w:rPr>
                <w:rFonts w:ascii="Times New Roman" w:eastAsia="Malgun Gothic"/>
                <w:kern w:val="0"/>
                <w:szCs w:val="20"/>
                <w:lang w:val="en-GB"/>
              </w:rPr>
              <w:t>groupcast</w:t>
            </w:r>
            <w:proofErr w:type="spellEnd"/>
            <w:r>
              <w:rPr>
                <w:rFonts w:ascii="Times New Roman" w:eastAsia="Malgun Gothic"/>
                <w:kern w:val="0"/>
                <w:szCs w:val="20"/>
                <w:lang w:val="en-GB"/>
              </w:rPr>
              <w:t>, and unicast [RAN2]</w:t>
            </w:r>
          </w:p>
          <w:p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Define on- and off-durations in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and specify the corresponding UE procedure</w:t>
            </w:r>
          </w:p>
          <w:p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Specify mechanism aiming to align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DRX wake-up time among the UEs communicating with each other</w:t>
            </w:r>
          </w:p>
          <w:p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Specify mechanism aiming to align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DRX wake-up time with </w:t>
            </w:r>
            <w:proofErr w:type="spellStart"/>
            <w:r>
              <w:rPr>
                <w:rFonts w:ascii="Times New Roman" w:eastAsia="Malgun Gothic"/>
                <w:kern w:val="0"/>
                <w:szCs w:val="20"/>
                <w:lang w:val="en-GB"/>
              </w:rPr>
              <w:t>Uu</w:t>
            </w:r>
            <w:proofErr w:type="spellEnd"/>
            <w:r>
              <w:rPr>
                <w:rFonts w:ascii="Times New Roman" w:eastAsia="Malgun Gothic"/>
                <w:kern w:val="0"/>
                <w:szCs w:val="20"/>
                <w:lang w:val="en-GB"/>
              </w:rPr>
              <w:t xml:space="preserve"> DRX wake-up time in an in-coverage UE</w:t>
            </w:r>
          </w:p>
        </w:tc>
      </w:tr>
    </w:tbl>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Q3: Do you agree that RAN1 is added as a secondary WG for the objective of </w:t>
      </w:r>
      <w:proofErr w:type="spellStart"/>
      <w:r>
        <w:rPr>
          <w:rFonts w:ascii="Calibri" w:hAnsi="Calibri" w:cs="Calibri"/>
          <w:sz w:val="22"/>
          <w:lang w:val="en-GB"/>
        </w:rPr>
        <w:t>sidelink</w:t>
      </w:r>
      <w:proofErr w:type="spellEnd"/>
      <w:r>
        <w:rPr>
          <w:rFonts w:ascii="Calibri" w:hAnsi="Calibri" w:cs="Calibri"/>
          <w:sz w:val="22"/>
          <w:lang w:val="en-GB"/>
        </w:rPr>
        <w:t xml:space="preserve"> DRX?</w:t>
      </w:r>
    </w:p>
    <w:tbl>
      <w:tblPr>
        <w:tblStyle w:val="TableGrid"/>
        <w:tblW w:w="0" w:type="auto"/>
        <w:tblLook w:val="04A0" w:firstRow="1" w:lastRow="0" w:firstColumn="1" w:lastColumn="0" w:noHBand="0" w:noVBand="1"/>
      </w:tblPr>
      <w:tblGrid>
        <w:gridCol w:w="1458"/>
        <w:gridCol w:w="1260"/>
        <w:gridCol w:w="6298"/>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impact on the resource allocation needs to be treated under the agenda of the power efficient resource allocation considering other RAN1-origniated topics, and if necessary, we can </w:t>
            </w:r>
            <w:r>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 xml:space="preserve">also needs to consider impact from other functionalities including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 xml:space="preserve">Firstly, DRX may affect not only the resource allocation, but also others such as measurement (CBR/CR, etc.). Putting the RAN1 as a secondary WG encourage RAN1 to check further potential issues. Otherwise, it is risk of potential critical issues being found at a very last stage or even after the stage-2 frozen of RAN1, especially considering that RAN2 has a three-month shift after RAN1 frozen.  </w:t>
            </w:r>
          </w:p>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Secondly, it helps RAN1 to better manage the work load (e.g., mail threads, etc.), compared with the case of handling the per-meeting LS from RAN2.</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lastRenderedPageBreak/>
              <w:t>Xiaomi</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DRX”.</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It is necessary to allow RAN1 to discuss impacts from SL DRX on the physical layer, whereas there seems to be some confusion over this at present. Based on the RAN2 LS that SL DRX should take PSCCH monitoring also for sensing (in addition to data reception) into account, it is already clear 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w:t>
            </w:r>
            <w:proofErr w:type="spellStart"/>
            <w:r>
              <w:rPr>
                <w:rFonts w:ascii="Calibri" w:hAnsi="Calibri" w:cs="Calibri"/>
                <w:sz w:val="22"/>
                <w:lang w:val="en-GB"/>
              </w:rPr>
              <w:t>sidelink</w:t>
            </w:r>
            <w:proofErr w:type="spellEnd"/>
            <w:r>
              <w:rPr>
                <w:rFonts w:ascii="Calibri" w:hAnsi="Calibri" w:cs="Calibri"/>
                <w:sz w:val="22"/>
                <w:lang w:val="en-GB"/>
              </w:rPr>
              <w:t xml:space="preserve"> DRX</w:t>
            </w:r>
            <w:r>
              <w:rPr>
                <w:rFonts w:ascii="Calibri" w:eastAsiaTheme="minorEastAsia" w:hAnsi="Calibri" w:cs="Calibri"/>
                <w:sz w:val="22"/>
              </w:rPr>
              <w:t>, as it can rely on coordination between RAN1 and RAN2.</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65173D">
            <w:pPr>
              <w:widowControl/>
              <w:kinsoku w:val="0"/>
              <w:wordWrap/>
              <w:overflowPunct w:val="0"/>
              <w:rPr>
                <w:rFonts w:ascii="Calibri" w:eastAsiaTheme="minorEastAsia" w:hAnsi="Calibri" w:cs="Calibri"/>
                <w:sz w:val="22"/>
              </w:rPr>
            </w:pP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rsidR="0065173D" w:rsidRDefault="0065173D">
            <w:pPr>
              <w:widowControl/>
              <w:kinsoku w:val="0"/>
              <w:wordWrap/>
              <w:overflowPunct w:val="0"/>
              <w:rPr>
                <w:rFonts w:ascii="Calibri" w:eastAsia="SimSun" w:hAnsi="Calibri" w:cs="Calibri"/>
                <w:sz w:val="22"/>
                <w:lang w:eastAsia="zh-CN"/>
              </w:rPr>
            </w:pP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rsidR="0065173D" w:rsidRDefault="00D91BB8">
            <w:pPr>
              <w:widowControl/>
              <w:numPr>
                <w:ilvl w:val="0"/>
                <w:numId w:val="4"/>
              </w:numPr>
              <w:wordWrap/>
              <w:autoSpaceDE/>
              <w:autoSpaceDN/>
              <w:spacing w:line="259" w:lineRule="auto"/>
              <w:rPr>
                <w:rFonts w:ascii="Calibri" w:eastAsia="Malgun Gothic" w:hAnsi="Calibri"/>
                <w:kern w:val="0"/>
                <w:sz w:val="22"/>
                <w:szCs w:val="22"/>
              </w:rPr>
            </w:pPr>
            <w:r>
              <w:rPr>
                <w:rFonts w:ascii="Calibri" w:eastAsia="Malgun Gothic" w:hAnsi="Calibri"/>
                <w:kern w:val="0"/>
                <w:sz w:val="22"/>
                <w:szCs w:val="22"/>
              </w:rPr>
              <w:t>Update objective on “resource allocation to reduce power consumption” to include RAN1 aspects of DRX</w:t>
            </w:r>
          </w:p>
          <w:p w:rsidR="0065173D" w:rsidRDefault="00D91BB8">
            <w:pPr>
              <w:widowControl/>
              <w:numPr>
                <w:ilvl w:val="0"/>
                <w:numId w:val="4"/>
              </w:numPr>
              <w:wordWrap/>
              <w:autoSpaceDE/>
              <w:autoSpaceDN/>
              <w:spacing w:after="180" w:line="259" w:lineRule="auto"/>
              <w:rPr>
                <w:rFonts w:ascii="Calibri" w:eastAsia="Malgun Gothic" w:hAnsi="Calibri"/>
                <w:kern w:val="0"/>
                <w:sz w:val="22"/>
                <w:szCs w:val="22"/>
              </w:rPr>
            </w:pPr>
            <w:r>
              <w:rPr>
                <w:rFonts w:ascii="Calibri" w:eastAsia="Malgun Gothic" w:hAnsi="Calibri"/>
                <w:kern w:val="0"/>
                <w:sz w:val="22"/>
                <w:szCs w:val="22"/>
              </w:rPr>
              <w:t>Update SL DRX objective to add RAN1 as a secondary WG</w:t>
            </w:r>
          </w:p>
          <w:p w:rsidR="0065173D" w:rsidRDefault="0065173D">
            <w:pPr>
              <w:widowControl/>
              <w:kinsoku w:val="0"/>
              <w:wordWrap/>
              <w:overflowPunct w:val="0"/>
              <w:rPr>
                <w:rFonts w:ascii="Calibri" w:eastAsiaTheme="minorEastAsia" w:hAnsi="Calibri" w:cs="Calibri"/>
                <w:sz w:val="22"/>
              </w:rPr>
            </w:pP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We think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has be considered for resource allocation as resource allocation has to be aligned with the DRX period. As long as the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is considered in RAN1 for resource allocation, we are fine with either clarifying the resource allocation enhancement objective to include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or adding RAN1 as seconding WG for the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lastRenderedPageBreak/>
              <w:t>Futurewei</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While we agree with LGE that this is not an absolutely needed clarification, this will make it clear that RAN1 has to discuss DRX on the </w:t>
            </w:r>
            <w:proofErr w:type="spellStart"/>
            <w:r>
              <w:rPr>
                <w:rFonts w:ascii="Calibri" w:eastAsiaTheme="minorEastAsia" w:hAnsi="Calibri" w:cs="Calibri"/>
                <w:sz w:val="22"/>
              </w:rPr>
              <w:t>sidelink</w:t>
            </w:r>
            <w:proofErr w:type="spellEnd"/>
            <w:r>
              <w:rPr>
                <w:rFonts w:ascii="Calibri" w:eastAsiaTheme="minorEastAsia" w:hAnsi="Calibri" w:cs="Calibri"/>
                <w:sz w:val="22"/>
              </w:rPr>
              <w:t>.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hAnsi="Calibri" w:cs="Calibri"/>
                <w:sz w:val="22"/>
                <w:lang w:val="en-GB"/>
              </w:rPr>
              <w:t xml:space="preserve">Adding RAN1 as a secondary WG can make the DRX work more efficient. We already know the strong relation in between, especially for the resource selection in/out DRX On-Duration after sensing </w:t>
            </w:r>
            <w:proofErr w:type="gramStart"/>
            <w:r>
              <w:rPr>
                <w:rFonts w:ascii="Calibri" w:hAnsi="Calibri" w:cs="Calibri"/>
                <w:sz w:val="22"/>
                <w:lang w:val="en-GB"/>
              </w:rPr>
              <w:t>procedure, that</w:t>
            </w:r>
            <w:proofErr w:type="gramEnd"/>
            <w:r>
              <w:rPr>
                <w:rFonts w:ascii="Calibri" w:hAnsi="Calibri" w:cs="Calibri"/>
                <w:sz w:val="22"/>
                <w:lang w:val="en-GB"/>
              </w:rPr>
              <w:t xml:space="preserve"> needs some interwork between RAN1 and RAN2.</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To add secondary WG or to clarify that the existing objective of the resource allocation enhancement also needs to consider impact from other functionalities including </w:t>
            </w:r>
            <w:proofErr w:type="spellStart"/>
            <w:r>
              <w:rPr>
                <w:rFonts w:ascii="Calibri" w:hAnsi="Calibri" w:cs="Calibri"/>
                <w:sz w:val="22"/>
                <w:lang w:val="en-GB"/>
              </w:rPr>
              <w:t>sidelink</w:t>
            </w:r>
            <w:proofErr w:type="spellEnd"/>
            <w:r>
              <w:rPr>
                <w:rFonts w:ascii="Calibri" w:hAnsi="Calibri" w:cs="Calibri"/>
                <w:sz w:val="22"/>
                <w:lang w:val="en-GB"/>
              </w:rPr>
              <w:t xml:space="preserve"> DRX is necessary to clarify RAN1 scope.</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is configured. </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Yes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SimSun" w:hAnsi="Calibri" w:cs="Calibri"/>
                <w:sz w:val="22"/>
                <w:lang w:eastAsia="zh-CN"/>
              </w:rPr>
              <w:t>We support to have RAN1 as a secondary WG to manage the workload and arrange the related discussion.</w:t>
            </w:r>
          </w:p>
        </w:tc>
      </w:tr>
      <w:tr w:rsidR="00D91BB8" w:rsidTr="00245E62">
        <w:tc>
          <w:tcPr>
            <w:tcW w:w="1458"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As we all know, RAN2 has already sent one LS towards RAN1 to mention some SL DRX related agreement and conclusion. But RAN1 has not handled this LS and reached any formal discussion. So whether and how SL DRX will truly impact RAN1 design is not clear. In that case, we propose RAN1 firstly to handle RAN2 LS to find whether there is any RAN1 impact. In addition, considering the work load, it is not reasonable to make RAN1 consider additional </w:t>
            </w:r>
            <w:proofErr w:type="spellStart"/>
            <w:r>
              <w:rPr>
                <w:rFonts w:ascii="Calibri" w:eastAsia="SimSun" w:hAnsi="Calibri" w:cs="Calibri" w:hint="eastAsia"/>
                <w:sz w:val="22"/>
                <w:lang w:eastAsia="zh-CN"/>
              </w:rPr>
              <w:t>sidelink</w:t>
            </w:r>
            <w:proofErr w:type="spellEnd"/>
            <w:r>
              <w:rPr>
                <w:rFonts w:ascii="Calibri" w:eastAsia="SimSun" w:hAnsi="Calibri" w:cs="Calibri" w:hint="eastAsia"/>
                <w:sz w:val="22"/>
                <w:lang w:eastAsia="zh-CN"/>
              </w:rPr>
              <w:t xml:space="preserve"> DRX enhancement.</w:t>
            </w:r>
          </w:p>
        </w:tc>
      </w:tr>
      <w:tr w:rsidR="00D91BB8" w:rsidRPr="00D91BB8">
        <w:tc>
          <w:tcPr>
            <w:tcW w:w="1458"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No</w:t>
            </w:r>
          </w:p>
        </w:tc>
        <w:tc>
          <w:tcPr>
            <w:tcW w:w="6298" w:type="dxa"/>
          </w:tcPr>
          <w:p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By now, it is not clear on how RAN1 should be involved in the work of SL DRX including </w:t>
            </w:r>
            <w:r w:rsidRPr="00D91BB8">
              <w:rPr>
                <w:rFonts w:ascii="Calibri" w:eastAsia="SimSun" w:hAnsi="Calibri" w:cs="Calibri"/>
                <w:sz w:val="22"/>
                <w:lang w:eastAsia="zh-CN"/>
              </w:rPr>
              <w:t>physical</w:t>
            </w:r>
            <w:r w:rsidRPr="00D91BB8">
              <w:rPr>
                <w:rFonts w:ascii="Calibri" w:eastAsia="SimSun" w:hAnsi="Calibri" w:cs="Calibri" w:hint="eastAsia"/>
                <w:sz w:val="22"/>
                <w:lang w:eastAsia="zh-CN"/>
              </w:rPr>
              <w:t xml:space="preserve"> design update and other detailed aspects. </w:t>
            </w:r>
            <w:r w:rsidRPr="00D91BB8">
              <w:rPr>
                <w:rFonts w:ascii="Calibri" w:eastAsia="SimSun" w:hAnsi="Calibri" w:cs="Calibri"/>
                <w:sz w:val="22"/>
                <w:lang w:eastAsia="zh-CN"/>
              </w:rPr>
              <w:t>W</w:t>
            </w:r>
            <w:r w:rsidRPr="00D91BB8">
              <w:rPr>
                <w:rFonts w:ascii="Calibri" w:eastAsia="SimSun" w:hAnsi="Calibri" w:cs="Calibri" w:hint="eastAsia"/>
                <w:sz w:val="22"/>
                <w:lang w:eastAsia="zh-CN"/>
              </w:rPr>
              <w:t xml:space="preserve">e prefer to keep the current objectives unchanged and restricted to RAN WG2 by </w:t>
            </w:r>
            <w:r w:rsidRPr="00D91BB8">
              <w:rPr>
                <w:rFonts w:ascii="Calibri" w:eastAsia="SimSun" w:hAnsi="Calibri" w:cs="Calibri"/>
                <w:sz w:val="22"/>
                <w:lang w:eastAsia="zh-CN"/>
              </w:rPr>
              <w:t>avoiding</w:t>
            </w:r>
            <w:r w:rsidRPr="00D91BB8">
              <w:rPr>
                <w:rFonts w:ascii="Calibri" w:eastAsia="SimSun" w:hAnsi="Calibri" w:cs="Calibri" w:hint="eastAsia"/>
                <w:sz w:val="22"/>
                <w:lang w:eastAsia="zh-CN"/>
              </w:rPr>
              <w:t xml:space="preserve"> parallel discussion by both WGs. RAN1 can be triggered of discussion on SL DRX by LS from RAN2 when there is clear results after discussion on how RAN1 can be involved.</w:t>
            </w:r>
          </w:p>
        </w:tc>
      </w:tr>
      <w:tr w:rsidR="00245E62" w:rsidRPr="00D91BB8">
        <w:tc>
          <w:tcPr>
            <w:tcW w:w="1458" w:type="dxa"/>
          </w:tcPr>
          <w:p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No</w:t>
            </w:r>
          </w:p>
        </w:tc>
        <w:tc>
          <w:tcPr>
            <w:tcW w:w="6298" w:type="dxa"/>
          </w:tcPr>
          <w:p w:rsidR="00245E62" w:rsidRPr="00245E62" w:rsidRDefault="00887865" w:rsidP="00887865">
            <w:pPr>
              <w:widowControl/>
              <w:wordWrap/>
              <w:rPr>
                <w:rFonts w:ascii="Calibri" w:eastAsiaTheme="minorEastAsia" w:hAnsi="Calibri" w:cs="Calibri"/>
                <w:sz w:val="22"/>
              </w:rPr>
            </w:pPr>
            <w:r>
              <w:rPr>
                <w:rFonts w:ascii="Calibri" w:eastAsiaTheme="minorEastAsia" w:hAnsi="Calibri" w:cs="Calibri"/>
                <w:sz w:val="22"/>
              </w:rPr>
              <w:t>We think that it is not an urgent issue to decide at this meeting</w:t>
            </w:r>
            <w:r w:rsidR="00245E62">
              <w:rPr>
                <w:rFonts w:ascii="Calibri" w:eastAsiaTheme="minorEastAsia" w:hAnsi="Calibri" w:cs="Calibri"/>
                <w:sz w:val="22"/>
              </w:rPr>
              <w:t xml:space="preserve">. Without the change of current </w:t>
            </w:r>
            <w:r w:rsidR="00245E62">
              <w:rPr>
                <w:rFonts w:ascii="Calibri" w:eastAsiaTheme="minorEastAsia" w:hAnsi="Calibri" w:cs="Calibri" w:hint="eastAsia"/>
                <w:sz w:val="22"/>
              </w:rPr>
              <w:t xml:space="preserve">objective, we can discuss SL DRX issue </w:t>
            </w:r>
            <w:r>
              <w:rPr>
                <w:rFonts w:ascii="Calibri" w:eastAsiaTheme="minorEastAsia" w:hAnsi="Calibri" w:cs="Calibri"/>
                <w:sz w:val="22"/>
              </w:rPr>
              <w:t xml:space="preserve">in the next RAN1 meeting based on RAN2 LS. </w:t>
            </w:r>
          </w:p>
        </w:tc>
      </w:tr>
      <w:tr w:rsidR="00370201" w:rsidRPr="00D91BB8">
        <w:tc>
          <w:tcPr>
            <w:tcW w:w="1458" w:type="dxa"/>
          </w:tcPr>
          <w:p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think the DRX impact can be handled in the existing scope, with coordination by LSs as usual.  We don’t see a big need for any impact on the WID, but LG’s suggestion above to clarify the potential impact to the resource allocation objective would be acceptable for us.</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[5])?</w:t>
      </w:r>
    </w:p>
    <w:tbl>
      <w:tblPr>
        <w:tblStyle w:val="TableGrid"/>
        <w:tblW w:w="0" w:type="auto"/>
        <w:tblLook w:val="04A0" w:firstRow="1" w:lastRow="0" w:firstColumn="1" w:lastColumn="0" w:noHBand="0" w:noVBand="1"/>
      </w:tblPr>
      <w:tblGrid>
        <w:gridCol w:w="1458"/>
        <w:gridCol w:w="1260"/>
        <w:gridCol w:w="6298"/>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rsidR="0065173D" w:rsidRDefault="0065173D">
            <w:pPr>
              <w:widowControl/>
              <w:kinsoku w:val="0"/>
              <w:wordWrap/>
              <w:overflowPunct w:val="0"/>
              <w:rPr>
                <w:rFonts w:ascii="Calibri" w:eastAsia="MS Mincho" w:hAnsi="Calibri" w:cs="Calibri"/>
                <w:sz w:val="22"/>
                <w:lang w:eastAsia="ja-JP"/>
              </w:rPr>
            </w:pP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rsidR="0065173D" w:rsidRDefault="0065173D">
            <w:pPr>
              <w:widowControl/>
              <w:kinsoku w:val="0"/>
              <w:wordWrap/>
              <w:overflowPunct w:val="0"/>
              <w:rPr>
                <w:rFonts w:ascii="Calibri" w:eastAsia="SimSun" w:hAnsi="Calibri" w:cs="Calibri"/>
                <w:sz w:val="22"/>
                <w:lang w:eastAsia="zh-CN"/>
              </w:rPr>
            </w:pPr>
          </w:p>
        </w:tc>
      </w:tr>
      <w:tr w:rsidR="0065173D">
        <w:tc>
          <w:tcPr>
            <w:tcW w:w="1458" w:type="dxa"/>
          </w:tcPr>
          <w:p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 xml:space="preserve">uawei, </w:t>
            </w:r>
            <w:proofErr w:type="spellStart"/>
            <w:r>
              <w:rPr>
                <w:rFonts w:ascii="Calibri" w:eastAsia="MS Mincho" w:hAnsi="Calibri" w:cs="Calibri"/>
                <w:sz w:val="22"/>
                <w:lang w:eastAsia="ja-JP"/>
              </w:rPr>
              <w:t>HiSilicon</w:t>
            </w:r>
            <w:proofErr w:type="spellEnd"/>
          </w:p>
        </w:tc>
        <w:tc>
          <w:tcPr>
            <w:tcW w:w="1260" w:type="dxa"/>
          </w:tcPr>
          <w:p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For SL DRX, RAN1 should only address the topics of sensing and resource allocation, reusing the functionality introduced for reducing power consumption</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65173D">
            <w:pPr>
              <w:widowControl/>
              <w:kinsoku w:val="0"/>
              <w:wordWrap/>
              <w:overflowPunct w:val="0"/>
              <w:rPr>
                <w:rFonts w:ascii="Calibri" w:eastAsia="SimSun" w:hAnsi="Calibri" w:cs="Calibri"/>
                <w:sz w:val="22"/>
                <w:lang w:eastAsia="zh-CN"/>
              </w:rPr>
            </w:pP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rsidR="0065173D" w:rsidRDefault="0065173D">
            <w:pPr>
              <w:widowControl/>
              <w:kinsoku w:val="0"/>
              <w:wordWrap/>
              <w:overflowPunct w:val="0"/>
              <w:rPr>
                <w:rFonts w:ascii="Calibri" w:eastAsia="SimSun" w:hAnsi="Calibri" w:cs="Calibri"/>
                <w:sz w:val="22"/>
                <w:lang w:eastAsia="zh-CN"/>
              </w:rPr>
            </w:pP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rsidR="0065173D" w:rsidRDefault="0065173D">
            <w:pPr>
              <w:widowControl/>
              <w:kinsoku w:val="0"/>
              <w:wordWrap/>
              <w:overflowPunct w:val="0"/>
              <w:rPr>
                <w:rFonts w:ascii="Calibri" w:eastAsia="SimSun" w:hAnsi="Calibri" w:cs="Calibri"/>
                <w:sz w:val="22"/>
                <w:lang w:eastAsia="zh-CN"/>
              </w:rPr>
            </w:pP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To add secondary WG or to clarify that the existing objective of the resource allocation enhancement also needs to consider impact from other functionalities including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DRX is necessary to clarify RAN1 scope.</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RAN1 need only address “Sensing and resource allocation issue when SL-DRX is configured”.</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update in [5] is fine to us.</w:t>
            </w:r>
          </w:p>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w:t>
            </w:r>
            <w:r>
              <w:rPr>
                <w:rFonts w:ascii="Calibri" w:eastAsia="SimSun" w:hAnsi="Calibri" w:cs="Calibri"/>
                <w:sz w:val="22"/>
                <w:lang w:eastAsia="zh-CN"/>
              </w:rPr>
              <w:tab/>
              <w:t xml:space="preserve">Specify mechanism aiming to enhance sensing and resource allocation when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DRX is configured [RAN1, RAN2]</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Others</w:t>
      </w:r>
    </w:p>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5</w:t>
      </w:r>
      <w:r>
        <w:rPr>
          <w:rFonts w:ascii="Calibri" w:hAnsi="Calibri" w:cs="Calibri" w:hint="eastAsia"/>
          <w:sz w:val="22"/>
          <w:lang w:val="en-GB"/>
        </w:rPr>
        <w:t xml:space="preserve">: </w:t>
      </w:r>
      <w:r>
        <w:rPr>
          <w:rFonts w:ascii="Calibri" w:hAnsi="Calibri" w:cs="Calibri"/>
          <w:sz w:val="22"/>
          <w:lang w:val="en-GB"/>
        </w:rPr>
        <w:t xml:space="preserve">If there are any other aspects that need to be considered in the scope of this email discussion, please specify them. </w:t>
      </w:r>
    </w:p>
    <w:p w:rsidR="0065173D" w:rsidRDefault="0065173D">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7609"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of the impacted TR/TS needs to be updated in accordance with Rel-17 timeline which is expected to be updated in this meeting. But this is not an urgent issue in our view and update in the next meeting might be okay as well.</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Regarding the fifth objective of WID (i.e., to ensure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operation to be confined in a predetermined geographic area), RAN2 confirms that no extra standard efforts need to be done in RAN towards this objective, as stated in the LS to SA2.</w:t>
            </w:r>
          </w:p>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Consequently, the objective can be deleted so that RAN2 can release the related TUs for other objectives.</w:t>
            </w:r>
          </w:p>
        </w:tc>
      </w:tr>
      <w:tr w:rsidR="0065173D">
        <w:tc>
          <w:tcPr>
            <w:tcW w:w="1458" w:type="dxa"/>
          </w:tcPr>
          <w:p w:rsidR="0065173D" w:rsidRDefault="00D91BB8">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Given</w:t>
            </w:r>
            <w:r>
              <w:rPr>
                <w:rFonts w:ascii="Calibri" w:eastAsiaTheme="minorEastAsia" w:hAnsi="Calibri" w:cs="Calibri"/>
                <w:sz w:val="22"/>
              </w:rPr>
              <w:t xml:space="preserve"> that the WGs have progressed substantially, there is no need for scope changes nor timeline extension. Administrative points are fine to update.</w:t>
            </w:r>
          </w:p>
          <w:p w:rsidR="0065173D" w:rsidRDefault="0065173D">
            <w:pPr>
              <w:widowControl/>
              <w:kinsoku w:val="0"/>
              <w:wordWrap/>
              <w:overflowPunct w:val="0"/>
              <w:rPr>
                <w:rFonts w:ascii="Calibri" w:eastAsiaTheme="minorEastAsia" w:hAnsi="Calibri" w:cs="Calibri"/>
                <w:sz w:val="22"/>
              </w:rPr>
            </w:pPr>
          </w:p>
          <w:p w:rsidR="0065173D" w:rsidRDefault="00D91BB8">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in a procedural sense it may not be necessary to remove the objective, because all that has happened is the work has been completed, rather than that the objective has been cancelled. The TUs are already released, thanks to the clear RAN2 agreement on no further work.</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Apple</w:t>
            </w:r>
          </w:p>
        </w:tc>
        <w:tc>
          <w:tcPr>
            <w:tcW w:w="7609"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r w:rsidR="00887865">
        <w:tc>
          <w:tcPr>
            <w:tcW w:w="1458" w:type="dxa"/>
          </w:tcPr>
          <w:p w:rsidR="00887865" w:rsidRPr="00887865" w:rsidRDefault="00887865">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Samsung</w:t>
            </w:r>
          </w:p>
        </w:tc>
        <w:tc>
          <w:tcPr>
            <w:tcW w:w="7609" w:type="dxa"/>
          </w:tcPr>
          <w:p w:rsidR="00887865" w:rsidRDefault="00887865" w:rsidP="00A80EBC">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also think that objective 5 in WID does not need to be removed. </w:t>
            </w:r>
            <w:r w:rsidR="00A80EBC">
              <w:rPr>
                <w:rFonts w:ascii="Calibri" w:eastAsiaTheme="minorEastAsia" w:hAnsi="Calibri" w:cs="Calibri"/>
                <w:sz w:val="22"/>
              </w:rPr>
              <w:t xml:space="preserve">We suggest focusing on the </w:t>
            </w:r>
            <w:r w:rsidR="00A80EBC">
              <w:rPr>
                <w:rFonts w:ascii="Calibri" w:hAnsi="Calibri" w:cs="Calibri"/>
                <w:sz w:val="22"/>
                <w:lang w:val="en-GB"/>
              </w:rPr>
              <w:t xml:space="preserve">objective for Mode 2 enhancement for enhanced reliability and reduced latency </w:t>
            </w:r>
            <w:r w:rsidR="00A80EBC">
              <w:rPr>
                <w:rFonts w:ascii="Calibri" w:eastAsiaTheme="minorEastAsia" w:hAnsi="Calibri" w:cs="Calibri"/>
                <w:sz w:val="22"/>
              </w:rPr>
              <w:t>in this meeting.</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References</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[1] RP</w:t>
      </w:r>
      <w:r>
        <w:rPr>
          <w:rFonts w:ascii="MS Gothic" w:hAnsi="MS Gothic" w:cs="MS Gothic"/>
          <w:sz w:val="22"/>
          <w:lang w:val="en-GB"/>
        </w:rPr>
        <w:t>‑</w:t>
      </w:r>
      <w:r>
        <w:rPr>
          <w:rFonts w:ascii="Calibri" w:hAnsi="Calibri" w:cs="Calibri"/>
          <w:sz w:val="22"/>
          <w:lang w:val="en-GB"/>
        </w:rPr>
        <w:t xml:space="preserve">202153    LS on Mode 2 enhancements in NR </w:t>
      </w:r>
      <w:proofErr w:type="spellStart"/>
      <w:r>
        <w:rPr>
          <w:rFonts w:ascii="Calibri" w:hAnsi="Calibri" w:cs="Calibri"/>
          <w:sz w:val="22"/>
          <w:lang w:val="en-GB"/>
        </w:rPr>
        <w:t>sidelink</w:t>
      </w:r>
      <w:proofErr w:type="spellEnd"/>
      <w:r>
        <w:rPr>
          <w:rFonts w:ascii="Calibri" w:hAnsi="Calibri" w:cs="Calibri"/>
          <w:sz w:val="22"/>
          <w:lang w:val="en-GB"/>
        </w:rPr>
        <w:tab/>
      </w:r>
      <w:r>
        <w:rPr>
          <w:rFonts w:ascii="Calibri" w:hAnsi="Calibri" w:cs="Calibri"/>
          <w:sz w:val="22"/>
          <w:lang w:val="en-GB"/>
        </w:rPr>
        <w:tab/>
        <w:t>RAN1</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[2] RP</w:t>
      </w:r>
      <w:r>
        <w:rPr>
          <w:rFonts w:ascii="MS Gothic" w:hAnsi="MS Gothic" w:cs="MS Gothic"/>
          <w:sz w:val="22"/>
          <w:lang w:val="en-GB"/>
        </w:rPr>
        <w:t>‑</w:t>
      </w:r>
      <w:r>
        <w:rPr>
          <w:rFonts w:ascii="Calibri" w:hAnsi="Calibri" w:cs="Calibri"/>
          <w:sz w:val="22"/>
          <w:lang w:val="en-GB"/>
        </w:rPr>
        <w:t xml:space="preserve">202217    Scope update for R17 </w:t>
      </w:r>
      <w:proofErr w:type="spellStart"/>
      <w:r>
        <w:rPr>
          <w:rFonts w:ascii="Calibri" w:hAnsi="Calibri" w:cs="Calibri"/>
          <w:sz w:val="22"/>
          <w:lang w:val="en-GB"/>
        </w:rPr>
        <w:t>Sidelink</w:t>
      </w:r>
      <w:proofErr w:type="spellEnd"/>
      <w:r>
        <w:rPr>
          <w:rFonts w:ascii="Calibri" w:hAnsi="Calibri" w:cs="Calibri"/>
          <w:sz w:val="22"/>
          <w:lang w:val="en-GB"/>
        </w:rPr>
        <w:t xml:space="preserve"> Enhancements    </w:t>
      </w:r>
      <w:proofErr w:type="spellStart"/>
      <w:r>
        <w:rPr>
          <w:rFonts w:ascii="Calibri" w:hAnsi="Calibri" w:cs="Calibri"/>
          <w:sz w:val="22"/>
          <w:lang w:val="en-GB"/>
        </w:rPr>
        <w:t>Futurewei</w:t>
      </w:r>
      <w:proofErr w:type="spellEnd"/>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[3] RP</w:t>
      </w:r>
      <w:r>
        <w:rPr>
          <w:rFonts w:ascii="MS Gothic" w:hAnsi="MS Gothic" w:cs="MS Gothic"/>
          <w:sz w:val="22"/>
          <w:lang w:val="en-GB"/>
        </w:rPr>
        <w:t>‑</w:t>
      </w:r>
      <w:r>
        <w:rPr>
          <w:rFonts w:ascii="Calibri" w:hAnsi="Calibri" w:cs="Calibri"/>
          <w:sz w:val="22"/>
          <w:lang w:val="en-GB"/>
        </w:rPr>
        <w:t>202354    Discussion on inter-UE coordination for Rel-17 SL enhancement    Intel Corporation</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lastRenderedPageBreak/>
        <w:t>[4] RP</w:t>
      </w:r>
      <w:r>
        <w:rPr>
          <w:rFonts w:ascii="MS Gothic" w:hAnsi="MS Gothic" w:cs="MS Gothic"/>
          <w:sz w:val="22"/>
          <w:lang w:val="en-GB"/>
        </w:rPr>
        <w:t>‑</w:t>
      </w:r>
      <w:r>
        <w:rPr>
          <w:rFonts w:ascii="Calibri" w:hAnsi="Calibri" w:cs="Calibri"/>
          <w:sz w:val="22"/>
          <w:lang w:val="en-GB"/>
        </w:rPr>
        <w:t xml:space="preserve">202378    Views on the WI on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Ericsson</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[5] RP</w:t>
      </w:r>
      <w:r>
        <w:rPr>
          <w:rFonts w:ascii="MS Gothic" w:hAnsi="MS Gothic" w:cs="MS Gothic"/>
          <w:sz w:val="22"/>
          <w:lang w:val="en-GB"/>
        </w:rPr>
        <w:t>‑</w:t>
      </w:r>
      <w:r>
        <w:rPr>
          <w:rFonts w:ascii="Calibri" w:hAnsi="Calibri" w:cs="Calibri"/>
          <w:sz w:val="22"/>
          <w:lang w:val="en-GB"/>
        </w:rPr>
        <w:t xml:space="preserve">202562    Discussion of </w:t>
      </w:r>
      <w:proofErr w:type="spellStart"/>
      <w:r>
        <w:rPr>
          <w:rFonts w:ascii="Calibri" w:hAnsi="Calibri" w:cs="Calibri"/>
          <w:sz w:val="22"/>
          <w:lang w:val="en-GB"/>
        </w:rPr>
        <w:t>Sidelink</w:t>
      </w:r>
      <w:proofErr w:type="spellEnd"/>
      <w:r>
        <w:rPr>
          <w:rFonts w:ascii="Calibri" w:hAnsi="Calibri" w:cs="Calibri"/>
          <w:sz w:val="22"/>
          <w:lang w:val="en-GB"/>
        </w:rPr>
        <w:t xml:space="preserve"> DRX on Rel-17 NR </w:t>
      </w:r>
      <w:proofErr w:type="spellStart"/>
      <w:r>
        <w:rPr>
          <w:rFonts w:ascii="Calibri" w:hAnsi="Calibri" w:cs="Calibri"/>
          <w:sz w:val="22"/>
          <w:lang w:val="en-GB"/>
        </w:rPr>
        <w:t>Sidelink</w:t>
      </w:r>
      <w:proofErr w:type="spellEnd"/>
      <w:r>
        <w:rPr>
          <w:rFonts w:ascii="Calibri" w:hAnsi="Calibri" w:cs="Calibri"/>
          <w:sz w:val="22"/>
          <w:lang w:val="en-GB"/>
        </w:rPr>
        <w:t xml:space="preserve"> Enhancements    Apple Inc.</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[6] RP</w:t>
      </w:r>
      <w:r>
        <w:rPr>
          <w:rFonts w:ascii="MS Gothic" w:hAnsi="MS Gothic" w:cs="MS Gothic"/>
          <w:sz w:val="22"/>
          <w:lang w:val="en-GB"/>
        </w:rPr>
        <w:t>‑</w:t>
      </w:r>
      <w:r>
        <w:rPr>
          <w:rFonts w:ascii="Calibri" w:hAnsi="Calibri" w:cs="Calibri"/>
          <w:sz w:val="22"/>
          <w:lang w:val="en-GB"/>
        </w:rPr>
        <w:t xml:space="preserve">202571    Scope of Rel-17 WI on </w:t>
      </w:r>
      <w:proofErr w:type="spellStart"/>
      <w:r>
        <w:rPr>
          <w:rFonts w:ascii="Calibri" w:hAnsi="Calibri" w:cs="Calibri"/>
          <w:sz w:val="22"/>
          <w:lang w:val="en-GB"/>
        </w:rPr>
        <w:t>sidelink</w:t>
      </w:r>
      <w:proofErr w:type="spellEnd"/>
      <w:r>
        <w:rPr>
          <w:rFonts w:ascii="Calibri" w:hAnsi="Calibri" w:cs="Calibri"/>
          <w:sz w:val="22"/>
          <w:lang w:val="en-GB"/>
        </w:rPr>
        <w:t xml:space="preserve"> enhancement    Huawei, </w:t>
      </w:r>
      <w:proofErr w:type="spellStart"/>
      <w:r>
        <w:rPr>
          <w:rFonts w:ascii="Calibri" w:hAnsi="Calibri" w:cs="Calibri"/>
          <w:sz w:val="22"/>
          <w:lang w:val="en-GB"/>
        </w:rPr>
        <w:t>HiSilicon</w:t>
      </w:r>
      <w:proofErr w:type="spellEnd"/>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[7] RP</w:t>
      </w:r>
      <w:r>
        <w:rPr>
          <w:rFonts w:ascii="MS Gothic" w:hAnsi="MS Gothic" w:cs="MS Gothic"/>
          <w:sz w:val="22"/>
          <w:lang w:val="en-GB"/>
        </w:rPr>
        <w:t>‑</w:t>
      </w:r>
      <w:r>
        <w:rPr>
          <w:rFonts w:ascii="Calibri" w:hAnsi="Calibri" w:cs="Calibri"/>
          <w:sz w:val="22"/>
          <w:lang w:val="en-GB"/>
        </w:rPr>
        <w:t xml:space="preserve">202644    </w:t>
      </w:r>
      <w:proofErr w:type="spellStart"/>
      <w:r>
        <w:rPr>
          <w:rFonts w:ascii="Calibri" w:hAnsi="Calibri" w:cs="Calibri"/>
          <w:sz w:val="22"/>
          <w:lang w:val="en-GB"/>
        </w:rPr>
        <w:t>Discusison</w:t>
      </w:r>
      <w:proofErr w:type="spellEnd"/>
      <w:r>
        <w:rPr>
          <w:rFonts w:ascii="Calibri" w:hAnsi="Calibri" w:cs="Calibri"/>
          <w:sz w:val="22"/>
          <w:lang w:val="en-GB"/>
        </w:rPr>
        <w:t xml:space="preserve"> on Rel-17 SL </w:t>
      </w:r>
      <w:proofErr w:type="spellStart"/>
      <w:r>
        <w:rPr>
          <w:rFonts w:ascii="Calibri" w:hAnsi="Calibri" w:cs="Calibri"/>
          <w:sz w:val="22"/>
          <w:lang w:val="en-GB"/>
        </w:rPr>
        <w:t>enhancememt</w:t>
      </w:r>
      <w:proofErr w:type="spellEnd"/>
      <w:r>
        <w:rPr>
          <w:rFonts w:ascii="Calibri" w:hAnsi="Calibri" w:cs="Calibri"/>
          <w:sz w:val="22"/>
          <w:lang w:val="en-GB"/>
        </w:rPr>
        <w:t xml:space="preserve"> WID scope    vivo</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[8] RP</w:t>
      </w:r>
      <w:r>
        <w:rPr>
          <w:rFonts w:ascii="MS Gothic" w:hAnsi="MS Gothic" w:cs="MS Gothic"/>
          <w:sz w:val="22"/>
          <w:lang w:val="en-GB"/>
        </w:rPr>
        <w:t>‑</w:t>
      </w:r>
      <w:r>
        <w:rPr>
          <w:rFonts w:ascii="Calibri" w:hAnsi="Calibri" w:cs="Calibri"/>
          <w:sz w:val="22"/>
          <w:lang w:val="en-GB"/>
        </w:rPr>
        <w:t xml:space="preserve">202673    Views on work scope of Rel-17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ZTE, </w:t>
      </w:r>
      <w:proofErr w:type="spellStart"/>
      <w:r>
        <w:rPr>
          <w:rFonts w:ascii="Calibri" w:hAnsi="Calibri" w:cs="Calibri"/>
          <w:sz w:val="22"/>
          <w:lang w:val="en-GB"/>
        </w:rPr>
        <w:t>Sanechips</w:t>
      </w:r>
      <w:proofErr w:type="spellEnd"/>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[9] RP</w:t>
      </w:r>
      <w:r>
        <w:rPr>
          <w:rFonts w:ascii="MS Gothic" w:hAnsi="MS Gothic" w:cs="MS Gothic"/>
          <w:sz w:val="22"/>
          <w:lang w:val="en-GB"/>
        </w:rPr>
        <w:t>‑</w:t>
      </w:r>
      <w:r>
        <w:rPr>
          <w:rFonts w:ascii="Calibri" w:hAnsi="Calibri" w:cs="Calibri"/>
          <w:sz w:val="22"/>
          <w:lang w:val="en-GB"/>
        </w:rPr>
        <w:t xml:space="preserve">202253    Revised WID on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LG Electronics</w:t>
      </w:r>
    </w:p>
    <w:sectPr w:rsidR="0065173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71CA"/>
    <w:multiLevelType w:val="multilevel"/>
    <w:tmpl w:val="0F9171C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4BB0729D"/>
    <w:multiLevelType w:val="multilevel"/>
    <w:tmpl w:val="4BB07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147DCB"/>
    <w:multiLevelType w:val="multilevel"/>
    <w:tmpl w:val="74147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36F09"/>
    <w:rsid w:val="00057D0C"/>
    <w:rsid w:val="00071F05"/>
    <w:rsid w:val="0009282D"/>
    <w:rsid w:val="00093067"/>
    <w:rsid w:val="000A51CD"/>
    <w:rsid w:val="000B230B"/>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45E62"/>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70201"/>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173D"/>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343FB"/>
    <w:rsid w:val="00740D19"/>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87865"/>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4682"/>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80EBC"/>
    <w:rsid w:val="00AA28AD"/>
    <w:rsid w:val="00AA515D"/>
    <w:rsid w:val="00AC407A"/>
    <w:rsid w:val="00AD735B"/>
    <w:rsid w:val="00AE035D"/>
    <w:rsid w:val="00AF6EBD"/>
    <w:rsid w:val="00B153E5"/>
    <w:rsid w:val="00B17284"/>
    <w:rsid w:val="00B21DD8"/>
    <w:rsid w:val="00B47733"/>
    <w:rsid w:val="00B64350"/>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91BB8"/>
    <w:rsid w:val="00DB3998"/>
    <w:rsid w:val="00DE462A"/>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9E408-DE77-4397-B0CC-5AF2F02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Batang" w:eastAsia="Batang" w:hAnsi="Times New Roman" w:cs="Times New Roman"/>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Heading5">
    <w:name w:val="heading 5"/>
    <w:basedOn w:val="Normal"/>
    <w:next w:val="Normal"/>
    <w:link w:val="Heading5Char"/>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CommentText">
    <w:name w:val="annotation text"/>
    <w:basedOn w:val="Normal"/>
    <w:link w:val="CommentTextChar"/>
    <w:uiPriority w:val="99"/>
    <w:semiHidden/>
    <w:unhideWhenUsed/>
    <w:pPr>
      <w:jc w:val="left"/>
    </w:p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List">
    <w:name w:val="List"/>
    <w:basedOn w:val="Normal"/>
    <w:uiPriority w:val="99"/>
    <w:semiHidden/>
    <w:unhideWhenUsed/>
    <w:qFormat/>
    <w:pPr>
      <w:ind w:left="36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qFormat/>
    <w:rPr>
      <w:rFonts w:ascii="Arial" w:eastAsia="Batang" w:hAnsi="Arial" w:cs="Times New Roman"/>
      <w:kern w:val="0"/>
      <w:sz w:val="36"/>
      <w:szCs w:val="20"/>
      <w:lang w:val="en-GB" w:eastAsia="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link w:val="ListParagraph"/>
    <w:uiPriority w:val="34"/>
    <w:qFormat/>
    <w:rPr>
      <w:rFonts w:ascii="Malgun Gothic" w:eastAsia="Malgun Gothic" w:hAnsi="Malgun Gothic" w:cs="Times New Roman"/>
    </w:rPr>
  </w:style>
  <w:style w:type="table" w:customStyle="1" w:styleId="1">
    <w:name w:val="표 구분선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CommentTextChar">
    <w:name w:val="Comment Text Char"/>
    <w:basedOn w:val="DefaultParagraphFont"/>
    <w:link w:val="CommentText"/>
    <w:uiPriority w:val="99"/>
    <w:semiHidden/>
    <w:rPr>
      <w:rFonts w:ascii="Batang" w:eastAsia="Batang" w:hAnsi="Times New Roman" w:cs="Times New Roman"/>
      <w:szCs w:val="24"/>
    </w:rPr>
  </w:style>
  <w:style w:type="character" w:customStyle="1" w:styleId="CommentSubjectChar">
    <w:name w:val="Comment Subject Char"/>
    <w:basedOn w:val="CommentTextChar"/>
    <w:link w:val="CommentSubject"/>
    <w:uiPriority w:val="99"/>
    <w:semiHidden/>
    <w:rPr>
      <w:rFonts w:ascii="Batang" w:eastAsia="Batang" w:hAnsi="Times New Roman" w:cs="Times New Roman"/>
      <w:b/>
      <w:bCs/>
      <w:szCs w:val="24"/>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table" w:customStyle="1" w:styleId="3">
    <w:name w:val="표 구분선3"/>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Pr>
      <w:rFonts w:ascii="Tahoma" w:eastAsia="Batang" w:hAnsi="Tahoma" w:cs="Tahoma"/>
      <w:sz w:val="16"/>
      <w:szCs w:val="16"/>
    </w:rPr>
  </w:style>
  <w:style w:type="paragraph" w:customStyle="1" w:styleId="B1">
    <w:name w:val="B1"/>
    <w:basedOn w:val="List"/>
    <w:link w:val="B1Char"/>
    <w:qFormat/>
    <w:pPr>
      <w:ind w:left="568" w:hanging="284"/>
      <w:contextualSpacing w:val="0"/>
    </w:pPr>
  </w:style>
  <w:style w:type="paragraph" w:customStyle="1" w:styleId="B2">
    <w:name w:val="B2"/>
    <w:basedOn w:val="List2"/>
    <w:link w:val="B2Char"/>
    <w:qFormat/>
    <w:pPr>
      <w:ind w:left="851" w:hanging="284"/>
      <w:contextualSpacing w:val="0"/>
    </w:p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szCs w:val="24"/>
    </w:rPr>
  </w:style>
  <w:style w:type="character" w:customStyle="1" w:styleId="B1Char">
    <w:name w:val="B1 Char"/>
    <w:link w:val="B1"/>
    <w:qFormat/>
    <w:rPr>
      <w:rFonts w:ascii="Batang" w:eastAsia="Batang" w:hAnsi="Times New Roman" w:cs="Times New Roman"/>
      <w:szCs w:val="24"/>
    </w:rPr>
  </w:style>
  <w:style w:type="character" w:customStyle="1" w:styleId="B2Char">
    <w:name w:val="B2 Char"/>
    <w:link w:val="B2"/>
    <w:qFormat/>
    <w:rPr>
      <w:rFonts w:ascii="Batang" w:eastAsia="Batang" w:hAnsi="Times New Roman" w:cs="Times New Roman"/>
      <w:szCs w:val="24"/>
    </w:rPr>
  </w:style>
  <w:style w:type="table" w:customStyle="1" w:styleId="4">
    <w:name w:val="표 구분선4"/>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3.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16787</Characters>
  <Application>Microsoft Office Word</Application>
  <DocSecurity>0</DocSecurity>
  <Lines>139</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MediaTek (Nathan)</cp:lastModifiedBy>
  <cp:revision>2</cp:revision>
  <dcterms:created xsi:type="dcterms:W3CDTF">2020-12-08T04:51:00Z</dcterms:created>
  <dcterms:modified xsi:type="dcterms:W3CDTF">2020-12-08T04:51:00Z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y fmtid="{D5CDD505-2E9C-101B-9397-08002B2CF9AE}" pid="7" name="NSCPROP_SA">
    <vt:lpwstr>https://www.3gpp.org/ftp/tsg_ran/TSG_RAN/TSGR_90e/Inbox/Drafts/[90E][25][R17_sidelink_scope]/R17_sidelink_scope v17_ZTE_CATT.docx</vt:lpwstr>
  </property>
</Properties>
</file>