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9AA9E" w14:textId="14077287" w:rsidR="001A35D7" w:rsidRPr="000F5F09" w:rsidRDefault="00817974" w:rsidP="001A35D7">
      <w:pPr>
        <w:tabs>
          <w:tab w:val="center" w:pos="4536"/>
          <w:tab w:val="right" w:pos="8280"/>
          <w:tab w:val="right" w:pos="9639"/>
        </w:tabs>
        <w:ind w:right="2"/>
        <w:rPr>
          <w:rFonts w:ascii="Arial" w:hAnsi="Arial" w:cs="Arial"/>
          <w:b/>
          <w:bCs/>
        </w:rPr>
      </w:pPr>
      <w:r>
        <w:rPr>
          <w:rFonts w:ascii="Arial" w:hAnsi="Arial" w:cs="Arial"/>
          <w:b/>
          <w:bCs/>
        </w:rPr>
        <w:t>4444444</w:t>
      </w:r>
      <w:r w:rsidR="00B50F91">
        <w:rPr>
          <w:rFonts w:ascii="Arial" w:hAnsi="Arial" w:cs="Arial"/>
          <w:b/>
          <w:bCs/>
        </w:rPr>
        <w:t>3GPP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53D997A1"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C35537">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1720FA8E" w:rsidR="00161A56" w:rsidRPr="0039763A" w:rsidRDefault="00161A56" w:rsidP="00161A56">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F0F8D">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TableGrid"/>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Tdoc</w:t>
            </w:r>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FeMIMO WI:</w:t>
            </w:r>
          </w:p>
          <w:p w14:paraId="10FDBE4A" w14:textId="5DFA1E51"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RAN4 is occupied with Rel.16 NR_eMIMO and RAN2 work load is close to critical</w:t>
            </w:r>
          </w:p>
          <w:p w14:paraId="5F69FB8A" w14:textId="44203D4A"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RAN to discuss and (preferably) provide guideline (criteria) for the necessity of LS from RAN1 to RAN2/4 in early phase of Rel.17 NR FeMIMO</w:t>
            </w:r>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the issues with sending LS to RAN2/4 in the early phase of Rel.17 NR FeMIMO WI (e.g. those identified in RP-202300):</w:t>
            </w:r>
          </w:p>
          <w:p w14:paraId="2E74E37C" w14:textId="59C66BD4" w:rsid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an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37329B4B" w:rsidR="00B9763B" w:rsidRPr="0039763A" w:rsidRDefault="00B9763B" w:rsidP="00B9763B">
      <w:pPr>
        <w:pStyle w:val="Caption"/>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F0F8D">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p>
    <w:tbl>
      <w:tblPr>
        <w:tblStyle w:val="TableGrid"/>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In general, sending an LS to RAN2/4 in the early phase of FeMIMO</w:t>
            </w:r>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an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ListParagraph"/>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4909E28C" w14:textId="27E300CC"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RAN1 can be cautious on sending LS to RAN2/4 during the early phase of the FeMIMO. </w:t>
            </w:r>
          </w:p>
          <w:p w14:paraId="5498A268" w14:textId="77777777" w:rsidR="006E4F32" w:rsidRDefault="006E4F32" w:rsidP="00556FC1">
            <w:pPr>
              <w:snapToGrid w:val="0"/>
              <w:jc w:val="both"/>
              <w:rPr>
                <w:rFonts w:ascii="Times New Roman" w:eastAsia="DengXian" w:hAnsi="Times New Roman" w:cs="Times New Roman"/>
                <w:sz w:val="20"/>
                <w:szCs w:val="20"/>
                <w:lang w:eastAsia="zh-CN"/>
              </w:rPr>
            </w:pPr>
          </w:p>
          <w:p w14:paraId="42140904" w14:textId="77777777"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RAN2/4 can reply the LS back to RAN1 indicating </w:t>
            </w:r>
            <w:r w:rsidR="001F09EB">
              <w:rPr>
                <w:rFonts w:ascii="Times New Roman" w:eastAsia="DengXian" w:hAnsi="Times New Roman" w:cs="Times New Roman"/>
                <w:sz w:val="20"/>
                <w:szCs w:val="20"/>
                <w:lang w:eastAsia="zh-CN"/>
              </w:rPr>
              <w:t>the</w:t>
            </w:r>
            <w:r>
              <w:rPr>
                <w:rFonts w:ascii="Times New Roman" w:eastAsia="DengXian"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w:t>
            </w:r>
            <w:r>
              <w:rPr>
                <w:rFonts w:ascii="Times New Roman" w:eastAsia="DengXian" w:hAnsi="Times New Roman" w:cs="Times New Roman" w:hint="eastAsia"/>
                <w:sz w:val="20"/>
                <w:szCs w:val="20"/>
                <w:lang w:eastAsia="zh-CN"/>
              </w:rPr>
              <w:t>n our view,</w:t>
            </w:r>
            <w:r>
              <w:rPr>
                <w:rFonts w:ascii="Times New Roman" w:eastAsia="DengXian" w:hAnsi="Times New Roman" w:cs="Times New Roman"/>
                <w:sz w:val="20"/>
                <w:szCs w:val="20"/>
                <w:lang w:eastAsia="zh-CN"/>
              </w:rPr>
              <w:t xml:space="preserve"> for Q1,</w:t>
            </w:r>
            <w:r>
              <w:rPr>
                <w:rFonts w:ascii="Times New Roman" w:eastAsia="DengXian" w:hAnsi="Times New Roman" w:cs="Times New Roman" w:hint="eastAsia"/>
                <w:sz w:val="20"/>
                <w:szCs w:val="20"/>
                <w:lang w:eastAsia="zh-CN"/>
              </w:rPr>
              <w:t xml:space="preserve"> </w:t>
            </w:r>
            <w:r>
              <w:rPr>
                <w:rFonts w:ascii="Times New Roman" w:eastAsia="DengXian" w:hAnsi="Times New Roman" w:cs="Times New Roman"/>
                <w:sz w:val="20"/>
                <w:szCs w:val="20"/>
                <w:lang w:eastAsia="zh-CN"/>
              </w:rPr>
              <w:t xml:space="preserve">it is </w:t>
            </w:r>
            <w:r>
              <w:rPr>
                <w:rFonts w:ascii="Times New Roman" w:eastAsia="DengXian" w:hAnsi="Times New Roman" w:cs="Times New Roman" w:hint="eastAsia"/>
                <w:sz w:val="20"/>
                <w:szCs w:val="20"/>
                <w:lang w:eastAsia="zh-CN"/>
              </w:rPr>
              <w:t>normal procedure</w:t>
            </w:r>
            <w:r>
              <w:rPr>
                <w:rFonts w:ascii="Times New Roman" w:eastAsia="DengXian"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DengXian" w:hAnsi="Times New Roman" w:cs="Times New Roman"/>
                <w:sz w:val="20"/>
                <w:szCs w:val="20"/>
                <w:lang w:eastAsia="zh-CN"/>
              </w:rPr>
              <w:t>depending on criticality and completion of WI</w:t>
            </w:r>
            <w:r>
              <w:rPr>
                <w:rFonts w:ascii="Times New Roman" w:eastAsia="DengXian"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1:</w:t>
            </w:r>
          </w:p>
          <w:p w14:paraId="42930C53" w14:textId="43690C0E" w:rsidR="00F63B1A" w:rsidRDefault="00D92E7B"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D</w:t>
            </w:r>
            <w:r>
              <w:rPr>
                <w:rFonts w:ascii="Times New Roman" w:eastAsia="DengXian" w:hAnsi="Times New Roman" w:cs="Times New Roman"/>
                <w:sz w:val="20"/>
                <w:szCs w:val="20"/>
                <w:lang w:eastAsia="zh-CN"/>
              </w:rPr>
              <w:t>ue to the extremely stressful TU budget in RAN2 and RAN4, and the fact that</w:t>
            </w:r>
            <w:r w:rsidR="00581E07">
              <w:rPr>
                <w:rFonts w:ascii="Times New Roman" w:eastAsia="DengXian" w:hAnsi="Times New Roman" w:cs="Times New Roman"/>
                <w:sz w:val="20"/>
                <w:szCs w:val="20"/>
                <w:lang w:eastAsia="zh-CN"/>
              </w:rPr>
              <w:t xml:space="preserve"> the start time of</w:t>
            </w:r>
            <w:r>
              <w:rPr>
                <w:rFonts w:ascii="Times New Roman" w:eastAsia="DengXian" w:hAnsi="Times New Roman" w:cs="Times New Roman"/>
                <w:sz w:val="20"/>
                <w:szCs w:val="20"/>
                <w:lang w:eastAsia="zh-CN"/>
              </w:rPr>
              <w:t xml:space="preserve"> RAN2/RAN4 </w:t>
            </w:r>
            <w:r w:rsidR="00581E07">
              <w:rPr>
                <w:rFonts w:ascii="Times New Roman" w:eastAsia="DengXian" w:hAnsi="Times New Roman" w:cs="Times New Roman"/>
                <w:sz w:val="20"/>
                <w:szCs w:val="20"/>
                <w:lang w:eastAsia="zh-CN"/>
              </w:rPr>
              <w:t>FeMIMO WI is much later than RAN1</w:t>
            </w:r>
            <w:r>
              <w:rPr>
                <w:rFonts w:ascii="Times New Roman" w:eastAsia="DengXian"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DengXian" w:hAnsi="Times New Roman" w:cs="Times New Roman"/>
                <w:sz w:val="20"/>
                <w:szCs w:val="20"/>
                <w:lang w:eastAsia="zh-CN"/>
              </w:rPr>
              <w:t xml:space="preserve"> when it is not possible for</w:t>
            </w:r>
            <w:r>
              <w:rPr>
                <w:rFonts w:ascii="Times New Roman" w:eastAsia="DengXian" w:hAnsi="Times New Roman" w:cs="Times New Roman"/>
                <w:sz w:val="20"/>
                <w:szCs w:val="20"/>
                <w:lang w:eastAsia="zh-CN"/>
              </w:rPr>
              <w:t xml:space="preserve"> RAN1 </w:t>
            </w:r>
            <w:r w:rsidR="00581E07">
              <w:rPr>
                <w:rFonts w:ascii="Times New Roman" w:eastAsia="DengXian" w:hAnsi="Times New Roman" w:cs="Times New Roman"/>
                <w:sz w:val="20"/>
                <w:szCs w:val="20"/>
                <w:lang w:eastAsia="zh-CN"/>
              </w:rPr>
              <w:t>to</w:t>
            </w:r>
            <w:r>
              <w:rPr>
                <w:rFonts w:ascii="Times New Roman" w:eastAsia="DengXian" w:hAnsi="Times New Roman" w:cs="Times New Roman"/>
                <w:sz w:val="20"/>
                <w:szCs w:val="20"/>
                <w:lang w:eastAsia="zh-CN"/>
              </w:rPr>
              <w:t xml:space="preserve"> fin</w:t>
            </w:r>
            <w:r w:rsidR="00581E07">
              <w:rPr>
                <w:rFonts w:ascii="Times New Roman" w:eastAsia="DengXian"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DengXian" w:hAnsi="Times New Roman" w:cs="Times New Roman"/>
                <w:sz w:val="20"/>
                <w:szCs w:val="20"/>
                <w:lang w:eastAsia="zh-CN"/>
              </w:rPr>
            </w:pPr>
          </w:p>
          <w:p w14:paraId="194C15B1" w14:textId="3A3F143E"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2:</w:t>
            </w:r>
          </w:p>
          <w:p w14:paraId="20F86E36" w14:textId="1B0BF550" w:rsidR="003E2596" w:rsidRDefault="003E2596"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f so, RAN2/RAN4 should reply that it exceeds the RAN2/RAN4 capacity, and it is encouraged to find a solution in RAN1.</w:t>
            </w:r>
          </w:p>
          <w:p w14:paraId="41C20D4A" w14:textId="7DFDE282" w:rsidR="003E2596" w:rsidRDefault="003E2596" w:rsidP="00556FC1">
            <w:pPr>
              <w:snapToGrid w:val="0"/>
              <w:jc w:val="both"/>
              <w:rPr>
                <w:rFonts w:ascii="Times New Roman" w:eastAsia="DengXian" w:hAnsi="Times New Roman" w:cs="Times New Roman"/>
                <w:sz w:val="20"/>
                <w:szCs w:val="20"/>
                <w:lang w:eastAsia="zh-CN"/>
              </w:rPr>
            </w:pP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69CC0026" w14:textId="3B9D0AEB"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1EBC97EB" w14:textId="540F8554" w:rsidR="00734105" w:rsidRDefault="00C14144"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It is up to the discussion and final decision in RAN2/RAN4 for each LS.</w:t>
            </w:r>
            <w:r w:rsidR="00B012E7">
              <w:rPr>
                <w:rFonts w:ascii="Times New Roman" w:eastAsia="DengXian" w:hAnsi="Times New Roman" w:cs="Times New Roman"/>
                <w:sz w:val="20"/>
                <w:szCs w:val="20"/>
                <w:lang w:eastAsia="zh-CN"/>
              </w:rPr>
              <w:t xml:space="preserve"> For different LS, RAN2/RAN4 may have different </w:t>
            </w:r>
            <w:r w:rsidR="00576137">
              <w:rPr>
                <w:rFonts w:ascii="Times New Roman" w:eastAsia="DengXian" w:hAnsi="Times New Roman" w:cs="Times New Roman"/>
                <w:sz w:val="20"/>
                <w:szCs w:val="20"/>
                <w:lang w:eastAsia="zh-CN"/>
              </w:rPr>
              <w:t>actions</w:t>
            </w:r>
            <w:r w:rsidR="00B012E7">
              <w:rPr>
                <w:rFonts w:ascii="Times New Roman" w:eastAsia="DengXian" w:hAnsi="Times New Roman" w:cs="Times New Roman"/>
                <w:sz w:val="20"/>
                <w:szCs w:val="20"/>
                <w:lang w:eastAsia="zh-CN"/>
              </w:rPr>
              <w:t xml:space="preserve"> depending on their evaluation of the corresponding issues. </w:t>
            </w:r>
            <w:r>
              <w:rPr>
                <w:rFonts w:ascii="Times New Roman" w:eastAsia="DengXian"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Instead sufficient TUs should be allocated to the RAN WGs like RAN2, which need to work with the given WID like feMIMO. In our view feMIMO work should start earlier in RAN2 and RAN4 and needed TUs should be added to RAN2 and RAN4 so that they can provide needed answers to RAN1 and also start their work sufficiently </w:t>
            </w:r>
            <w:r>
              <w:rPr>
                <w:rFonts w:ascii="Times New Roman" w:hAnsi="Times New Roman" w:cs="Times New Roman"/>
                <w:sz w:val="20"/>
                <w:szCs w:val="20"/>
              </w:rPr>
              <w:lastRenderedPageBreak/>
              <w:t xml:space="preserve">early. In Rel-16 RAN2 work on eMIMO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are sufficient amount of TUs for the existing items and objectives. </w:t>
            </w:r>
          </w:p>
        </w:tc>
      </w:tr>
      <w:tr w:rsidR="00817974" w:rsidRPr="00716823" w14:paraId="696D6342" w14:textId="77777777" w:rsidTr="00BD1239">
        <w:tc>
          <w:tcPr>
            <w:tcW w:w="1620" w:type="dxa"/>
          </w:tcPr>
          <w:p w14:paraId="697D0562" w14:textId="2485CA8C" w:rsidR="00817974" w:rsidRDefault="00817974" w:rsidP="00F35D34">
            <w:pPr>
              <w:snapToGrid w:val="0"/>
              <w:rPr>
                <w:rFonts w:ascii="Times New Roman" w:hAnsi="Times New Roman" w:cs="Times New Roman"/>
                <w:sz w:val="20"/>
                <w:szCs w:val="20"/>
              </w:rPr>
            </w:pPr>
            <w:r>
              <w:rPr>
                <w:rFonts w:ascii="Times New Roman" w:hAnsi="Times New Roman" w:cs="Times New Roman"/>
                <w:sz w:val="20"/>
                <w:szCs w:val="20"/>
              </w:rPr>
              <w:lastRenderedPageBreak/>
              <w:t>Huawei</w:t>
            </w:r>
          </w:p>
        </w:tc>
        <w:tc>
          <w:tcPr>
            <w:tcW w:w="8311" w:type="dxa"/>
          </w:tcPr>
          <w:p w14:paraId="352D7C38" w14:textId="348BAB3D" w:rsidR="00817974" w:rsidRP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 xml:space="preserve">Q1: It is fully up to RAN1 to decide whether a LS is needed for RAN2/4 to seek RAN2/RAN4 guidance, if extra RAN2/RAN4 information is considered to be necessary for further RAN1 design/discussion. There is no restriction about whether/when RAN1 can send a LS to other WGs, from RAN perspective.RAN1 can continue as usual. </w:t>
            </w:r>
          </w:p>
          <w:p w14:paraId="1FF824E9" w14:textId="77777777" w:rsidR="00817974" w:rsidRDefault="00817974" w:rsidP="00817974">
            <w:pPr>
              <w:snapToGrid w:val="0"/>
              <w:jc w:val="both"/>
              <w:rPr>
                <w:rFonts w:ascii="Times New Roman" w:hAnsi="Times New Roman" w:cs="Times New Roman"/>
                <w:sz w:val="20"/>
                <w:szCs w:val="20"/>
              </w:rPr>
            </w:pPr>
          </w:p>
          <w:p w14:paraId="7C4475F0" w14:textId="52096261" w:rsid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Q2: It is fully up to RAN2/4 to consider whether associated amount work for replying LS is feasible without dedicated TU. If RAN1 has concerns about RAN2/RAN4 workload of replying LS, related question can be asked in that LS and trigger RAN2/4 TU discussion/update for FeMIMO in RAN as soon as possible.</w:t>
            </w:r>
          </w:p>
        </w:tc>
      </w:tr>
      <w:tr w:rsidR="001973F8" w:rsidRPr="00716823" w14:paraId="144F3255" w14:textId="77777777" w:rsidTr="00BD1239">
        <w:tc>
          <w:tcPr>
            <w:tcW w:w="1620" w:type="dxa"/>
          </w:tcPr>
          <w:p w14:paraId="38469AF7" w14:textId="08FA7DB1" w:rsidR="001973F8" w:rsidRDefault="001973F8" w:rsidP="00F35D34">
            <w:pPr>
              <w:snapToGrid w:val="0"/>
              <w:rPr>
                <w:rFonts w:ascii="Times New Roman" w:hAnsi="Times New Roman" w:cs="Times New Roman"/>
                <w:sz w:val="20"/>
                <w:szCs w:val="20"/>
              </w:rPr>
            </w:pPr>
            <w:r>
              <w:rPr>
                <w:rFonts w:ascii="Times New Roman" w:hAnsi="Times New Roman" w:cs="Times New Roman"/>
                <w:sz w:val="20"/>
                <w:szCs w:val="20"/>
              </w:rPr>
              <w:t>Ericsson</w:t>
            </w:r>
          </w:p>
        </w:tc>
        <w:tc>
          <w:tcPr>
            <w:tcW w:w="8311" w:type="dxa"/>
          </w:tcPr>
          <w:p w14:paraId="21C3A109" w14:textId="7777777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We share the same view as Qualcomm and Nokia. </w:t>
            </w:r>
          </w:p>
          <w:p w14:paraId="7C7CD27B" w14:textId="403A00B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However, understanding the issues that caused this discussion, some improvements in FeMIMO with respect to LS would help the efficiency of the work</w:t>
            </w:r>
            <w:r w:rsidR="00793A3C">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00793A3C">
              <w:rPr>
                <w:rFonts w:ascii="Times New Roman" w:hAnsi="Times New Roman" w:cs="Times New Roman"/>
                <w:sz w:val="20"/>
                <w:szCs w:val="20"/>
              </w:rPr>
              <w:t>it</w:t>
            </w:r>
            <w:r>
              <w:rPr>
                <w:rFonts w:ascii="Times New Roman" w:hAnsi="Times New Roman" w:cs="Times New Roman"/>
                <w:sz w:val="20"/>
                <w:szCs w:val="20"/>
              </w:rPr>
              <w:t xml:space="preserve"> </w:t>
            </w:r>
            <w:r w:rsidR="00793A3C">
              <w:rPr>
                <w:rFonts w:ascii="Times New Roman" w:hAnsi="Times New Roman" w:cs="Times New Roman"/>
                <w:sz w:val="20"/>
                <w:szCs w:val="20"/>
              </w:rPr>
              <w:t>i</w:t>
            </w:r>
            <w:r>
              <w:rPr>
                <w:rFonts w:ascii="Times New Roman" w:hAnsi="Times New Roman" w:cs="Times New Roman"/>
                <w:sz w:val="20"/>
                <w:szCs w:val="20"/>
              </w:rPr>
              <w:t xml:space="preserve">s </w:t>
            </w:r>
            <w:r w:rsidR="00793A3C">
              <w:rPr>
                <w:rFonts w:ascii="Times New Roman" w:hAnsi="Times New Roman" w:cs="Times New Roman"/>
                <w:sz w:val="20"/>
                <w:szCs w:val="20"/>
              </w:rPr>
              <w:t xml:space="preserve">nothing different than </w:t>
            </w:r>
            <w:r>
              <w:rPr>
                <w:rFonts w:ascii="Times New Roman" w:hAnsi="Times New Roman" w:cs="Times New Roman"/>
                <w:sz w:val="20"/>
                <w:szCs w:val="20"/>
              </w:rPr>
              <w:t>business as usual and does not need a RAN plenary conclusion or guidance</w:t>
            </w:r>
            <w:r w:rsidR="00793A3C">
              <w:rPr>
                <w:rFonts w:ascii="Times New Roman" w:hAnsi="Times New Roman" w:cs="Times New Roman"/>
                <w:sz w:val="20"/>
                <w:szCs w:val="20"/>
              </w:rPr>
              <w:t xml:space="preserve"> to enforce</w:t>
            </w:r>
            <w:r>
              <w:rPr>
                <w:rFonts w:ascii="Times New Roman" w:hAnsi="Times New Roman" w:cs="Times New Roman"/>
                <w:sz w:val="20"/>
                <w:szCs w:val="20"/>
              </w:rPr>
              <w:t>.</w:t>
            </w:r>
            <w:r w:rsidR="00793A3C">
              <w:rPr>
                <w:rFonts w:ascii="Times New Roman" w:hAnsi="Times New Roman" w:cs="Times New Roman"/>
                <w:sz w:val="20"/>
                <w:szCs w:val="20"/>
              </w:rPr>
              <w:t>)</w:t>
            </w:r>
            <w:bookmarkStart w:id="4" w:name="_GoBack"/>
            <w:bookmarkEnd w:id="4"/>
          </w:p>
          <w:p w14:paraId="0FD5E8D3" w14:textId="1A05DB56" w:rsidR="00793A3C" w:rsidRDefault="00793A3C" w:rsidP="00817974">
            <w:pPr>
              <w:snapToGrid w:val="0"/>
              <w:jc w:val="both"/>
              <w:rPr>
                <w:rFonts w:ascii="Times New Roman" w:hAnsi="Times New Roman" w:cs="Times New Roman"/>
                <w:sz w:val="20"/>
                <w:szCs w:val="20"/>
              </w:rPr>
            </w:pPr>
            <w:r>
              <w:rPr>
                <w:rFonts w:ascii="Times New Roman" w:hAnsi="Times New Roman" w:cs="Times New Roman"/>
                <w:sz w:val="20"/>
                <w:szCs w:val="20"/>
              </w:rPr>
              <w:t>Examples could be that for an issue in hand, first each company internally seeks the status across different working groups. Then the LS from RAN1, if needed, should be specific and clear on questions such that the response, would help the progress across different WGs.</w:t>
            </w:r>
          </w:p>
          <w:p w14:paraId="07B3B5B9" w14:textId="447B943A" w:rsidR="001973F8" w:rsidRPr="00817974" w:rsidRDefault="001973F8" w:rsidP="00817974">
            <w:pPr>
              <w:snapToGrid w:val="0"/>
              <w:jc w:val="both"/>
              <w:rPr>
                <w:rFonts w:ascii="Times New Roman" w:hAnsi="Times New Roman" w:cs="Times New Roman"/>
                <w:sz w:val="20"/>
                <w:szCs w:val="20"/>
              </w:rPr>
            </w:pPr>
          </w:p>
        </w:tc>
      </w:tr>
    </w:tbl>
    <w:p w14:paraId="6DD138CF" w14:textId="2C86D8CE" w:rsidR="00B9763B" w:rsidRPr="00BD1239" w:rsidRDefault="00B9763B" w:rsidP="00B9763B">
      <w:pPr>
        <w:snapToGrid w:val="0"/>
        <w:spacing w:after="120"/>
        <w:rPr>
          <w:rFonts w:ascii="Times New Roman" w:hAnsi="Times New Roman" w:cs="Times New Roman"/>
          <w:b/>
          <w:bCs/>
          <w:sz w:val="20"/>
          <w:szCs w:val="20"/>
        </w:rPr>
      </w:pPr>
    </w:p>
    <w:p w14:paraId="7F6028BA" w14:textId="14C37ED4" w:rsidR="00F138F5"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Summary and moderator proposals</w:t>
      </w:r>
    </w:p>
    <w:p w14:paraId="6113D4E3" w14:textId="77777777" w:rsidR="00F138F5" w:rsidRDefault="00F138F5" w:rsidP="00F138F5">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_Ref51087702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sidRPr="009C5B5D">
        <w:rPr>
          <w:rFonts w:ascii="Times New Roman" w:hAnsi="Times New Roman" w:cs="Times New Roman"/>
          <w:b/>
          <w:sz w:val="20"/>
          <w:szCs w:val="20"/>
        </w:rPr>
        <w:t>observation</w:t>
      </w:r>
      <w:r>
        <w:rPr>
          <w:rFonts w:ascii="Times New Roman" w:hAnsi="Times New Roman" w:cs="Times New Roman"/>
          <w:sz w:val="20"/>
          <w:szCs w:val="20"/>
        </w:rPr>
        <w:t xml:space="preserve"> can be made:</w:t>
      </w:r>
    </w:p>
    <w:p w14:paraId="50DAE9B9" w14:textId="77777777" w:rsidR="00F138F5" w:rsidRDefault="00F138F5" w:rsidP="00F138F5">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w:t>
      </w:r>
    </w:p>
    <w:p w14:paraId="79452F34" w14:textId="77777777" w:rsidR="00F138F5" w:rsidRDefault="00F138F5" w:rsidP="00F138F5">
      <w:pPr>
        <w:snapToGrid w:val="0"/>
        <w:spacing w:after="60" w:line="28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138F5" w14:paraId="600D9B32" w14:textId="77777777" w:rsidTr="00D85EC5">
        <w:tc>
          <w:tcPr>
            <w:tcW w:w="9926" w:type="dxa"/>
          </w:tcPr>
          <w:p w14:paraId="6E30C54A" w14:textId="77777777" w:rsidR="00F138F5" w:rsidRPr="00DE626A"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Proposed way forward (after the initial round)</w:t>
            </w:r>
            <w:r w:rsidRPr="00DE626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p>
        </w:tc>
      </w:tr>
    </w:tbl>
    <w:p w14:paraId="0507BBFD" w14:textId="77777777" w:rsidR="00F138F5" w:rsidRPr="0008128E" w:rsidRDefault="00F138F5" w:rsidP="00F138F5">
      <w:pPr>
        <w:snapToGrid w:val="0"/>
        <w:spacing w:after="60" w:line="288" w:lineRule="auto"/>
        <w:jc w:val="both"/>
        <w:rPr>
          <w:rFonts w:ascii="Times New Roman" w:hAnsi="Times New Roman" w:cs="Times New Roman"/>
          <w:sz w:val="20"/>
          <w:szCs w:val="20"/>
        </w:rPr>
      </w:pPr>
    </w:p>
    <w:p w14:paraId="1D848146" w14:textId="77777777" w:rsidR="00F138F5" w:rsidRDefault="00F138F5" w:rsidP="00B9763B">
      <w:pPr>
        <w:snapToGrid w:val="0"/>
        <w:spacing w:after="120"/>
        <w:rPr>
          <w:rFonts w:ascii="Times New Roman" w:hAnsi="Times New Roman" w:cs="Times New Roman"/>
          <w:sz w:val="20"/>
          <w:szCs w:val="20"/>
        </w:rPr>
      </w:pPr>
    </w:p>
    <w:p w14:paraId="7455D8BF" w14:textId="77777777" w:rsidR="0020335D" w:rsidRPr="00FE377A" w:rsidRDefault="0020335D"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Heading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5" w:name="_Ref58222243"/>
      <w:bookmarkStart w:id="6" w:name="_Ref51113256"/>
      <w:bookmarkStart w:id="7"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5"/>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6"/>
      <w:r w:rsidR="00EF0075" w:rsidRPr="0008128E">
        <w:rPr>
          <w:rFonts w:cs="Times New Roman"/>
          <w:sz w:val="18"/>
          <w:szCs w:val="18"/>
          <w:lang w:eastAsia="ko-KR"/>
        </w:rPr>
        <w:t xml:space="preserve"> </w:t>
      </w:r>
      <w:bookmarkEnd w:id="7"/>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E5AEB" w14:textId="77777777" w:rsidR="001E5404" w:rsidRDefault="001E5404" w:rsidP="00FE429F">
      <w:r>
        <w:separator/>
      </w:r>
    </w:p>
  </w:endnote>
  <w:endnote w:type="continuationSeparator" w:id="0">
    <w:p w14:paraId="19914208" w14:textId="77777777" w:rsidR="001E5404" w:rsidRDefault="001E5404"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35F54" w14:textId="77777777" w:rsidR="001E5404" w:rsidRDefault="001E5404" w:rsidP="00FE429F">
      <w:r>
        <w:separator/>
      </w:r>
    </w:p>
  </w:footnote>
  <w:footnote w:type="continuationSeparator" w:id="0">
    <w:p w14:paraId="2F15F8F1" w14:textId="77777777" w:rsidR="001E5404" w:rsidRDefault="001E5404"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F7AC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4"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5"/>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3"/>
  </w:num>
  <w:num w:numId="16">
    <w:abstractNumId w:val="5"/>
  </w:num>
  <w:num w:numId="17">
    <w:abstractNumId w:val="0"/>
  </w:num>
  <w:num w:numId="18">
    <w:abstractNumId w:val="22"/>
  </w:num>
  <w:num w:numId="19">
    <w:abstractNumId w:val="7"/>
  </w:num>
  <w:num w:numId="20">
    <w:abstractNumId w:val="27"/>
  </w:num>
  <w:num w:numId="21">
    <w:abstractNumId w:val="11"/>
  </w:num>
  <w:num w:numId="22">
    <w:abstractNumId w:val="26"/>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4"/>
  </w:num>
  <w:num w:numId="26">
    <w:abstractNumId w:val="15"/>
  </w:num>
  <w:num w:numId="27">
    <w:abstractNumId w:val="4"/>
  </w:num>
  <w:num w:numId="2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594D"/>
    <w:rsid w:val="000169A6"/>
    <w:rsid w:val="000179FF"/>
    <w:rsid w:val="000218EF"/>
    <w:rsid w:val="00023F3D"/>
    <w:rsid w:val="00025DAF"/>
    <w:rsid w:val="00025E58"/>
    <w:rsid w:val="00027392"/>
    <w:rsid w:val="00027425"/>
    <w:rsid w:val="00033012"/>
    <w:rsid w:val="00033B1F"/>
    <w:rsid w:val="00034CFD"/>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700D"/>
    <w:rsid w:val="000C0865"/>
    <w:rsid w:val="000C6F88"/>
    <w:rsid w:val="000C779C"/>
    <w:rsid w:val="000D00EE"/>
    <w:rsid w:val="000D13E8"/>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20F74"/>
    <w:rsid w:val="00222EFC"/>
    <w:rsid w:val="00223265"/>
    <w:rsid w:val="00224BEF"/>
    <w:rsid w:val="002251C8"/>
    <w:rsid w:val="00226468"/>
    <w:rsid w:val="0022736B"/>
    <w:rsid w:val="0023052E"/>
    <w:rsid w:val="00230C20"/>
    <w:rsid w:val="00230F10"/>
    <w:rsid w:val="00230FAC"/>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84E"/>
    <w:rsid w:val="00276F1F"/>
    <w:rsid w:val="0027730E"/>
    <w:rsid w:val="00277B0D"/>
    <w:rsid w:val="00281971"/>
    <w:rsid w:val="00282FC1"/>
    <w:rsid w:val="0028369F"/>
    <w:rsid w:val="002841CB"/>
    <w:rsid w:val="00285711"/>
    <w:rsid w:val="00285FEF"/>
    <w:rsid w:val="002873E9"/>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6C6B"/>
    <w:rsid w:val="002D06F5"/>
    <w:rsid w:val="002D13CF"/>
    <w:rsid w:val="002D2D9D"/>
    <w:rsid w:val="002D3B3B"/>
    <w:rsid w:val="002D5625"/>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5A51"/>
    <w:rsid w:val="00356C98"/>
    <w:rsid w:val="0036150C"/>
    <w:rsid w:val="00363B24"/>
    <w:rsid w:val="00364323"/>
    <w:rsid w:val="003644A6"/>
    <w:rsid w:val="00370BF1"/>
    <w:rsid w:val="00372E6E"/>
    <w:rsid w:val="00373052"/>
    <w:rsid w:val="00373F02"/>
    <w:rsid w:val="00380CFE"/>
    <w:rsid w:val="00382710"/>
    <w:rsid w:val="00384139"/>
    <w:rsid w:val="00386AEA"/>
    <w:rsid w:val="00387C0D"/>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CCD"/>
    <w:rsid w:val="003F00EF"/>
    <w:rsid w:val="003F0442"/>
    <w:rsid w:val="003F107C"/>
    <w:rsid w:val="003F6CE3"/>
    <w:rsid w:val="003F72BA"/>
    <w:rsid w:val="003F77D7"/>
    <w:rsid w:val="00401BD1"/>
    <w:rsid w:val="004039CC"/>
    <w:rsid w:val="00404FC3"/>
    <w:rsid w:val="00413806"/>
    <w:rsid w:val="004148CB"/>
    <w:rsid w:val="00415E63"/>
    <w:rsid w:val="00416B2E"/>
    <w:rsid w:val="004171CA"/>
    <w:rsid w:val="00422497"/>
    <w:rsid w:val="004226FA"/>
    <w:rsid w:val="0042502A"/>
    <w:rsid w:val="00431DF4"/>
    <w:rsid w:val="004320C4"/>
    <w:rsid w:val="004331A0"/>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A32"/>
    <w:rsid w:val="00454D4F"/>
    <w:rsid w:val="00457824"/>
    <w:rsid w:val="00466B5F"/>
    <w:rsid w:val="00470175"/>
    <w:rsid w:val="00470760"/>
    <w:rsid w:val="00471FD6"/>
    <w:rsid w:val="004731E9"/>
    <w:rsid w:val="0047709D"/>
    <w:rsid w:val="0048099E"/>
    <w:rsid w:val="00481D03"/>
    <w:rsid w:val="0048433A"/>
    <w:rsid w:val="004907D4"/>
    <w:rsid w:val="00491562"/>
    <w:rsid w:val="0049158E"/>
    <w:rsid w:val="00491777"/>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A4A"/>
    <w:rsid w:val="00517B3D"/>
    <w:rsid w:val="0052011D"/>
    <w:rsid w:val="00520705"/>
    <w:rsid w:val="005217A6"/>
    <w:rsid w:val="00526F5F"/>
    <w:rsid w:val="0052703C"/>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255C"/>
    <w:rsid w:val="005D6072"/>
    <w:rsid w:val="005D6865"/>
    <w:rsid w:val="005D6DB7"/>
    <w:rsid w:val="005D710A"/>
    <w:rsid w:val="005D76BF"/>
    <w:rsid w:val="005E39D9"/>
    <w:rsid w:val="005E439F"/>
    <w:rsid w:val="005E5DC0"/>
    <w:rsid w:val="005E6660"/>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70C3"/>
    <w:rsid w:val="006B767B"/>
    <w:rsid w:val="006B7721"/>
    <w:rsid w:val="006C13B9"/>
    <w:rsid w:val="006C273B"/>
    <w:rsid w:val="006C3242"/>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E2D"/>
    <w:rsid w:val="00715377"/>
    <w:rsid w:val="00716823"/>
    <w:rsid w:val="00717639"/>
    <w:rsid w:val="007226B0"/>
    <w:rsid w:val="00723482"/>
    <w:rsid w:val="00723CF1"/>
    <w:rsid w:val="007243AE"/>
    <w:rsid w:val="007245FB"/>
    <w:rsid w:val="00725DC8"/>
    <w:rsid w:val="00726327"/>
    <w:rsid w:val="00726851"/>
    <w:rsid w:val="00726EBC"/>
    <w:rsid w:val="0073052A"/>
    <w:rsid w:val="0073189A"/>
    <w:rsid w:val="00732F26"/>
    <w:rsid w:val="00734105"/>
    <w:rsid w:val="00734400"/>
    <w:rsid w:val="007347F9"/>
    <w:rsid w:val="00735112"/>
    <w:rsid w:val="00736B41"/>
    <w:rsid w:val="0073761A"/>
    <w:rsid w:val="00741230"/>
    <w:rsid w:val="0075085B"/>
    <w:rsid w:val="00752BF0"/>
    <w:rsid w:val="007531CC"/>
    <w:rsid w:val="00757B7F"/>
    <w:rsid w:val="00760127"/>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40CE"/>
    <w:rsid w:val="007845B5"/>
    <w:rsid w:val="00784E62"/>
    <w:rsid w:val="00785BA5"/>
    <w:rsid w:val="00786427"/>
    <w:rsid w:val="00787AE9"/>
    <w:rsid w:val="00790CE0"/>
    <w:rsid w:val="007913ED"/>
    <w:rsid w:val="00791513"/>
    <w:rsid w:val="00791C3C"/>
    <w:rsid w:val="007929EB"/>
    <w:rsid w:val="00793A3C"/>
    <w:rsid w:val="00794328"/>
    <w:rsid w:val="00795D66"/>
    <w:rsid w:val="00796FCC"/>
    <w:rsid w:val="007A021A"/>
    <w:rsid w:val="007A0687"/>
    <w:rsid w:val="007A129D"/>
    <w:rsid w:val="007A2B23"/>
    <w:rsid w:val="007A2C1B"/>
    <w:rsid w:val="007A588C"/>
    <w:rsid w:val="007A5A0C"/>
    <w:rsid w:val="007B0466"/>
    <w:rsid w:val="007B28D1"/>
    <w:rsid w:val="007B2B18"/>
    <w:rsid w:val="007B3C15"/>
    <w:rsid w:val="007B4776"/>
    <w:rsid w:val="007B64DF"/>
    <w:rsid w:val="007C0337"/>
    <w:rsid w:val="007C218A"/>
    <w:rsid w:val="007C218F"/>
    <w:rsid w:val="007C2654"/>
    <w:rsid w:val="007C4F45"/>
    <w:rsid w:val="007C5DAE"/>
    <w:rsid w:val="007C6044"/>
    <w:rsid w:val="007C60A7"/>
    <w:rsid w:val="007C77BD"/>
    <w:rsid w:val="007D6EC7"/>
    <w:rsid w:val="007E19FD"/>
    <w:rsid w:val="007E499A"/>
    <w:rsid w:val="007E5E8D"/>
    <w:rsid w:val="007F0DA8"/>
    <w:rsid w:val="007F23B4"/>
    <w:rsid w:val="007F49DE"/>
    <w:rsid w:val="007F4CAD"/>
    <w:rsid w:val="007F6AC3"/>
    <w:rsid w:val="008029E8"/>
    <w:rsid w:val="008033A8"/>
    <w:rsid w:val="00807998"/>
    <w:rsid w:val="00807A18"/>
    <w:rsid w:val="00812AF1"/>
    <w:rsid w:val="00814040"/>
    <w:rsid w:val="00814DFA"/>
    <w:rsid w:val="008152CF"/>
    <w:rsid w:val="00815C04"/>
    <w:rsid w:val="00817391"/>
    <w:rsid w:val="0081797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30CE8"/>
    <w:rsid w:val="009348F1"/>
    <w:rsid w:val="00936916"/>
    <w:rsid w:val="00937D62"/>
    <w:rsid w:val="009423ED"/>
    <w:rsid w:val="00942E58"/>
    <w:rsid w:val="0094450A"/>
    <w:rsid w:val="009454D7"/>
    <w:rsid w:val="00945A75"/>
    <w:rsid w:val="00946FB5"/>
    <w:rsid w:val="00950545"/>
    <w:rsid w:val="00950849"/>
    <w:rsid w:val="0095340F"/>
    <w:rsid w:val="00953A0D"/>
    <w:rsid w:val="009566FA"/>
    <w:rsid w:val="00957BEE"/>
    <w:rsid w:val="00957DB7"/>
    <w:rsid w:val="009609E1"/>
    <w:rsid w:val="00963889"/>
    <w:rsid w:val="00965522"/>
    <w:rsid w:val="009672FA"/>
    <w:rsid w:val="009679FB"/>
    <w:rsid w:val="00970ABD"/>
    <w:rsid w:val="00971DC9"/>
    <w:rsid w:val="009721B7"/>
    <w:rsid w:val="00973655"/>
    <w:rsid w:val="00974893"/>
    <w:rsid w:val="00974BD2"/>
    <w:rsid w:val="00975AD2"/>
    <w:rsid w:val="00975BA6"/>
    <w:rsid w:val="009766C5"/>
    <w:rsid w:val="009772BB"/>
    <w:rsid w:val="0097794B"/>
    <w:rsid w:val="00977BDD"/>
    <w:rsid w:val="00980467"/>
    <w:rsid w:val="00983770"/>
    <w:rsid w:val="00983D68"/>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7361"/>
    <w:rsid w:val="00A375F4"/>
    <w:rsid w:val="00A40C4D"/>
    <w:rsid w:val="00A424CD"/>
    <w:rsid w:val="00A47DB6"/>
    <w:rsid w:val="00A50C3D"/>
    <w:rsid w:val="00A569CF"/>
    <w:rsid w:val="00A56AEE"/>
    <w:rsid w:val="00A57CB1"/>
    <w:rsid w:val="00A57DF4"/>
    <w:rsid w:val="00A60664"/>
    <w:rsid w:val="00A6306A"/>
    <w:rsid w:val="00A64671"/>
    <w:rsid w:val="00A672F8"/>
    <w:rsid w:val="00A70C31"/>
    <w:rsid w:val="00A7164A"/>
    <w:rsid w:val="00A7166D"/>
    <w:rsid w:val="00A725A8"/>
    <w:rsid w:val="00A72A41"/>
    <w:rsid w:val="00A73F26"/>
    <w:rsid w:val="00A752C5"/>
    <w:rsid w:val="00A75605"/>
    <w:rsid w:val="00A80D98"/>
    <w:rsid w:val="00A81E2A"/>
    <w:rsid w:val="00A82263"/>
    <w:rsid w:val="00A826A5"/>
    <w:rsid w:val="00A8277F"/>
    <w:rsid w:val="00A84BFA"/>
    <w:rsid w:val="00A87DEE"/>
    <w:rsid w:val="00A92B14"/>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F06BC"/>
    <w:rsid w:val="00AF201E"/>
    <w:rsid w:val="00AF357A"/>
    <w:rsid w:val="00AF4D2E"/>
    <w:rsid w:val="00AF57A9"/>
    <w:rsid w:val="00AF5D1D"/>
    <w:rsid w:val="00AF736D"/>
    <w:rsid w:val="00B00D61"/>
    <w:rsid w:val="00B012E7"/>
    <w:rsid w:val="00B016B8"/>
    <w:rsid w:val="00B01CDB"/>
    <w:rsid w:val="00B02BBB"/>
    <w:rsid w:val="00B0464F"/>
    <w:rsid w:val="00B047B0"/>
    <w:rsid w:val="00B04BAE"/>
    <w:rsid w:val="00B114E6"/>
    <w:rsid w:val="00B15C3D"/>
    <w:rsid w:val="00B22A5A"/>
    <w:rsid w:val="00B23727"/>
    <w:rsid w:val="00B26470"/>
    <w:rsid w:val="00B300DF"/>
    <w:rsid w:val="00B30156"/>
    <w:rsid w:val="00B30BD0"/>
    <w:rsid w:val="00B31CA0"/>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F11AA"/>
    <w:rsid w:val="00BF34C8"/>
    <w:rsid w:val="00C015BD"/>
    <w:rsid w:val="00C02171"/>
    <w:rsid w:val="00C02F20"/>
    <w:rsid w:val="00C030FD"/>
    <w:rsid w:val="00C049CD"/>
    <w:rsid w:val="00C06199"/>
    <w:rsid w:val="00C10145"/>
    <w:rsid w:val="00C10996"/>
    <w:rsid w:val="00C11E67"/>
    <w:rsid w:val="00C121B7"/>
    <w:rsid w:val="00C124D1"/>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A062F"/>
    <w:rsid w:val="00CA150B"/>
    <w:rsid w:val="00CA302B"/>
    <w:rsid w:val="00CA5E69"/>
    <w:rsid w:val="00CA60B9"/>
    <w:rsid w:val="00CA7C34"/>
    <w:rsid w:val="00CB042B"/>
    <w:rsid w:val="00CB1529"/>
    <w:rsid w:val="00CB3A7A"/>
    <w:rsid w:val="00CB612C"/>
    <w:rsid w:val="00CC1277"/>
    <w:rsid w:val="00CC1306"/>
    <w:rsid w:val="00CC2B63"/>
    <w:rsid w:val="00CD2A5A"/>
    <w:rsid w:val="00CD39B0"/>
    <w:rsid w:val="00CE2377"/>
    <w:rsid w:val="00CE26A3"/>
    <w:rsid w:val="00CE55D6"/>
    <w:rsid w:val="00CE57EA"/>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211E0"/>
    <w:rsid w:val="00D22E23"/>
    <w:rsid w:val="00D244A9"/>
    <w:rsid w:val="00D302E1"/>
    <w:rsid w:val="00D318DE"/>
    <w:rsid w:val="00D32C24"/>
    <w:rsid w:val="00D33099"/>
    <w:rsid w:val="00D33182"/>
    <w:rsid w:val="00D33FA0"/>
    <w:rsid w:val="00D348AF"/>
    <w:rsid w:val="00D34F47"/>
    <w:rsid w:val="00D41971"/>
    <w:rsid w:val="00D41E7D"/>
    <w:rsid w:val="00D44058"/>
    <w:rsid w:val="00D45D8B"/>
    <w:rsid w:val="00D466C6"/>
    <w:rsid w:val="00D515F2"/>
    <w:rsid w:val="00D51F8A"/>
    <w:rsid w:val="00D522BC"/>
    <w:rsid w:val="00D566CD"/>
    <w:rsid w:val="00D617ED"/>
    <w:rsid w:val="00D63CCB"/>
    <w:rsid w:val="00D65092"/>
    <w:rsid w:val="00D66608"/>
    <w:rsid w:val="00D6667A"/>
    <w:rsid w:val="00D677F2"/>
    <w:rsid w:val="00D70540"/>
    <w:rsid w:val="00D71B81"/>
    <w:rsid w:val="00D73050"/>
    <w:rsid w:val="00D7685F"/>
    <w:rsid w:val="00D77FCD"/>
    <w:rsid w:val="00D80D76"/>
    <w:rsid w:val="00D811E7"/>
    <w:rsid w:val="00D812F6"/>
    <w:rsid w:val="00D83159"/>
    <w:rsid w:val="00D85D41"/>
    <w:rsid w:val="00D864EC"/>
    <w:rsid w:val="00D91E74"/>
    <w:rsid w:val="00D92C3A"/>
    <w:rsid w:val="00D92E7B"/>
    <w:rsid w:val="00DA3A3A"/>
    <w:rsid w:val="00DA4167"/>
    <w:rsid w:val="00DB112C"/>
    <w:rsid w:val="00DB24C5"/>
    <w:rsid w:val="00DB56C4"/>
    <w:rsid w:val="00DC102C"/>
    <w:rsid w:val="00DC1159"/>
    <w:rsid w:val="00DC1C69"/>
    <w:rsid w:val="00DC432E"/>
    <w:rsid w:val="00DC4877"/>
    <w:rsid w:val="00DC60AB"/>
    <w:rsid w:val="00DC7F64"/>
    <w:rsid w:val="00DD319A"/>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EAF"/>
    <w:rsid w:val="00F903B2"/>
    <w:rsid w:val="00F91E7C"/>
    <w:rsid w:val="00F92591"/>
    <w:rsid w:val="00F94943"/>
    <w:rsid w:val="00F94A13"/>
    <w:rsid w:val="00FA26CB"/>
    <w:rsid w:val="00FA30FE"/>
    <w:rsid w:val="00FA3F34"/>
    <w:rsid w:val="00FA4079"/>
    <w:rsid w:val="00FA42E7"/>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1371"/>
    <w:rsid w:val="00FE14BA"/>
    <w:rsid w:val="00FE2064"/>
    <w:rsid w:val="00FE2208"/>
    <w:rsid w:val="00FE377A"/>
    <w:rsid w:val="00FE429F"/>
    <w:rsid w:val="00FE4B9C"/>
    <w:rsid w:val="00FF0FED"/>
    <w:rsid w:val="00FF3E83"/>
    <w:rsid w:val="00FF5A86"/>
    <w:rsid w:val="00FF5C83"/>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94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character" w:styleId="Hyperlink">
    <w:name w:val="Hyperlink"/>
    <w:basedOn w:val="DefaultParagraphFont"/>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12423462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503621190">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32086D1C-83E9-4A81-B73E-131A70C0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1279</Words>
  <Characters>6784</Characters>
  <Application>Microsoft Office Word</Application>
  <DocSecurity>0</DocSecurity>
  <Lines>56</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Sorour Falahati</cp:lastModifiedBy>
  <cp:revision>4</cp:revision>
  <dcterms:created xsi:type="dcterms:W3CDTF">2020-12-08T10:31:00Z</dcterms:created>
  <dcterms:modified xsi:type="dcterms:W3CDTF">2020-12-08T11:42:00Z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1607423468</vt:lpwstr>
  </property>
</Properties>
</file>