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Default="000D3CD0">
      <w:pPr>
        <w:tabs>
          <w:tab w:val="right" w:pos="10000"/>
        </w:tabs>
        <w:spacing w:after="0"/>
        <w:rPr>
          <w:b/>
          <w:sz w:val="24"/>
          <w:szCs w:val="24"/>
        </w:rPr>
      </w:pPr>
      <w:r>
        <w:rPr>
          <w:b/>
          <w:sz w:val="24"/>
          <w:szCs w:val="24"/>
        </w:rPr>
        <w:t>3GPP TSG RAN#</w:t>
      </w:r>
      <w:r w:rsidR="00460948">
        <w:rPr>
          <w:b/>
          <w:sz w:val="24"/>
          <w:szCs w:val="24"/>
        </w:rPr>
        <w:t>90</w:t>
      </w:r>
      <w:r>
        <w:rPr>
          <w:b/>
          <w:sz w:val="24"/>
          <w:szCs w:val="24"/>
        </w:rPr>
        <w:t>e</w:t>
      </w:r>
      <w:r>
        <w:rPr>
          <w:b/>
          <w:sz w:val="24"/>
          <w:szCs w:val="24"/>
        </w:rPr>
        <w:tab/>
      </w:r>
      <w:r w:rsidRPr="00E67A0F">
        <w:rPr>
          <w:b/>
          <w:sz w:val="24"/>
          <w:szCs w:val="24"/>
        </w:rPr>
        <w:t>RP-20</w:t>
      </w:r>
      <w:r w:rsidR="00460948">
        <w:rPr>
          <w:b/>
          <w:sz w:val="24"/>
          <w:szCs w:val="24"/>
        </w:rPr>
        <w:t>xx</w:t>
      </w:r>
      <w:r w:rsidR="002012E5">
        <w:rPr>
          <w:b/>
          <w:sz w:val="24"/>
          <w:szCs w:val="24"/>
        </w:rPr>
        <w:t>x</w:t>
      </w:r>
      <w:r w:rsidR="00460948">
        <w:rPr>
          <w:b/>
          <w:sz w:val="24"/>
          <w:szCs w:val="24"/>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December</w:t>
      </w:r>
      <w:r>
        <w:rPr>
          <w:b/>
          <w:sz w:val="24"/>
          <w:szCs w:val="24"/>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2E1D3E9F"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Initial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018B103F" w:rsidR="00763A18" w:rsidRDefault="00C96CC5" w:rsidP="007C0757">
      <w:pPr>
        <w:pStyle w:val="Heading1"/>
        <w:ind w:left="431" w:hanging="431"/>
        <w:jc w:val="both"/>
        <w:rPr>
          <w:rFonts w:asciiTheme="minorHAnsi" w:hAnsiTheme="minorHAnsi" w:cstheme="minorHAnsi"/>
        </w:rPr>
      </w:pPr>
      <w:r>
        <w:rPr>
          <w:rFonts w:asciiTheme="minorHAnsi" w:hAnsiTheme="minorHAnsi" w:cstheme="minorHAnsi"/>
        </w:rPr>
        <w:t xml:space="preserve">Initial </w:t>
      </w:r>
      <w:r w:rsidR="00FB08F5">
        <w:rPr>
          <w:rFonts w:asciiTheme="minorHAnsi" w:hAnsiTheme="minorHAnsi" w:cstheme="minorHAnsi"/>
        </w:rPr>
        <w:t>Discussion</w:t>
      </w:r>
    </w:p>
    <w:p w14:paraId="2E8AC44E" w14:textId="6B339344" w:rsidR="00C96CC5" w:rsidRDefault="001E3BAA">
      <w:pPr>
        <w:rPr>
          <w:rFonts w:asciiTheme="minorHAnsi" w:hAnsiTheme="minorHAnsi" w:cstheme="minorHAnsi"/>
        </w:rPr>
      </w:pPr>
      <w:r>
        <w:rPr>
          <w:rFonts w:asciiTheme="minorHAnsi" w:hAnsiTheme="minorHAnsi" w:cstheme="minorHAnsi"/>
        </w:rPr>
        <w:t xml:space="preserve">For the initial discussion round, we will focus on selected topics where there is the greatest need for convergence. </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401C30F">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401C30F">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401C30F">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RAN2-led objectives on both RedCap UE types for identification/constraining and functionality for identification/restriction. In some cases the RAN2 decisions already say to </w:t>
            </w:r>
            <w:r>
              <w:rPr>
                <w:rFonts w:asciiTheme="minorHAnsi" w:hAnsiTheme="minorHAnsi" w:cstheme="minorHAnsi"/>
              </w:rPr>
              <w:lastRenderedPageBreak/>
              <w:t xml:space="preserve">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401C30F">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401C30F">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have to admit that implementation reality and place some trust in our UE partners. </w:t>
            </w:r>
          </w:p>
        </w:tc>
      </w:tr>
      <w:tr w:rsidR="002134F7" w14:paraId="0BAD8C88" w14:textId="77777777" w:rsidTr="0401C30F">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For the coverage problem, it is clear that the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r>
              <w:rPr>
                <w:rFonts w:asciiTheme="minorHAnsi" w:hAnsiTheme="minorHAnsi" w:cstheme="minorHAnsi"/>
              </w:rPr>
              <w:t>includes</w:t>
            </w:r>
            <w:proofErr w:type="spell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401C30F">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i.e., 1Rx without 3dB antenna efficiency loss. In this case, coverage recovery is not necessary other than Msg2, where existing TBS scaling is sufficient for the recovery of less than 3dB.</w:t>
            </w:r>
          </w:p>
        </w:tc>
      </w:tr>
      <w:tr w:rsidR="00AF4A01" w14:paraId="7890C857" w14:textId="77777777" w:rsidTr="0401C30F">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 2.496 GHz, </w:t>
            </w:r>
          </w:p>
          <w:p w14:paraId="3C87FF7D"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 xml:space="preserve">a RedCap UE is required to support 1Rx </w:t>
            </w:r>
          </w:p>
          <w:p w14:paraId="4861322E" w14:textId="77777777" w:rsidR="00AF4A01" w:rsidRPr="00412A6F" w:rsidRDefault="00AF4A01" w:rsidP="00AF4A01">
            <w:pPr>
              <w:pStyle w:val="ListParagraph"/>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asciiTheme="minorHAnsi" w:hAnsiTheme="minorHAnsi" w:cstheme="minorHAnsi"/>
              </w:rPr>
            </w:pPr>
            <w:r w:rsidRPr="00412A6F">
              <w:rPr>
                <w:rFonts w:asciiTheme="minorHAnsi" w:hAnsiTheme="minorHAnsi" w:cstheme="minorHAnsi"/>
              </w:rPr>
              <w:t xml:space="preserve">In FR1 bands &gt;  2.496 GHz, </w:t>
            </w:r>
          </w:p>
          <w:p w14:paraId="442975FB"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RedCap UEs is required to support at least 1Rx</w:t>
            </w:r>
          </w:p>
          <w:p w14:paraId="059FF46E"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lastRenderedPageBreak/>
              <w:t>Note: antenna gain loss, due to small form-factor constraints, is not considered</w:t>
            </w:r>
          </w:p>
          <w:p w14:paraId="6470D60F" w14:textId="77777777" w:rsidR="00AF4A01" w:rsidRPr="00412A6F" w:rsidRDefault="00AF4A01" w:rsidP="00AF4A01">
            <w:pPr>
              <w:pStyle w:val="ListParagraph"/>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ListParagraph"/>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401C30F">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RedCap)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RedCap)</w:t>
            </w:r>
          </w:p>
          <w:tbl>
            <w:tblPr>
              <w:tblStyle w:val="TableGrid"/>
              <w:tblW w:w="0" w:type="auto"/>
              <w:tblLook w:val="04A0" w:firstRow="1" w:lastRow="0" w:firstColumn="1" w:lastColumn="0" w:noHBand="0" w:noVBand="1"/>
            </w:tblPr>
            <w:tblGrid>
              <w:gridCol w:w="7473"/>
            </w:tblGrid>
            <w:tr w:rsidR="000F1B4A" w14:paraId="09C4CC4F" w14:textId="77777777" w:rsidTr="00395A2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For burst traffic evaluation with IM traffic model for RedCap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RedCap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RedCap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RedCap users</w:t>
                  </w:r>
                </w:p>
              </w:tc>
            </w:tr>
          </w:tbl>
          <w:p w14:paraId="5DDEA739" w14:textId="77777777" w:rsidR="000F1B4A" w:rsidRPr="005675FE" w:rsidRDefault="000F1B4A" w:rsidP="000F1B4A">
            <w:pPr>
              <w:pStyle w:val="ListParagraph"/>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w:t>
            </w:r>
            <w:proofErr w:type="gramStart"/>
            <w:r>
              <w:rPr>
                <w:rFonts w:asciiTheme="minorHAnsi" w:eastAsiaTheme="minorEastAsia" w:hAnsiTheme="minorHAnsi" w:cstheme="minorHAnsi"/>
                <w:lang w:eastAsia="zh-CN"/>
              </w:rPr>
              <w:t xml:space="preserve">contribution </w:t>
            </w:r>
            <w:r w:rsidRPr="005675FE">
              <w:rPr>
                <w:rFonts w:asciiTheme="minorHAnsi" w:eastAsiaTheme="minorEastAsia" w:hAnsiTheme="minorHAnsi" w:cstheme="minorHAnsi"/>
                <w:lang w:eastAsia="zh-CN"/>
              </w:rPr>
              <w:t xml:space="preserve"> “</w:t>
            </w:r>
            <w:proofErr w:type="gramEnd"/>
            <w:r w:rsidRPr="005675FE">
              <w:rPr>
                <w:rFonts w:asciiTheme="minorHAnsi" w:eastAsiaTheme="minorEastAsia" w:hAnsiTheme="minorHAnsi" w:cstheme="minorHAnsi"/>
                <w:lang w:eastAsia="zh-CN"/>
              </w:rPr>
              <w:t>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401C30F">
        <w:tc>
          <w:tcPr>
            <w:tcW w:w="2263" w:type="dxa"/>
          </w:tcPr>
          <w:p w14:paraId="22699050" w14:textId="5EBAC519" w:rsidR="00152F25" w:rsidRDefault="00152F25" w:rsidP="000F1B4A">
            <w:pPr>
              <w:spacing w:after="0"/>
              <w:rPr>
                <w:rFonts w:asciiTheme="minorHAnsi" w:hAnsiTheme="minorHAnsi" w:cstheme="minorHAnsi"/>
                <w:lang w:eastAsia="zh-CN"/>
              </w:rPr>
            </w:pPr>
            <w:r>
              <w:rPr>
                <w:rFonts w:asciiTheme="minorHAnsi" w:hAnsiTheme="minorHAnsi" w:cstheme="minorHAnsi"/>
                <w:lang w:eastAsia="zh-CN"/>
              </w:rPr>
              <w:t>Spreadtrum</w:t>
            </w:r>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assuming the spectral efficiency of RedCap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non-RedCap UE is required to be equipped with a minimum of 4 Rx branches, the minimum number of Rx branches supported by specification for a RedCap UE is 1.</w:t>
            </w:r>
          </w:p>
        </w:tc>
      </w:tr>
      <w:tr w:rsidR="00BC702A" w14:paraId="54A61745" w14:textId="77777777" w:rsidTr="0401C30F">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401C30F">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CC7FFB">
        <w:tc>
          <w:tcPr>
            <w:tcW w:w="2263" w:type="dxa"/>
          </w:tcPr>
          <w:p w14:paraId="1264B242" w14:textId="77777777" w:rsidR="00CC7FFB" w:rsidRDefault="00CC7FFB" w:rsidP="009D2B03">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9D2B03">
            <w:pPr>
              <w:spacing w:before="0" w:after="0"/>
              <w:rPr>
                <w:rFonts w:asciiTheme="minorHAnsi" w:hAnsiTheme="minorHAnsi" w:cstheme="minorHAnsi"/>
              </w:rPr>
            </w:pPr>
          </w:p>
          <w:p w14:paraId="21190F13"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9D2B03">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9D2B03">
            <w:pPr>
              <w:pStyle w:val="ListParagraph"/>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9D2B03">
            <w:pPr>
              <w:pStyle w:val="ListParagraph"/>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9D2B03">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9D2B03">
            <w:pPr>
              <w:tabs>
                <w:tab w:val="left" w:pos="4760"/>
              </w:tabs>
              <w:spacing w:before="0" w:after="0"/>
              <w:rPr>
                <w:rFonts w:asciiTheme="minorHAnsi" w:hAnsiTheme="minorHAnsi" w:cstheme="minorHAnsi"/>
                <w:lang w:eastAsia="zh-CN"/>
              </w:rPr>
            </w:pPr>
          </w:p>
          <w:p w14:paraId="70F4BF59"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lastRenderedPageBreak/>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9D2B03">
            <w:pPr>
              <w:tabs>
                <w:tab w:val="left" w:pos="4760"/>
              </w:tabs>
              <w:spacing w:before="0" w:after="0"/>
              <w:rPr>
                <w:rFonts w:asciiTheme="minorHAnsi" w:hAnsiTheme="minorHAnsi" w:cstheme="minorHAnsi"/>
                <w:lang w:eastAsia="zh-CN"/>
              </w:rPr>
            </w:pPr>
          </w:p>
          <w:p w14:paraId="3C000CD5" w14:textId="77777777" w:rsidR="00CC7FFB" w:rsidRDefault="00CC7FFB" w:rsidP="009D2B03">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particular UE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9D2B03">
            <w:pPr>
              <w:spacing w:after="0"/>
              <w:rPr>
                <w:rFonts w:asciiTheme="minorHAnsi" w:hAnsiTheme="minorHAnsi" w:cstheme="minorHAnsi"/>
              </w:rPr>
            </w:pPr>
          </w:p>
        </w:tc>
      </w:tr>
      <w:tr w:rsidR="00C969FF" w14:paraId="19367744" w14:textId="77777777" w:rsidTr="00C969FF">
        <w:tc>
          <w:tcPr>
            <w:tcW w:w="2263" w:type="dxa"/>
          </w:tcPr>
          <w:p w14:paraId="395979F1" w14:textId="77777777" w:rsidR="00C969FF" w:rsidRDefault="00C969FF" w:rsidP="002900A9">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2900A9">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D3306C">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D3306C">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D3306C">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D3306C">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D3306C">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We suggest to support it with simple scope, e.g. define doubled Ns.</w:t>
            </w:r>
          </w:p>
        </w:tc>
      </w:tr>
      <w:tr w:rsidR="001E69AE" w14:paraId="1A29EA6C" w14:textId="77777777" w:rsidTr="00D3306C">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RedCap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lastRenderedPageBreak/>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D3306C">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152F25">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r w:rsidRPr="00152F25">
              <w:rPr>
                <w:rFonts w:asciiTheme="minorHAnsi" w:hAnsiTheme="minorHAnsi" w:cstheme="minorHAnsi"/>
              </w:rPr>
              <w:t>consider later.</w:t>
            </w:r>
          </w:p>
        </w:tc>
      </w:tr>
      <w:tr w:rsidR="00BC702A" w14:paraId="711F0008" w14:textId="77777777" w:rsidTr="00D3306C">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D3306C">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re-development, and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CC7FFB">
        <w:tc>
          <w:tcPr>
            <w:tcW w:w="2263" w:type="dxa"/>
          </w:tcPr>
          <w:p w14:paraId="6AF6D93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C969FF">
        <w:tc>
          <w:tcPr>
            <w:tcW w:w="2263" w:type="dxa"/>
          </w:tcPr>
          <w:p w14:paraId="3D04893F"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2900A9">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however we think this should be discussed together with Early identification as at least we think network should be made aware of such UE as early as possible</w:t>
            </w:r>
            <w:r>
              <w:rPr>
                <w:rFonts w:asciiTheme="minorHAnsi" w:hAnsiTheme="minorHAnsi" w:cstheme="minorHAnsi"/>
              </w:rPr>
              <w:t xml:space="preserv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r>
              <w:rPr>
                <w:rFonts w:asciiTheme="minorHAnsi" w:hAnsiTheme="minorHAnsi" w:cstheme="minorHAnsi"/>
              </w:rPr>
              <w: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asciiTheme="minorHAnsi" w:hAnsiTheme="minorHAnsi" w:cstheme="minorHAnsi"/>
          <w:lang w:val="en-GB"/>
        </w:rPr>
        <w:t xml:space="preserve"> and why it needs to be specific to RedCap</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42147B" w14:paraId="4CF6FACA" w14:textId="77777777" w:rsidTr="00D3306C">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r>
              <w:rPr>
                <w:rFonts w:asciiTheme="minorHAnsi" w:hAnsiTheme="minorHAnsi" w:cstheme="minorHAnsi"/>
                <w:b/>
                <w:bCs/>
              </w:rPr>
              <w:t>RedCap-specific aspects of reduced PDCCH monitoring Scheme #1</w:t>
            </w:r>
          </w:p>
        </w:tc>
      </w:tr>
      <w:tr w:rsidR="0042147B" w14:paraId="694710A4" w14:textId="77777777" w:rsidTr="00D3306C">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D3306C">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lastRenderedPageBreak/>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D3306C">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D3306C">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D3306C">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to include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RedCap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D3306C">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We don</w:t>
            </w:r>
            <w:r>
              <w:rPr>
                <w:rFonts w:asciiTheme="minorHAnsi" w:eastAsia="MS Mincho" w:hAnsiTheme="minorHAnsi" w:cstheme="minorHAnsi"/>
                <w:lang w:eastAsia="ja-JP"/>
              </w:rPr>
              <w:t xml:space="preserve">’t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D3306C">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Scheme #1 should be specified with normative work in RedCap WI primarily involving:</w:t>
            </w:r>
          </w:p>
          <w:p w14:paraId="7FD4E996"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ListParagraph"/>
              <w:numPr>
                <w:ilvl w:val="0"/>
                <w:numId w:val="39"/>
              </w:numPr>
              <w:rPr>
                <w:rFonts w:asciiTheme="minorHAnsi" w:hAnsiTheme="minorHAnsi" w:cstheme="minorHAnsi"/>
              </w:rPr>
            </w:pPr>
            <w:r w:rsidRPr="0027434C">
              <w:rPr>
                <w:rFonts w:asciiTheme="minorHAnsi" w:hAnsiTheme="minorHAnsi" w:cstheme="minorHAnsi"/>
              </w:rPr>
              <w:t>possibly also specifying a reduced number of DCI format sizes a RedCap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RedCap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RedCap UEs</w:t>
            </w:r>
            <w:r w:rsidRPr="0027434C">
              <w:rPr>
                <w:rFonts w:asciiTheme="minorHAnsi" w:hAnsiTheme="minorHAnsi" w:cstheme="minorHAnsi"/>
              </w:rPr>
              <w:t xml:space="preserve"> considering their target use-cases.</w:t>
            </w:r>
          </w:p>
        </w:tc>
      </w:tr>
      <w:tr w:rsidR="000F1B4A" w14:paraId="76EEA266" w14:textId="77777777" w:rsidTr="00D3306C">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Therefore we support to include at least schme#1 in the WI for power saving. </w:t>
            </w:r>
          </w:p>
        </w:tc>
      </w:tr>
      <w:tr w:rsidR="00152F25" w14:paraId="5E8BF022" w14:textId="77777777" w:rsidTr="00D3306C">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preadtrum</w:t>
            </w:r>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RedCap UE. Nevertheless, the compact DCI size is beneficial for coverage recovery of PDCCH CSS for RedCap UE. </w:t>
            </w:r>
          </w:p>
        </w:tc>
      </w:tr>
      <w:tr w:rsidR="00BC702A" w14:paraId="047B7CE7" w14:textId="77777777" w:rsidTr="00D3306C">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D3306C">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4AB886F6" w14:textId="77777777" w:rsidR="00A84C63" w:rsidRDefault="00A84C63" w:rsidP="007207E5">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w:t>
            </w:r>
            <w:r>
              <w:rPr>
                <w:rFonts w:asciiTheme="minorHAnsi" w:hAnsiTheme="minorHAnsi" w:cstheme="minorHAnsi" w:hint="eastAsia"/>
                <w:lang w:eastAsia="zh-CN"/>
              </w:rPr>
              <w:lastRenderedPageBreak/>
              <w:t xml:space="preserve">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specified, if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CC7FFB">
        <w:tc>
          <w:tcPr>
            <w:tcW w:w="2263" w:type="dxa"/>
          </w:tcPr>
          <w:p w14:paraId="5C0D2FF0"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lastRenderedPageBreak/>
              <w:t>S</w:t>
            </w:r>
            <w:r>
              <w:rPr>
                <w:rFonts w:asciiTheme="minorHAnsi" w:hAnsiTheme="minorHAnsi" w:cstheme="minorHAnsi"/>
                <w:lang w:eastAsia="zh-CN"/>
              </w:rPr>
              <w:t>amsung</w:t>
            </w:r>
          </w:p>
        </w:tc>
        <w:tc>
          <w:tcPr>
            <w:tcW w:w="7699" w:type="dxa"/>
          </w:tcPr>
          <w:p w14:paraId="00F4E947" w14:textId="77777777" w:rsidR="00CC7FFB" w:rsidRDefault="00CC7FFB" w:rsidP="009D2B03">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9D2B03">
            <w:pPr>
              <w:spacing w:before="0" w:after="0"/>
              <w:rPr>
                <w:rFonts w:asciiTheme="minorHAnsi" w:hAnsiTheme="minorHAnsi" w:cstheme="minorHAnsi"/>
              </w:rPr>
            </w:pPr>
          </w:p>
          <w:p w14:paraId="4DEEB5B8"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Because,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focus on dynamic adaptation on PDCCH monitoring 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9D2B03">
            <w:pPr>
              <w:spacing w:before="0" w:after="0"/>
              <w:rPr>
                <w:rFonts w:asciiTheme="minorHAnsi" w:hAnsiTheme="minorHAnsi" w:cstheme="minorHAnsi"/>
              </w:rPr>
            </w:pPr>
          </w:p>
          <w:p w14:paraId="6E13F974" w14:textId="77777777" w:rsidR="00CC7FFB" w:rsidRDefault="00CC7FFB" w:rsidP="009D2B03">
            <w:pPr>
              <w:spacing w:before="0" w:after="0"/>
              <w:rPr>
                <w:rFonts w:asciiTheme="minorHAnsi" w:hAnsiTheme="minorHAnsi" w:cstheme="minorHAnsi"/>
              </w:rPr>
            </w:pPr>
            <w:r>
              <w:rPr>
                <w:rFonts w:asciiTheme="minorHAnsi" w:hAnsiTheme="minorHAnsi" w:cstheme="minorHAnsi"/>
              </w:rPr>
              <w:t xml:space="preserve">In addition, it’s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9D2B03">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9D2B03">
            <w:pPr>
              <w:spacing w:before="0" w:after="0"/>
              <w:rPr>
                <w:rFonts w:asciiTheme="minorHAnsi" w:hAnsiTheme="minorHAnsi" w:cstheme="minorHAnsi"/>
              </w:rPr>
            </w:pPr>
          </w:p>
          <w:p w14:paraId="1F51EAED" w14:textId="77777777" w:rsidR="00CC7FFB" w:rsidRDefault="00CC7FFB" w:rsidP="009D2B03">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9D2B03">
            <w:pPr>
              <w:pStyle w:val="ListParagraph"/>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9D2B03">
            <w:pPr>
              <w:pStyle w:val="ListParagraph"/>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9D2B03">
            <w:pPr>
              <w:pStyle w:val="ListParagraph"/>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didn’t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RedCap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TableGrid"/>
        <w:tblW w:w="0" w:type="auto"/>
        <w:tblLook w:val="04A0" w:firstRow="1" w:lastRow="0" w:firstColumn="1" w:lastColumn="0" w:noHBand="0" w:noVBand="1"/>
      </w:tblPr>
      <w:tblGrid>
        <w:gridCol w:w="2263"/>
        <w:gridCol w:w="7699"/>
      </w:tblGrid>
      <w:tr w:rsidR="007B5AF5" w14:paraId="1BEEA43A" w14:textId="77777777" w:rsidTr="676DA305">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Potentially agreeable proposals to refine the scope of the WI objective for identification of RedCap UEs</w:t>
            </w:r>
          </w:p>
        </w:tc>
      </w:tr>
      <w:tr w:rsidR="007B5AF5" w14:paraId="2EFD3773" w14:textId="77777777" w:rsidTr="676DA305">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676DA305">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RedCap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Specify functionality that will allow RedCap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lastRenderedPageBreak/>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14:paraId="5394FCCF" w14:textId="77777777" w:rsidTr="676DA305">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There doesn’t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techniques but this doesn’t need to be capture in WID – </w:t>
            </w:r>
            <w:r w:rsidR="008C13F8">
              <w:rPr>
                <w:rFonts w:asciiTheme="minorHAnsi" w:hAnsiTheme="minorHAnsi" w:cstheme="minorHAnsi"/>
              </w:rPr>
              <w:t xml:space="preserve">its </w:t>
            </w:r>
            <w:r>
              <w:rPr>
                <w:rFonts w:asciiTheme="minorHAnsi" w:hAnsiTheme="minorHAnsi" w:cstheme="minorHAnsi"/>
              </w:rPr>
              <w:t>business as usual.  So no need for this bullet: “</w:t>
            </w:r>
            <w:r w:rsidRPr="00BB1E80">
              <w:rPr>
                <w:rFonts w:asciiTheme="minorHAnsi" w:hAnsiTheme="minorHAnsi" w:cstheme="minorHAnsi"/>
              </w:rPr>
              <w:t>o</w:t>
            </w:r>
            <w:r w:rsidRPr="00BB1E80">
              <w:rPr>
                <w:rFonts w:asciiTheme="minorHAnsi" w:hAnsiTheme="minorHAnsi" w:cstheme="minorHAnsi"/>
              </w:rPr>
              <w:tab/>
              <w:t>Specify definition of RedCap UE type(s) including set(s) of L1 capabilities at least for RedCap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There is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Specify functionality that will allow RedCap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676DA305">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676DA305">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We see both early identification by Msg 1 and 3 for some RedCap UEs could be the sub-bullet.</w:t>
            </w:r>
          </w:p>
        </w:tc>
      </w:tr>
      <w:tr w:rsidR="002134F7" w14:paraId="312F6DA1" w14:textId="77777777" w:rsidTr="676DA305">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676DA305">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676DA305">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676DA305">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676DA305">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SIs so we prefer to include RAN2-led items in RAN #91-e.</w:t>
            </w:r>
          </w:p>
        </w:tc>
      </w:tr>
      <w:tr w:rsidR="00CC7FFB" w:rsidRPr="001367DD" w14:paraId="70694F11" w14:textId="77777777" w:rsidTr="00CC7FFB">
        <w:tc>
          <w:tcPr>
            <w:tcW w:w="2263" w:type="dxa"/>
          </w:tcPr>
          <w:p w14:paraId="63F7A9FC"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lastRenderedPageBreak/>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3306C">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3306C">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RedCap should include what is needed for RedCap in RedCap. </w:t>
            </w:r>
            <w:r w:rsidRPr="00233C7B">
              <w:rPr>
                <w:rFonts w:asciiTheme="minorHAnsi" w:hAnsiTheme="minorHAnsi" w:cstheme="minorHAnsi"/>
              </w:rPr>
              <w:t xml:space="preserve">Whether and how RedCap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RedCap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3306C">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3306C">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3306C">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ListParagraph"/>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3306C">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ListParagraph"/>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ListParagraph"/>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3306C">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ListParagraph"/>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RedCap)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ListParagraph"/>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Therefore we prefer to not have any DL coverage compensation specifically for RedCap UEs. </w:t>
            </w:r>
          </w:p>
          <w:p w14:paraId="2173EA6A" w14:textId="77777777" w:rsidR="000F1B4A" w:rsidRDefault="000F1B4A" w:rsidP="000F1B4A">
            <w:pPr>
              <w:rPr>
                <w:rFonts w:asciiTheme="minorHAnsi" w:hAnsiTheme="minorHAnsi" w:cstheme="minorHAnsi"/>
              </w:rPr>
            </w:pPr>
          </w:p>
        </w:tc>
      </w:tr>
      <w:tr w:rsidR="00152F25" w14:paraId="449C58A3" w14:textId="77777777" w:rsidTr="00D3306C">
        <w:tc>
          <w:tcPr>
            <w:tcW w:w="2263" w:type="dxa"/>
          </w:tcPr>
          <w:p w14:paraId="7FCE721A" w14:textId="3284D6B5" w:rsidR="00152F25" w:rsidRPr="00152F25" w:rsidRDefault="00152F25" w:rsidP="00152F25">
            <w:pPr>
              <w:spacing w:before="0" w:after="0"/>
              <w:rPr>
                <w:rFonts w:asciiTheme="minorHAnsi" w:hAnsiTheme="minorHAnsi" w:cstheme="minorHAnsi"/>
              </w:rPr>
            </w:pPr>
            <w:r w:rsidRPr="00152F25">
              <w:rPr>
                <w:rFonts w:asciiTheme="minorHAnsi" w:hAnsiTheme="minorHAnsi" w:cstheme="minorHAnsi" w:hint="eastAsia"/>
                <w:lang w:eastAsia="zh-CN"/>
              </w:rPr>
              <w:t xml:space="preserve">Spreadtrum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ListParagraph"/>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lastRenderedPageBreak/>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3306C">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lastRenderedPageBreak/>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3306C">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CC7FFB">
        <w:tc>
          <w:tcPr>
            <w:tcW w:w="2263" w:type="dxa"/>
          </w:tcPr>
          <w:p w14:paraId="7B730975" w14:textId="77777777" w:rsidR="00CC7FFB" w:rsidRDefault="00CC7FFB" w:rsidP="009D2B03">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9D2B03">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don’t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C969FF">
        <w:tc>
          <w:tcPr>
            <w:tcW w:w="2263" w:type="dxa"/>
          </w:tcPr>
          <w:p w14:paraId="58C846BB" w14:textId="77777777" w:rsidR="00C969FF" w:rsidRDefault="00C969FF" w:rsidP="002900A9">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2900A9">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3B77CD">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3B77CD">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3B77CD">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3B77CD">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3B77CD">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3B77CD">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hinya Kumagai</w:t>
            </w:r>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3B77CD">
        <w:tc>
          <w:tcPr>
            <w:tcW w:w="3320" w:type="dxa"/>
          </w:tcPr>
          <w:p w14:paraId="0F68A99D" w14:textId="559A8FA5" w:rsidR="006F61E0" w:rsidRDefault="004B6C3C" w:rsidP="006F61E0">
            <w:pPr>
              <w:spacing w:before="0" w:after="0"/>
              <w:rPr>
                <w:rFonts w:asciiTheme="minorHAnsi" w:hAnsiTheme="minorHAnsi" w:cstheme="minorHAnsi"/>
              </w:rPr>
            </w:pPr>
            <w:r>
              <w:rPr>
                <w:rFonts w:asciiTheme="minorHAnsi" w:hAnsiTheme="minorHAnsi" w:cstheme="minorHAnsi"/>
              </w:rPr>
              <w:t>Debdeep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3B77CD">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3B77CD">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3B77CD">
        <w:tc>
          <w:tcPr>
            <w:tcW w:w="3320" w:type="dxa"/>
          </w:tcPr>
          <w:p w14:paraId="18D76F67" w14:textId="60279D93" w:rsidR="00A84C63" w:rsidRDefault="00A84C63" w:rsidP="000F1B4A">
            <w:pPr>
              <w:spacing w:after="0"/>
              <w:rPr>
                <w:rFonts w:asciiTheme="minorHAnsi" w:hAnsiTheme="minorHAnsi" w:cstheme="minorHAnsi"/>
                <w:lang w:eastAsia="zh-CN"/>
              </w:rPr>
            </w:pPr>
            <w:proofErr w:type="spellStart"/>
            <w:r>
              <w:rPr>
                <w:rFonts w:asciiTheme="minorHAnsi" w:hAnsiTheme="minorHAnsi" w:cstheme="minorHAnsi" w:hint="eastAsia"/>
                <w:lang w:eastAsia="zh-CN"/>
              </w:rPr>
              <w:t>Yanping</w:t>
            </w:r>
            <w:proofErr w:type="spellEnd"/>
            <w:r>
              <w:rPr>
                <w:rFonts w:asciiTheme="minorHAnsi" w:hAnsiTheme="minorHAnsi" w:cstheme="minorHAnsi" w:hint="eastAsia"/>
                <w:lang w:eastAsia="zh-CN"/>
              </w:rPr>
              <w:t xml:space="preserve">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CC7FFB">
        <w:tc>
          <w:tcPr>
            <w:tcW w:w="3320" w:type="dxa"/>
          </w:tcPr>
          <w:p w14:paraId="3E46ADBA"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9D2B03">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C969FF">
        <w:tc>
          <w:tcPr>
            <w:tcW w:w="3320" w:type="dxa"/>
          </w:tcPr>
          <w:p w14:paraId="227FA72D"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77777777" w:rsidR="00C969FF" w:rsidRDefault="00C969FF" w:rsidP="002900A9">
            <w:pPr>
              <w:spacing w:after="0"/>
              <w:rPr>
                <w:rFonts w:asciiTheme="minorHAnsi" w:hAnsiTheme="minorHAnsi" w:cstheme="minorHAnsi"/>
                <w:lang w:eastAsia="zh-CN"/>
              </w:rPr>
            </w:pPr>
            <w:r>
              <w:rPr>
                <w:rFonts w:asciiTheme="minorHAnsi" w:hAnsiTheme="minorHAnsi" w:cstheme="minorHAnsi"/>
                <w:lang w:eastAsia="zh-CN"/>
              </w:rPr>
              <w:t>Antti.immonen@dish.com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lastRenderedPageBreak/>
        <w:t>References</w:t>
      </w:r>
    </w:p>
    <w:p w14:paraId="75A78B67" w14:textId="0FEBCC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HiSilicon </w:t>
      </w:r>
    </w:p>
    <w:p w14:paraId="322A5CA5" w14:textId="0677910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RedCap device </w:t>
      </w:r>
      <w:r w:rsidRPr="006D38D8">
        <w:rPr>
          <w:rFonts w:asciiTheme="minorHAnsi" w:hAnsiTheme="minorHAnsi" w:cstheme="minorHAnsi"/>
        </w:rPr>
        <w:tab/>
        <w:t xml:space="preserve">OPPO </w:t>
      </w:r>
    </w:p>
    <w:p w14:paraId="59588740" w14:textId="34044689"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202323 Views on the scope of RedCap WID </w:t>
      </w:r>
      <w:r w:rsidRPr="006D38D8">
        <w:rPr>
          <w:rFonts w:asciiTheme="minorHAnsi" w:hAnsiTheme="minorHAnsi" w:cstheme="minorHAnsi"/>
        </w:rPr>
        <w:tab/>
        <w:t xml:space="preserve">CMCC </w:t>
      </w:r>
    </w:p>
    <w:p w14:paraId="1B6A74B7"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202525 Views on RedCap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RedCap </w:t>
      </w:r>
      <w:r w:rsidRPr="006D38D8">
        <w:rPr>
          <w:rFonts w:asciiTheme="minorHAnsi" w:hAnsiTheme="minorHAnsi" w:cstheme="minorHAnsi"/>
        </w:rPr>
        <w:tab/>
        <w:t xml:space="preserve">vivo </w:t>
      </w:r>
    </w:p>
    <w:p w14:paraId="650A572A"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RedCap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202696 Scope of RedCap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ListParagraph"/>
        <w:numPr>
          <w:ilvl w:val="0"/>
          <w:numId w:val="35"/>
        </w:numPr>
        <w:rPr>
          <w:rFonts w:asciiTheme="minorHAnsi" w:hAnsiTheme="minorHAnsi" w:cstheme="minorHAnsi"/>
        </w:rPr>
      </w:pPr>
      <w:r w:rsidRPr="006D38D8">
        <w:rPr>
          <w:rFonts w:asciiTheme="minorHAnsi" w:hAnsiTheme="minorHAnsi" w:cstheme="minorHAnsi"/>
        </w:rPr>
        <w:t xml:space="preserve">RP 202746 Views on scope of NR RedCap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79D9" w14:textId="77777777" w:rsidR="00996D68" w:rsidRDefault="00996D68">
      <w:r>
        <w:separator/>
      </w:r>
    </w:p>
  </w:endnote>
  <w:endnote w:type="continuationSeparator" w:id="0">
    <w:p w14:paraId="4377164A" w14:textId="77777777" w:rsidR="00996D68" w:rsidRDefault="00996D68">
      <w:r>
        <w:continuationSeparator/>
      </w:r>
    </w:p>
  </w:endnote>
  <w:endnote w:type="continuationNotice" w:id="1">
    <w:p w14:paraId="4E783E08" w14:textId="77777777" w:rsidR="00996D68" w:rsidRDefault="00996D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D3306C" w:rsidRDefault="00D3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D3306C" w:rsidRDefault="00D33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53CC1589" w:rsidR="00D3306C" w:rsidRDefault="00D3306C">
    <w:pPr>
      <w:pStyle w:val="Footer"/>
      <w:ind w:right="360"/>
    </w:pPr>
    <w:r>
      <w:rPr>
        <w:rStyle w:val="PageNumber"/>
      </w:rPr>
      <w:fldChar w:fldCharType="begin"/>
    </w:r>
    <w:r>
      <w:rPr>
        <w:rStyle w:val="PageNumber"/>
      </w:rPr>
      <w:instrText xml:space="preserve"> PAGE </w:instrText>
    </w:r>
    <w:r>
      <w:rPr>
        <w:rStyle w:val="PageNumber"/>
      </w:rPr>
      <w:fldChar w:fldCharType="separate"/>
    </w:r>
    <w:r w:rsidR="00CC7FFB">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C7FFB">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E99C" w14:textId="77777777" w:rsidR="00996D68" w:rsidRDefault="00996D68">
      <w:r>
        <w:separator/>
      </w:r>
    </w:p>
  </w:footnote>
  <w:footnote w:type="continuationSeparator" w:id="0">
    <w:p w14:paraId="16540739" w14:textId="77777777" w:rsidR="00996D68" w:rsidRDefault="00996D68">
      <w:r>
        <w:continuationSeparator/>
      </w:r>
    </w:p>
  </w:footnote>
  <w:footnote w:type="continuationNotice" w:id="1">
    <w:p w14:paraId="647CD23A" w14:textId="77777777" w:rsidR="00996D68" w:rsidRDefault="00996D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D3306C" w:rsidRDefault="00D3306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3"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7"/>
    <w:lvlOverride w:ilvl="0">
      <w:startOverride w:val="1"/>
    </w:lvlOverride>
  </w:num>
  <w:num w:numId="4">
    <w:abstractNumId w:val="42"/>
  </w:num>
  <w:num w:numId="5">
    <w:abstractNumId w:val="32"/>
  </w:num>
  <w:num w:numId="6">
    <w:abstractNumId w:val="8"/>
  </w:num>
  <w:num w:numId="7">
    <w:abstractNumId w:val="7"/>
  </w:num>
  <w:num w:numId="8">
    <w:abstractNumId w:val="5"/>
  </w:num>
  <w:num w:numId="9">
    <w:abstractNumId w:val="6"/>
  </w:num>
  <w:num w:numId="10">
    <w:abstractNumId w:val="4"/>
  </w:num>
  <w:num w:numId="11">
    <w:abstractNumId w:val="30"/>
  </w:num>
  <w:num w:numId="12">
    <w:abstractNumId w:val="12"/>
  </w:num>
  <w:num w:numId="13">
    <w:abstractNumId w:val="34"/>
  </w:num>
  <w:num w:numId="14">
    <w:abstractNumId w:val="26"/>
  </w:num>
  <w:num w:numId="15">
    <w:abstractNumId w:val="13"/>
  </w:num>
  <w:num w:numId="16">
    <w:abstractNumId w:val="23"/>
  </w:num>
  <w:num w:numId="17">
    <w:abstractNumId w:val="28"/>
  </w:num>
  <w:num w:numId="18">
    <w:abstractNumId w:val="24"/>
  </w:num>
  <w:num w:numId="19">
    <w:abstractNumId w:val="18"/>
  </w:num>
  <w:num w:numId="20">
    <w:abstractNumId w:val="15"/>
  </w:num>
  <w:num w:numId="21">
    <w:abstractNumId w:val="35"/>
  </w:num>
  <w:num w:numId="22">
    <w:abstractNumId w:val="14"/>
  </w:num>
  <w:num w:numId="23">
    <w:abstractNumId w:val="20"/>
  </w:num>
  <w:num w:numId="24">
    <w:abstractNumId w:val="29"/>
  </w:num>
  <w:num w:numId="25">
    <w:abstractNumId w:val="33"/>
  </w:num>
  <w:num w:numId="26">
    <w:abstractNumId w:val="39"/>
  </w:num>
  <w:num w:numId="27">
    <w:abstractNumId w:val="36"/>
  </w:num>
  <w:num w:numId="28">
    <w:abstractNumId w:val="2"/>
  </w:num>
  <w:num w:numId="29">
    <w:abstractNumId w:val="2"/>
  </w:num>
  <w:num w:numId="30">
    <w:abstractNumId w:val="2"/>
  </w:num>
  <w:num w:numId="31">
    <w:abstractNumId w:val="22"/>
  </w:num>
  <w:num w:numId="32">
    <w:abstractNumId w:val="9"/>
  </w:num>
  <w:num w:numId="33">
    <w:abstractNumId w:val="31"/>
  </w:num>
  <w:num w:numId="34">
    <w:abstractNumId w:val="17"/>
  </w:num>
  <w:num w:numId="35">
    <w:abstractNumId w:val="11"/>
  </w:num>
  <w:num w:numId="36">
    <w:abstractNumId w:val="41"/>
  </w:num>
  <w:num w:numId="37">
    <w:abstractNumId w:val="2"/>
  </w:num>
  <w:num w:numId="38">
    <w:abstractNumId w:val="1"/>
  </w:num>
  <w:num w:numId="39">
    <w:abstractNumId w:val="40"/>
  </w:num>
  <w:num w:numId="40">
    <w:abstractNumId w:val="10"/>
  </w:num>
  <w:num w:numId="41">
    <w:abstractNumId w:val="3"/>
  </w:num>
  <w:num w:numId="42">
    <w:abstractNumId w:val="21"/>
  </w:num>
  <w:num w:numId="43">
    <w:abstractNumId w:val="25"/>
  </w:num>
  <w:num w:numId="44">
    <w:abstractNumId w:val="38"/>
  </w:num>
  <w:num w:numId="45">
    <w:abstractNumId w:val="37"/>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70B17"/>
    <w:rsid w:val="00074FF9"/>
    <w:rsid w:val="000A5D53"/>
    <w:rsid w:val="000C0DCD"/>
    <w:rsid w:val="000D1CB8"/>
    <w:rsid w:val="000D1FED"/>
    <w:rsid w:val="000D3CD0"/>
    <w:rsid w:val="000E3498"/>
    <w:rsid w:val="000F1B4A"/>
    <w:rsid w:val="0010026F"/>
    <w:rsid w:val="00140480"/>
    <w:rsid w:val="0015142E"/>
    <w:rsid w:val="00152F25"/>
    <w:rsid w:val="0015314B"/>
    <w:rsid w:val="00157AA3"/>
    <w:rsid w:val="0017470A"/>
    <w:rsid w:val="0017670A"/>
    <w:rsid w:val="00182AE7"/>
    <w:rsid w:val="001858BD"/>
    <w:rsid w:val="00187432"/>
    <w:rsid w:val="001A509F"/>
    <w:rsid w:val="001C7B2A"/>
    <w:rsid w:val="001D628D"/>
    <w:rsid w:val="001E3BAA"/>
    <w:rsid w:val="001E69AE"/>
    <w:rsid w:val="001F03A4"/>
    <w:rsid w:val="001F4048"/>
    <w:rsid w:val="002012E5"/>
    <w:rsid w:val="002134F7"/>
    <w:rsid w:val="002158D4"/>
    <w:rsid w:val="00235522"/>
    <w:rsid w:val="00252BA5"/>
    <w:rsid w:val="0027009A"/>
    <w:rsid w:val="0027434C"/>
    <w:rsid w:val="002D5302"/>
    <w:rsid w:val="00341067"/>
    <w:rsid w:val="00351ACC"/>
    <w:rsid w:val="00373DAC"/>
    <w:rsid w:val="00395AC2"/>
    <w:rsid w:val="00397D8F"/>
    <w:rsid w:val="003B77CD"/>
    <w:rsid w:val="003C627A"/>
    <w:rsid w:val="003D1609"/>
    <w:rsid w:val="00404DA8"/>
    <w:rsid w:val="00404F6D"/>
    <w:rsid w:val="00412A6F"/>
    <w:rsid w:val="0042147B"/>
    <w:rsid w:val="0043546C"/>
    <w:rsid w:val="0044024E"/>
    <w:rsid w:val="00460948"/>
    <w:rsid w:val="00471F3B"/>
    <w:rsid w:val="004841F8"/>
    <w:rsid w:val="004B2A3E"/>
    <w:rsid w:val="004B34A5"/>
    <w:rsid w:val="004B6C3C"/>
    <w:rsid w:val="004D2F68"/>
    <w:rsid w:val="004F6DA2"/>
    <w:rsid w:val="00500CDA"/>
    <w:rsid w:val="0050474A"/>
    <w:rsid w:val="00530AE4"/>
    <w:rsid w:val="00540141"/>
    <w:rsid w:val="005407B6"/>
    <w:rsid w:val="00541003"/>
    <w:rsid w:val="0054284D"/>
    <w:rsid w:val="005460DB"/>
    <w:rsid w:val="00552D67"/>
    <w:rsid w:val="0056118C"/>
    <w:rsid w:val="00562A9F"/>
    <w:rsid w:val="005762F0"/>
    <w:rsid w:val="005A0D7D"/>
    <w:rsid w:val="005A1560"/>
    <w:rsid w:val="005A4760"/>
    <w:rsid w:val="005C30EB"/>
    <w:rsid w:val="00662B0B"/>
    <w:rsid w:val="006649B2"/>
    <w:rsid w:val="00670208"/>
    <w:rsid w:val="00697881"/>
    <w:rsid w:val="006C69B8"/>
    <w:rsid w:val="006D38D8"/>
    <w:rsid w:val="006E313A"/>
    <w:rsid w:val="006F308F"/>
    <w:rsid w:val="006F4392"/>
    <w:rsid w:val="006F61E0"/>
    <w:rsid w:val="006F72CE"/>
    <w:rsid w:val="007169B1"/>
    <w:rsid w:val="00763A18"/>
    <w:rsid w:val="0077158D"/>
    <w:rsid w:val="007B5AF5"/>
    <w:rsid w:val="007C0757"/>
    <w:rsid w:val="007E07BA"/>
    <w:rsid w:val="007F4156"/>
    <w:rsid w:val="00807CD9"/>
    <w:rsid w:val="008B09D7"/>
    <w:rsid w:val="008C13F8"/>
    <w:rsid w:val="008C78DA"/>
    <w:rsid w:val="008E7BA9"/>
    <w:rsid w:val="00903DDE"/>
    <w:rsid w:val="00906BBE"/>
    <w:rsid w:val="009128C4"/>
    <w:rsid w:val="00935538"/>
    <w:rsid w:val="009372BB"/>
    <w:rsid w:val="009457A3"/>
    <w:rsid w:val="00996D68"/>
    <w:rsid w:val="009D4B8A"/>
    <w:rsid w:val="009E5133"/>
    <w:rsid w:val="009E6B64"/>
    <w:rsid w:val="00A073A3"/>
    <w:rsid w:val="00A25056"/>
    <w:rsid w:val="00A630EE"/>
    <w:rsid w:val="00A65B73"/>
    <w:rsid w:val="00A73AE6"/>
    <w:rsid w:val="00A81A42"/>
    <w:rsid w:val="00A84C63"/>
    <w:rsid w:val="00A8667A"/>
    <w:rsid w:val="00AA5277"/>
    <w:rsid w:val="00AC084B"/>
    <w:rsid w:val="00AC2D20"/>
    <w:rsid w:val="00AC43B8"/>
    <w:rsid w:val="00AD5E9D"/>
    <w:rsid w:val="00AD5F2D"/>
    <w:rsid w:val="00AF4A01"/>
    <w:rsid w:val="00B16FB1"/>
    <w:rsid w:val="00B51DCC"/>
    <w:rsid w:val="00B56D14"/>
    <w:rsid w:val="00B66D3C"/>
    <w:rsid w:val="00B906C7"/>
    <w:rsid w:val="00BC702A"/>
    <w:rsid w:val="00BD20D6"/>
    <w:rsid w:val="00C07DA3"/>
    <w:rsid w:val="00C11820"/>
    <w:rsid w:val="00C5091F"/>
    <w:rsid w:val="00C50CEF"/>
    <w:rsid w:val="00C538D3"/>
    <w:rsid w:val="00C8239B"/>
    <w:rsid w:val="00C969FF"/>
    <w:rsid w:val="00C96CC5"/>
    <w:rsid w:val="00C97604"/>
    <w:rsid w:val="00CA0F56"/>
    <w:rsid w:val="00CB7C2C"/>
    <w:rsid w:val="00CC7FFB"/>
    <w:rsid w:val="00CE7CDD"/>
    <w:rsid w:val="00CF1003"/>
    <w:rsid w:val="00D3306C"/>
    <w:rsid w:val="00D60E2E"/>
    <w:rsid w:val="00D61C09"/>
    <w:rsid w:val="00D71598"/>
    <w:rsid w:val="00DB045F"/>
    <w:rsid w:val="00DC0D1E"/>
    <w:rsid w:val="00DD77DA"/>
    <w:rsid w:val="00E43DDC"/>
    <w:rsid w:val="00E67A0F"/>
    <w:rsid w:val="00E71685"/>
    <w:rsid w:val="00E82502"/>
    <w:rsid w:val="00E903A2"/>
    <w:rsid w:val="00E9134C"/>
    <w:rsid w:val="00EA6787"/>
    <w:rsid w:val="00EE5463"/>
    <w:rsid w:val="00EF1C61"/>
    <w:rsid w:val="00F45ADF"/>
    <w:rsid w:val="00F57BA5"/>
    <w:rsid w:val="00FB08F5"/>
    <w:rsid w:val="00FD4507"/>
    <w:rsid w:val="00FD60A7"/>
    <w:rsid w:val="00FE742E"/>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308A9323-B1FF-4EDB-8E07-ADA5937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列出段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Normal"/>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0A9C803B9499498C3379F790FC8075" ma:contentTypeVersion="29" ma:contentTypeDescription="Create a new document." ma:contentTypeScope="" ma:versionID="46c598626091e162715964e3161f5336">
  <xsd:schema xmlns:xsd="http://www.w3.org/2001/XMLSchema" xmlns:xs="http://www.w3.org/2001/XMLSchema" xmlns:p="http://schemas.microsoft.com/office/2006/metadata/properties" xmlns:ns2="b44b418b-b86a-4167-aef5-b5b8c558863b" xmlns:ns3="8a04d5f2-68dc-4043-963e-b3a50d5fc977" xmlns:ns4="a7fe3146-0989-4592-9721-540c467698fa" targetNamespace="http://schemas.microsoft.com/office/2006/metadata/properties" ma:root="true" ma:fieldsID="b62d2b751c28b33aba37185c096aa1d0" ns2:_="" ns3:_="" ns4:_="">
    <xsd:import namespace="b44b418b-b86a-4167-aef5-b5b8c558863b"/>
    <xsd:import namespace="8a04d5f2-68dc-4043-963e-b3a50d5fc977"/>
    <xsd:import namespace="a7fe3146-0989-4592-9721-540c467698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ags"/>
                <xsd:element ref="ns3:Executive_x0020_Document_x0020_Type" minOccurs="0"/>
                <xsd:element ref="ns4:TaxKeywordTaxHTField" minOccurs="0"/>
                <xsd:element ref="ns3:Archive_x002f_" minOccurs="0"/>
                <xsd:element ref="ns3:Air_x0020_Interface"/>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418b-b86a-4167-aef5-b5b8c55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04d5f2-68dc-4043-963e-b3a50d5fc9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ags" ma:index="20" ma:displayName="Technologies" ma:description="A series of tags to apply" ma:format="Dropdown" ma:internalName="Tags">
      <xsd:simpleType>
        <xsd:restriction base="dms:Choice">
          <xsd:enumeration value="Beamforming"/>
          <xsd:enumeration value="Carrier Aggregation"/>
          <xsd:enumeration value="Category M1"/>
          <xsd:enumeration value="CBRS"/>
          <xsd:enumeration value="CoMP"/>
          <xsd:enumeration value="Dynamic Spectrum Sharing"/>
          <xsd:enumeration value="Dual Connectivity"/>
          <xsd:enumeration value="eMBMS"/>
          <xsd:enumeration value="EVS"/>
          <xsd:enumeration value="IAB"/>
          <xsd:enumeration value="ICIC (eICIC, FeICIC)"/>
          <xsd:enumeration value="IoT"/>
          <xsd:enumeration value="LAA/LTE-U"/>
          <xsd:enumeration value="Lean Carrier"/>
          <xsd:enumeration value="MDT"/>
          <xsd:enumeration value="MIMO: Spatial Multiplexing"/>
          <xsd:enumeration value="NB-IoT"/>
          <xsd:enumeration value="NR-U"/>
          <xsd:enumeration value="Propagation"/>
          <xsd:enumeration value="Relay"/>
          <xsd:enumeration value="TDD"/>
          <xsd:enumeration value="URLLC"/>
        </xsd:restriction>
      </xsd:simpleType>
    </xsd:element>
    <xsd:element name="Executive_x0020_Document_x0020_Type" ma:index="21" nillable="true" ma:displayName="Document Type" ma:format="Dropdown" ma:indexed="true" ma:internalName="Executive_x0020_Document_x0020_Type">
      <xsd:simpleType>
        <xsd:restriction base="dms:Choice">
          <xsd:enumeration value="One-Pager"/>
          <xsd:enumeration value="Technology Summary Deck"/>
          <xsd:enumeration value="Detailed Technology Deck"/>
          <xsd:enumeration value="External Whitepaper"/>
          <xsd:enumeration value="External Presentation"/>
          <xsd:enumeration value="Brown Bag"/>
          <xsd:enumeration value="Competitive Overview"/>
          <xsd:enumeration value="3GPP/Standards Document"/>
        </xsd:restriction>
      </xsd:simpleType>
    </xsd:element>
    <xsd:element name="Archive_x002f_" ma:index="25" nillable="true" ma:displayName="Archive/" ma:default="0" ma:format="Dropdown" ma:internalName="Archive_x002f_">
      <xsd:simpleType>
        <xsd:restriction base="dms:Boolean"/>
      </xsd:simpleType>
    </xsd:element>
    <xsd:element name="Air_x0020_Interface" ma:index="27" ma:displayName="Air Interface" ma:format="Dropdown" ma:internalName="Air_x0020_Interface">
      <xsd:simpleType>
        <xsd:restriction base="dms:Choice">
          <xsd:enumeration value="5G NR"/>
          <xsd:enumeration value="LTE"/>
          <xsd:enumeration value="UMTS"/>
          <xsd:enumeration value="GSM"/>
          <xsd:enumeration value="Wi-Fi"/>
          <xsd:enumeration value="Satellite"/>
          <xsd:enumeration value="6G"/>
          <xsd:enumeration value="Other/Proprietary"/>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Enterprise Keywords" ma:fieldId="{23f27201-bee3-471e-b2e7-b64fd8b7ca38}" ma:taxonomyMulti="true" ma:sspId="8f2c06f6-5083-4159-babb-c09886256be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r_x0020_Interface xmlns="8a04d5f2-68dc-4043-963e-b3a50d5fc977">5G NR</Air_x0020_Interface>
    <Archive_x002f_ xmlns="8a04d5f2-68dc-4043-963e-b3a50d5fc977">false</Archive_x002f_>
    <Tags xmlns="8a04d5f2-68dc-4043-963e-b3a50d5fc977">TDD</Tags>
    <Executive_x0020_Document_x0020_Type xmlns="8a04d5f2-68dc-4043-963e-b3a50d5fc977" xsi:nil="true"/>
    <TaxKeywordTaxHTField xmlns="a7fe3146-0989-4592-9721-540c467698fa">
      <Terms xmlns="http://schemas.microsoft.com/office/infopath/2007/PartnerControls"/>
    </TaxKeywordTaxHTField>
  </documentManagement>
</p:properties>
</file>

<file path=customXml/itemProps1.xml><?xml version="1.0" encoding="utf-8"?>
<ds:datastoreItem xmlns:ds="http://schemas.openxmlformats.org/officeDocument/2006/customXml" ds:itemID="{7524FD09-1A54-49BB-9216-C9DC288DEBED}">
  <ds:schemaRefs>
    <ds:schemaRef ds:uri="http://schemas.openxmlformats.org/officeDocument/2006/bibliography"/>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4B997CE7-193D-4844-95BB-E6A952A1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418b-b86a-4167-aef5-b5b8c558863b"/>
    <ds:schemaRef ds:uri="8a04d5f2-68dc-4043-963e-b3a50d5fc977"/>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 ds:uri="8a04d5f2-68dc-4043-963e-b3a50d5fc977"/>
    <ds:schemaRef ds:uri="a7fe3146-0989-4592-9721-540c467698fa"/>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3</TotalTime>
  <Pages>13</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Impire Oy</cp:lastModifiedBy>
  <cp:revision>3</cp:revision>
  <cp:lastPrinted>2014-11-07T07:38:00Z</cp:lastPrinted>
  <dcterms:created xsi:type="dcterms:W3CDTF">2020-12-08T08:22:00Z</dcterms:created>
  <dcterms:modified xsi:type="dcterms:W3CDTF">2020-12-08T08:24:00Z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0x010100100A9C803B9499498C3379F790FC8075</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ies>
</file>