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77777777" w:rsidR="00CB7C2C" w:rsidRDefault="00CB7C2C" w:rsidP="00CB7C2C">
            <w:pPr>
              <w:spacing w:before="0" w:after="0"/>
              <w:rPr>
                <w:rFonts w:asciiTheme="minorHAnsi" w:hAnsiTheme="minorHAnsi" w:cstheme="minorHAnsi"/>
              </w:rPr>
            </w:pPr>
          </w:p>
        </w:tc>
        <w:tc>
          <w:tcPr>
            <w:tcW w:w="7699" w:type="dxa"/>
          </w:tcPr>
          <w:p w14:paraId="5D4D9F27" w14:textId="77777777" w:rsidR="00CB7C2C" w:rsidRDefault="00CB7C2C" w:rsidP="00CB7C2C">
            <w:pPr>
              <w:spacing w:before="0" w:after="0"/>
              <w:rPr>
                <w:rFonts w:asciiTheme="minorHAnsi" w:hAnsiTheme="minorHAnsi" w:cstheme="minorHAnsi"/>
              </w:rPr>
            </w:pPr>
          </w:p>
        </w:tc>
      </w:tr>
      <w:tr w:rsidR="00CB7C2C" w14:paraId="0BAD8C88" w14:textId="77777777" w:rsidTr="0401C30F">
        <w:tc>
          <w:tcPr>
            <w:tcW w:w="2263" w:type="dxa"/>
          </w:tcPr>
          <w:p w14:paraId="6825A492" w14:textId="77777777" w:rsidR="00CB7C2C" w:rsidRDefault="00CB7C2C" w:rsidP="00CB7C2C">
            <w:pPr>
              <w:spacing w:before="0" w:after="0"/>
              <w:rPr>
                <w:rFonts w:asciiTheme="minorHAnsi" w:hAnsiTheme="minorHAnsi" w:cstheme="minorHAnsi"/>
              </w:rPr>
            </w:pPr>
          </w:p>
        </w:tc>
        <w:tc>
          <w:tcPr>
            <w:tcW w:w="7699" w:type="dxa"/>
          </w:tcPr>
          <w:p w14:paraId="072759D2" w14:textId="77777777" w:rsidR="00CB7C2C" w:rsidRDefault="00CB7C2C" w:rsidP="00CB7C2C">
            <w:pPr>
              <w:spacing w:before="0" w:after="0"/>
              <w:rPr>
                <w:rFonts w:asciiTheme="minorHAnsi" w:hAnsiTheme="minorHAnsi" w:cstheme="minorHAnsi"/>
              </w:rPr>
            </w:pPr>
          </w:p>
        </w:tc>
      </w:tr>
      <w:tr w:rsidR="00CB7C2C" w14:paraId="74830F42" w14:textId="77777777" w:rsidTr="0401C30F">
        <w:tc>
          <w:tcPr>
            <w:tcW w:w="2263" w:type="dxa"/>
          </w:tcPr>
          <w:p w14:paraId="1BF4FC93" w14:textId="77777777" w:rsidR="00CB7C2C" w:rsidRDefault="00CB7C2C" w:rsidP="00CB7C2C">
            <w:pPr>
              <w:spacing w:before="0" w:after="0"/>
              <w:rPr>
                <w:rFonts w:asciiTheme="minorHAnsi" w:hAnsiTheme="minorHAnsi" w:cstheme="minorHAnsi"/>
              </w:rPr>
            </w:pPr>
          </w:p>
        </w:tc>
        <w:tc>
          <w:tcPr>
            <w:tcW w:w="7699" w:type="dxa"/>
          </w:tcPr>
          <w:p w14:paraId="208A4B9A" w14:textId="77777777" w:rsidR="00CB7C2C" w:rsidRDefault="00CB7C2C" w:rsidP="00CB7C2C">
            <w:pPr>
              <w:spacing w:before="0" w:after="0"/>
              <w:rPr>
                <w:rFonts w:asciiTheme="minorHAnsi" w:hAnsiTheme="minorHAnsi" w:cstheme="minorHAnsi"/>
              </w:rPr>
            </w:pPr>
          </w:p>
        </w:tc>
      </w:tr>
    </w:tbl>
    <w:p w14:paraId="0E108D3C" w14:textId="3890B6CA" w:rsidR="001E3BAA" w:rsidRDefault="001E3BAA">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r>
              <w:rPr>
                <w:rFonts w:asciiTheme="minorHAnsi" w:hAnsiTheme="minorHAnsi" w:cstheme="minorHAnsi"/>
              </w:rPr>
              <w:t xml:space="preserve"> </w:t>
            </w:r>
            <w:r>
              <w:rPr>
                <w:rFonts w:asciiTheme="minorHAnsi" w:hAnsiTheme="minorHAnsi" w:cstheme="minorHAnsi"/>
              </w:rPr>
              <w:t xml:space="preserve">   </w:t>
            </w:r>
          </w:p>
        </w:tc>
      </w:tr>
      <w:tr w:rsidR="00CB7C2C" w14:paraId="0F2C5995" w14:textId="77777777" w:rsidTr="00D3306C">
        <w:tc>
          <w:tcPr>
            <w:tcW w:w="2263" w:type="dxa"/>
          </w:tcPr>
          <w:p w14:paraId="3DEE84E0" w14:textId="77777777" w:rsidR="00CB7C2C" w:rsidRDefault="00CB7C2C" w:rsidP="00CB7C2C">
            <w:pPr>
              <w:spacing w:before="0" w:after="0"/>
              <w:rPr>
                <w:rFonts w:asciiTheme="minorHAnsi" w:hAnsiTheme="minorHAnsi" w:cstheme="minorHAnsi"/>
              </w:rPr>
            </w:pPr>
          </w:p>
        </w:tc>
        <w:tc>
          <w:tcPr>
            <w:tcW w:w="7699" w:type="dxa"/>
          </w:tcPr>
          <w:p w14:paraId="026C48AA" w14:textId="77777777" w:rsidR="00CB7C2C" w:rsidRDefault="00CB7C2C" w:rsidP="00CB7C2C">
            <w:pPr>
              <w:spacing w:before="0" w:after="0"/>
              <w:rPr>
                <w:rFonts w:asciiTheme="minorHAnsi" w:hAnsiTheme="minorHAnsi" w:cstheme="minorHAnsi"/>
              </w:rPr>
            </w:pPr>
          </w:p>
        </w:tc>
      </w:tr>
      <w:tr w:rsidR="00CB7C2C" w14:paraId="17D269D5" w14:textId="77777777" w:rsidTr="00D3306C">
        <w:tc>
          <w:tcPr>
            <w:tcW w:w="2263" w:type="dxa"/>
          </w:tcPr>
          <w:p w14:paraId="337568F9" w14:textId="77777777" w:rsidR="00CB7C2C" w:rsidRDefault="00CB7C2C" w:rsidP="00CB7C2C">
            <w:pPr>
              <w:spacing w:before="0" w:after="0"/>
              <w:rPr>
                <w:rFonts w:asciiTheme="minorHAnsi" w:hAnsiTheme="minorHAnsi" w:cstheme="minorHAnsi"/>
              </w:rPr>
            </w:pPr>
          </w:p>
        </w:tc>
        <w:tc>
          <w:tcPr>
            <w:tcW w:w="7699" w:type="dxa"/>
          </w:tcPr>
          <w:p w14:paraId="3A48D9A5" w14:textId="77777777" w:rsidR="00CB7C2C" w:rsidRDefault="00CB7C2C" w:rsidP="00CB7C2C">
            <w:pPr>
              <w:spacing w:before="0" w:after="0"/>
              <w:rPr>
                <w:rFonts w:asciiTheme="minorHAnsi" w:hAnsiTheme="minorHAnsi" w:cstheme="minorHAnsi"/>
              </w:rPr>
            </w:pPr>
          </w:p>
        </w:tc>
      </w:tr>
      <w:tr w:rsidR="00CB7C2C" w14:paraId="1A29EA6C" w14:textId="77777777" w:rsidTr="00D3306C">
        <w:tc>
          <w:tcPr>
            <w:tcW w:w="2263" w:type="dxa"/>
          </w:tcPr>
          <w:p w14:paraId="7E32D084" w14:textId="77777777" w:rsidR="00CB7C2C" w:rsidRDefault="00CB7C2C" w:rsidP="00CB7C2C">
            <w:pPr>
              <w:spacing w:before="0" w:after="0"/>
              <w:rPr>
                <w:rFonts w:asciiTheme="minorHAnsi" w:hAnsiTheme="minorHAnsi" w:cstheme="minorHAnsi"/>
              </w:rPr>
            </w:pPr>
          </w:p>
        </w:tc>
        <w:tc>
          <w:tcPr>
            <w:tcW w:w="7699" w:type="dxa"/>
          </w:tcPr>
          <w:p w14:paraId="7E76445F" w14:textId="77777777" w:rsidR="00CB7C2C" w:rsidRDefault="00CB7C2C" w:rsidP="00CB7C2C">
            <w:pPr>
              <w:spacing w:before="0" w:after="0"/>
              <w:rPr>
                <w:rFonts w:asciiTheme="minorHAnsi" w:hAnsiTheme="minorHAnsi" w:cstheme="minorHAnsi"/>
              </w:rPr>
            </w:pPr>
          </w:p>
        </w:tc>
      </w:tr>
      <w:tr w:rsidR="00CB7C2C" w14:paraId="711F0008" w14:textId="77777777" w:rsidTr="00D3306C">
        <w:tc>
          <w:tcPr>
            <w:tcW w:w="2263" w:type="dxa"/>
          </w:tcPr>
          <w:p w14:paraId="5512F917" w14:textId="77777777" w:rsidR="00CB7C2C" w:rsidRDefault="00CB7C2C" w:rsidP="00CB7C2C">
            <w:pPr>
              <w:spacing w:before="0" w:after="0"/>
              <w:rPr>
                <w:rFonts w:asciiTheme="minorHAnsi" w:hAnsiTheme="minorHAnsi" w:cstheme="minorHAnsi"/>
              </w:rPr>
            </w:pPr>
          </w:p>
        </w:tc>
        <w:tc>
          <w:tcPr>
            <w:tcW w:w="7699" w:type="dxa"/>
          </w:tcPr>
          <w:p w14:paraId="53EAC89D" w14:textId="77777777" w:rsidR="00CB7C2C" w:rsidRDefault="00CB7C2C" w:rsidP="00CB7C2C">
            <w:pPr>
              <w:spacing w:before="0" w:after="0"/>
              <w:rPr>
                <w:rFonts w:asciiTheme="minorHAnsi" w:hAnsiTheme="minorHAnsi" w:cstheme="minorHAnsi"/>
              </w:rPr>
            </w:pP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w:t>
            </w:r>
            <w:proofErr w:type="gramStart"/>
            <w:r>
              <w:rPr>
                <w:rFonts w:asciiTheme="minorHAnsi" w:hAnsiTheme="minorHAnsi" w:cstheme="minorHAnsi"/>
              </w:rPr>
              <w:t>impact</w:t>
            </w:r>
            <w:proofErr w:type="gramEnd"/>
            <w:r>
              <w:rPr>
                <w:rFonts w:asciiTheme="minorHAnsi" w:hAnsiTheme="minorHAnsi" w:cstheme="minorHAnsi"/>
              </w:rPr>
              <w:t xml:space="preserve">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T</w:t>
            </w:r>
            <w:r>
              <w:rPr>
                <w:rFonts w:asciiTheme="minorHAnsi" w:hAnsiTheme="minorHAnsi" w:cstheme="minorHAnsi"/>
              </w:rPr>
              <w:t>his feature should be added to the power saving WID</w:t>
            </w:r>
            <w:r>
              <w:rPr>
                <w:rFonts w:asciiTheme="minorHAnsi" w:hAnsiTheme="minorHAnsi" w:cstheme="minorHAnsi"/>
              </w:rPr>
              <w:t>, assuming it fits</w:t>
            </w:r>
            <w:r>
              <w:rPr>
                <w:rFonts w:asciiTheme="minorHAnsi" w:hAnsiTheme="minorHAnsi" w:cstheme="minorHAnsi"/>
              </w:rPr>
              <w:t xml:space="preserve"> within TU budget.</w:t>
            </w:r>
            <w:r>
              <w:rPr>
                <w:rFonts w:asciiTheme="minorHAnsi" w:hAnsiTheme="minorHAnsi" w:cstheme="minorHAnsi"/>
              </w:rPr>
              <w:t xml:space="preserve">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w:t>
            </w:r>
            <w:r>
              <w:rPr>
                <w:rFonts w:asciiTheme="minorHAnsi" w:hAnsiTheme="minorHAnsi" w:cstheme="minorHAnsi"/>
              </w:rPr>
              <w:t>power saving work within two work items is not efficient</w:t>
            </w:r>
            <w:r>
              <w:rPr>
                <w:rFonts w:asciiTheme="minorHAnsi" w:hAnsiTheme="minorHAnsi" w:cstheme="minorHAnsi"/>
              </w:rPr>
              <w:t>.</w:t>
            </w:r>
          </w:p>
        </w:tc>
      </w:tr>
      <w:tr w:rsidR="00CB7C2C" w14:paraId="5B262378" w14:textId="77777777" w:rsidTr="00D3306C">
        <w:tc>
          <w:tcPr>
            <w:tcW w:w="2263" w:type="dxa"/>
          </w:tcPr>
          <w:p w14:paraId="59B766F8" w14:textId="77777777" w:rsidR="00CB7C2C" w:rsidRDefault="00CB7C2C" w:rsidP="00CB7C2C">
            <w:pPr>
              <w:spacing w:before="0" w:after="0"/>
              <w:rPr>
                <w:rFonts w:asciiTheme="minorHAnsi" w:hAnsiTheme="minorHAnsi" w:cstheme="minorHAnsi"/>
              </w:rPr>
            </w:pPr>
          </w:p>
        </w:tc>
        <w:tc>
          <w:tcPr>
            <w:tcW w:w="7699" w:type="dxa"/>
          </w:tcPr>
          <w:p w14:paraId="6BF618E6" w14:textId="77777777" w:rsidR="00CB7C2C" w:rsidRDefault="00CB7C2C" w:rsidP="00CB7C2C">
            <w:pPr>
              <w:spacing w:before="0" w:after="0"/>
              <w:rPr>
                <w:rFonts w:asciiTheme="minorHAnsi" w:hAnsiTheme="minorHAnsi" w:cstheme="minorHAnsi"/>
              </w:rPr>
            </w:pPr>
          </w:p>
        </w:tc>
      </w:tr>
      <w:tr w:rsidR="00CB7C2C" w14:paraId="3984C307" w14:textId="77777777" w:rsidTr="00D3306C">
        <w:tc>
          <w:tcPr>
            <w:tcW w:w="2263" w:type="dxa"/>
          </w:tcPr>
          <w:p w14:paraId="612B8C6E" w14:textId="77777777" w:rsidR="00CB7C2C" w:rsidRDefault="00CB7C2C" w:rsidP="00CB7C2C">
            <w:pPr>
              <w:spacing w:before="0" w:after="0"/>
              <w:rPr>
                <w:rFonts w:asciiTheme="minorHAnsi" w:hAnsiTheme="minorHAnsi" w:cstheme="minorHAnsi"/>
              </w:rPr>
            </w:pPr>
          </w:p>
        </w:tc>
        <w:tc>
          <w:tcPr>
            <w:tcW w:w="7699" w:type="dxa"/>
          </w:tcPr>
          <w:p w14:paraId="5EB74FFF" w14:textId="77777777" w:rsidR="00CB7C2C" w:rsidRDefault="00CB7C2C" w:rsidP="00CB7C2C">
            <w:pPr>
              <w:spacing w:before="0" w:after="0"/>
              <w:rPr>
                <w:rFonts w:asciiTheme="minorHAnsi" w:hAnsiTheme="minorHAnsi" w:cstheme="minorHAnsi"/>
              </w:rPr>
            </w:pPr>
          </w:p>
        </w:tc>
      </w:tr>
      <w:tr w:rsidR="00CB7C2C" w14:paraId="70407BC4" w14:textId="77777777" w:rsidTr="00D3306C">
        <w:tc>
          <w:tcPr>
            <w:tcW w:w="2263" w:type="dxa"/>
          </w:tcPr>
          <w:p w14:paraId="353AB1C5" w14:textId="77777777" w:rsidR="00CB7C2C" w:rsidRDefault="00CB7C2C" w:rsidP="00CB7C2C">
            <w:pPr>
              <w:spacing w:before="0" w:after="0"/>
              <w:rPr>
                <w:rFonts w:asciiTheme="minorHAnsi" w:hAnsiTheme="minorHAnsi" w:cstheme="minorHAnsi"/>
              </w:rPr>
            </w:pPr>
          </w:p>
        </w:tc>
        <w:tc>
          <w:tcPr>
            <w:tcW w:w="7699" w:type="dxa"/>
          </w:tcPr>
          <w:p w14:paraId="27C29E52" w14:textId="77777777" w:rsidR="00CB7C2C" w:rsidRDefault="00CB7C2C" w:rsidP="00CB7C2C">
            <w:pPr>
              <w:spacing w:before="0" w:after="0"/>
              <w:rPr>
                <w:rFonts w:asciiTheme="minorHAnsi" w:hAnsiTheme="minorHAnsi" w:cstheme="minorHAnsi"/>
              </w:rPr>
            </w:pP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 xml:space="preserve">Note that the language intentionally does not say “RedCap UE types” as type discussion is ongoing in RAN1 and RAN2. If </w:t>
            </w:r>
            <w:proofErr w:type="gramStart"/>
            <w:r>
              <w:rPr>
                <w:rFonts w:asciiTheme="minorHAnsi" w:hAnsiTheme="minorHAnsi" w:cstheme="minorHAnsi"/>
              </w:rPr>
              <w:t>needed</w:t>
            </w:r>
            <w:proofErr w:type="gramEnd"/>
            <w:r>
              <w:rPr>
                <w:rFonts w:asciiTheme="minorHAnsi" w:hAnsiTheme="minorHAnsi" w:cstheme="minorHAnsi"/>
              </w:rPr>
              <w:t xml:space="preserve">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doesn’t</w:t>
            </w:r>
            <w:proofErr w:type="gramEnd"/>
            <w:r>
              <w:rPr>
                <w:rFonts w:asciiTheme="minorHAnsi" w:hAnsiTheme="minorHAnsi" w:cstheme="minorHAnsi"/>
              </w:rPr>
              <w:t xml:space="preserve"> need to be a specific objective on early identification. The WG</w:t>
            </w:r>
            <w:r>
              <w:rPr>
                <w:rFonts w:asciiTheme="minorHAnsi" w:hAnsiTheme="minorHAnsi" w:cstheme="minorHAnsi"/>
              </w:rPr>
              <w:t>s</w:t>
            </w:r>
            <w:r>
              <w:rPr>
                <w:rFonts w:asciiTheme="minorHAnsi" w:hAnsiTheme="minorHAnsi" w:cstheme="minorHAnsi"/>
              </w:rPr>
              <w:t xml:space="preserve"> can decide if early ID is needed (will depend on features) and the best solution</w:t>
            </w:r>
            <w:r>
              <w:rPr>
                <w:rFonts w:asciiTheme="minorHAnsi" w:hAnsiTheme="minorHAnsi" w:cstheme="minorHAnsi"/>
              </w:rPr>
              <w:t xml:space="preserve"> (msg1,msg3 or msg5)</w:t>
            </w:r>
            <w:r>
              <w:rPr>
                <w:rFonts w:asciiTheme="minorHAnsi" w:hAnsiTheme="minorHAnsi" w:cstheme="minorHAnsi"/>
              </w:rPr>
              <w:t>.</w:t>
            </w:r>
            <w:r>
              <w:rPr>
                <w:rFonts w:asciiTheme="minorHAnsi" w:hAnsiTheme="minorHAnsi" w:cstheme="minorHAnsi"/>
              </w:rPr>
              <w:t xml:space="preserve"> Plenary should not recommend a solution. </w:t>
            </w:r>
            <w:r>
              <w:rPr>
                <w:rFonts w:asciiTheme="minorHAnsi" w:hAnsiTheme="minorHAnsi" w:cstheme="minorHAnsi"/>
              </w:rPr>
              <w:t xml:space="preserve">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w:t>
            </w:r>
            <w:r>
              <w:rPr>
                <w:rFonts w:asciiTheme="minorHAnsi" w:hAnsiTheme="minorHAnsi" w:cstheme="minorHAnsi"/>
              </w:rPr>
              <w:t xml:space="preserve">also </w:t>
            </w:r>
            <w:r>
              <w:rPr>
                <w:rFonts w:asciiTheme="minorHAnsi" w:hAnsiTheme="minorHAnsi" w:cstheme="minorHAnsi"/>
              </w:rPr>
              <w:t xml:space="preserve">no need to </w:t>
            </w:r>
            <w:r w:rsidR="008C13F8">
              <w:rPr>
                <w:rFonts w:asciiTheme="minorHAnsi" w:hAnsiTheme="minorHAnsi" w:cstheme="minorHAnsi"/>
              </w:rPr>
              <w:t xml:space="preserve">specify </w:t>
            </w:r>
            <w:r>
              <w:rPr>
                <w:rFonts w:asciiTheme="minorHAnsi" w:hAnsiTheme="minorHAnsi" w:cstheme="minorHAnsi"/>
              </w:rPr>
              <w:t>UE categories</w:t>
            </w:r>
            <w:r>
              <w:rPr>
                <w:rFonts w:asciiTheme="minorHAnsi" w:hAnsiTheme="minorHAnsi" w:cstheme="minorHAnsi"/>
              </w:rPr>
              <w:t xml:space="preserve">. We only </w:t>
            </w:r>
            <w:r>
              <w:rPr>
                <w:rFonts w:asciiTheme="minorHAnsi" w:hAnsiTheme="minorHAnsi" w:cstheme="minorHAnsi"/>
              </w:rPr>
              <w:t xml:space="preserve">need to define optional </w:t>
            </w:r>
            <w:r>
              <w:rPr>
                <w:rFonts w:asciiTheme="minorHAnsi" w:hAnsiTheme="minorHAnsi" w:cstheme="minorHAnsi"/>
              </w:rPr>
              <w:t xml:space="preserve">UE </w:t>
            </w:r>
            <w:r>
              <w:rPr>
                <w:rFonts w:asciiTheme="minorHAnsi" w:hAnsiTheme="minorHAnsi" w:cstheme="minorHAnsi"/>
              </w:rPr>
              <w:t xml:space="preserve">capabilities for </w:t>
            </w:r>
            <w:r>
              <w:rPr>
                <w:rFonts w:asciiTheme="minorHAnsi" w:hAnsiTheme="minorHAnsi" w:cstheme="minorHAnsi"/>
              </w:rPr>
              <w:t xml:space="preserve">the </w:t>
            </w:r>
            <w:r>
              <w:rPr>
                <w:rFonts w:asciiTheme="minorHAnsi" w:hAnsiTheme="minorHAnsi" w:cstheme="minorHAnsi"/>
              </w:rPr>
              <w:t xml:space="preserve">cost reduction </w:t>
            </w:r>
            <w:proofErr w:type="gramStart"/>
            <w:r>
              <w:rPr>
                <w:rFonts w:asciiTheme="minorHAnsi" w:hAnsiTheme="minorHAnsi" w:cstheme="minorHAnsi"/>
              </w:rPr>
              <w:t>technique</w:t>
            </w:r>
            <w:r>
              <w:rPr>
                <w:rFonts w:asciiTheme="minorHAnsi" w:hAnsiTheme="minorHAnsi" w:cstheme="minorHAnsi"/>
              </w:rPr>
              <w:t>s</w:t>
            </w:r>
            <w:proofErr w:type="gramEnd"/>
            <w:r>
              <w:rPr>
                <w:rFonts w:asciiTheme="minorHAnsi" w:hAnsiTheme="minorHAnsi" w:cstheme="minorHAnsi"/>
              </w:rPr>
              <w:t xml:space="preserve"> but this doesn’t need to be capture in WID – </w:t>
            </w:r>
            <w:r w:rsidR="008C13F8">
              <w:rPr>
                <w:rFonts w:asciiTheme="minorHAnsi" w:hAnsiTheme="minorHAnsi" w:cstheme="minorHAnsi"/>
              </w:rPr>
              <w:t xml:space="preserve">its </w:t>
            </w:r>
            <w:r>
              <w:rPr>
                <w:rFonts w:asciiTheme="minorHAnsi" w:hAnsiTheme="minorHAnsi" w:cstheme="minorHAnsi"/>
              </w:rPr>
              <w:t xml:space="preserve">business as usual.  </w:t>
            </w:r>
            <w:proofErr w:type="gramStart"/>
            <w:r>
              <w:rPr>
                <w:rFonts w:asciiTheme="minorHAnsi" w:hAnsiTheme="minorHAnsi" w:cstheme="minorHAnsi"/>
              </w:rPr>
              <w:t>So</w:t>
            </w:r>
            <w:proofErr w:type="gramEnd"/>
            <w:r>
              <w:rPr>
                <w:rFonts w:asciiTheme="minorHAnsi" w:hAnsiTheme="minorHAnsi" w:cstheme="minorHAnsi"/>
              </w:rPr>
              <w:t xml:space="preserve"> no need </w:t>
            </w:r>
            <w:r>
              <w:rPr>
                <w:rFonts w:asciiTheme="minorHAnsi" w:hAnsiTheme="minorHAnsi" w:cstheme="minorHAnsi"/>
              </w:rPr>
              <w:t xml:space="preserve">for </w:t>
            </w:r>
            <w:r>
              <w:rPr>
                <w:rFonts w:asciiTheme="minorHAnsi" w:hAnsiTheme="minorHAnsi" w:cstheme="minorHAnsi"/>
              </w:rPr>
              <w:t>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is</w:t>
            </w:r>
            <w:proofErr w:type="gramEnd"/>
            <w:r>
              <w:rPr>
                <w:rFonts w:asciiTheme="minorHAnsi" w:hAnsiTheme="minorHAnsi" w:cstheme="minorHAnsi"/>
              </w:rPr>
              <w:t xml:space="preserve">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77777777" w:rsidR="00CB7C2C" w:rsidRDefault="00CB7C2C" w:rsidP="00CB7C2C">
            <w:pPr>
              <w:spacing w:before="0" w:after="0"/>
              <w:rPr>
                <w:rFonts w:asciiTheme="minorHAnsi" w:hAnsiTheme="minorHAnsi" w:cstheme="minorHAnsi"/>
              </w:rPr>
            </w:pPr>
          </w:p>
        </w:tc>
        <w:tc>
          <w:tcPr>
            <w:tcW w:w="7699" w:type="dxa"/>
          </w:tcPr>
          <w:p w14:paraId="1F912B22" w14:textId="77777777" w:rsidR="00CB7C2C" w:rsidRDefault="00CB7C2C" w:rsidP="00CB7C2C">
            <w:pPr>
              <w:spacing w:before="0" w:after="0"/>
              <w:rPr>
                <w:rFonts w:asciiTheme="minorHAnsi" w:hAnsiTheme="minorHAnsi" w:cstheme="minorHAnsi"/>
              </w:rPr>
            </w:pPr>
          </w:p>
        </w:tc>
      </w:tr>
      <w:tr w:rsidR="00CB7C2C" w14:paraId="51D7D985" w14:textId="77777777" w:rsidTr="676DA305">
        <w:tc>
          <w:tcPr>
            <w:tcW w:w="2263" w:type="dxa"/>
          </w:tcPr>
          <w:p w14:paraId="2378AAE8" w14:textId="77777777" w:rsidR="00CB7C2C" w:rsidRDefault="00CB7C2C" w:rsidP="00CB7C2C">
            <w:pPr>
              <w:spacing w:before="0" w:after="0"/>
              <w:rPr>
                <w:rFonts w:asciiTheme="minorHAnsi" w:hAnsiTheme="minorHAnsi" w:cstheme="minorHAnsi"/>
              </w:rPr>
            </w:pPr>
          </w:p>
        </w:tc>
        <w:tc>
          <w:tcPr>
            <w:tcW w:w="7699" w:type="dxa"/>
          </w:tcPr>
          <w:p w14:paraId="67415E9F" w14:textId="77777777" w:rsidR="00CB7C2C" w:rsidRDefault="00CB7C2C" w:rsidP="00CB7C2C">
            <w:pPr>
              <w:spacing w:before="0" w:after="0"/>
              <w:rPr>
                <w:rFonts w:asciiTheme="minorHAnsi" w:hAnsiTheme="minorHAnsi" w:cstheme="minorHAnsi"/>
              </w:rPr>
            </w:pPr>
          </w:p>
        </w:tc>
      </w:tr>
      <w:tr w:rsidR="00CB7C2C" w14:paraId="312F6DA1" w14:textId="77777777" w:rsidTr="676DA305">
        <w:tc>
          <w:tcPr>
            <w:tcW w:w="2263" w:type="dxa"/>
          </w:tcPr>
          <w:p w14:paraId="60C0A266" w14:textId="77777777" w:rsidR="00CB7C2C" w:rsidRDefault="00CB7C2C" w:rsidP="00CB7C2C">
            <w:pPr>
              <w:spacing w:before="0" w:after="0"/>
              <w:rPr>
                <w:rFonts w:asciiTheme="minorHAnsi" w:hAnsiTheme="minorHAnsi" w:cstheme="minorHAnsi"/>
              </w:rPr>
            </w:pPr>
          </w:p>
        </w:tc>
        <w:tc>
          <w:tcPr>
            <w:tcW w:w="7699" w:type="dxa"/>
          </w:tcPr>
          <w:p w14:paraId="59231026" w14:textId="77777777" w:rsidR="00CB7C2C" w:rsidRDefault="00CB7C2C" w:rsidP="00CB7C2C">
            <w:pPr>
              <w:spacing w:before="0" w:after="0"/>
              <w:rPr>
                <w:rFonts w:asciiTheme="minorHAnsi" w:hAnsiTheme="minorHAnsi" w:cstheme="minorHAnsi"/>
              </w:rPr>
            </w:pP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lastRenderedPageBreak/>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w:t>
      </w:r>
      <w:proofErr w:type="gramStart"/>
      <w:r>
        <w:rPr>
          <w:rFonts w:asciiTheme="minorHAnsi" w:hAnsiTheme="minorHAnsi" w:cstheme="minorHAnsi"/>
          <w:lang w:val="en-GB"/>
        </w:rPr>
        <w:t>in order to</w:t>
      </w:r>
      <w:proofErr w:type="gramEnd"/>
      <w:r>
        <w:rPr>
          <w:rFonts w:asciiTheme="minorHAnsi" w:hAnsiTheme="minorHAnsi" w:cstheme="minorHAnsi"/>
          <w:lang w:val="en-GB"/>
        </w:rPr>
        <w:t xml:space="preserve">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Pr>
                <w:rFonts w:asciiTheme="minorHAnsi" w:hAnsiTheme="minorHAnsi" w:cstheme="minorHAnsi"/>
              </w:rPr>
              <w:t>Similar to</w:t>
            </w:r>
            <w:proofErr w:type="gramEnd"/>
            <w:r>
              <w:rPr>
                <w:rFonts w:asciiTheme="minorHAnsi" w:hAnsiTheme="minorHAnsi" w:cstheme="minorHAnsi"/>
              </w:rPr>
              <w:t xml:space="preserve">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w:t>
            </w:r>
            <w:r>
              <w:rPr>
                <w:rFonts w:asciiTheme="minorHAnsi" w:hAnsiTheme="minorHAnsi" w:cstheme="minorHAnsi"/>
              </w:rPr>
              <w:t xml:space="preserve">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Wis (RedCap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w:t>
            </w:r>
            <w:r>
              <w:rPr>
                <w:rFonts w:asciiTheme="minorHAnsi" w:hAnsiTheme="minorHAnsi" w:cstheme="minorHAnsi"/>
              </w:rPr>
              <w:t xml:space="preserve"> of techniques to meet a target</w:t>
            </w:r>
            <w:r>
              <w:rPr>
                <w:rFonts w:asciiTheme="minorHAnsi" w:hAnsiTheme="minorHAnsi" w:cstheme="minorHAnsi"/>
              </w:rPr>
              <w:t xml:space="preserve">.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w:t>
            </w:r>
            <w:r>
              <w:rPr>
                <w:rFonts w:asciiTheme="minorHAnsi" w:hAnsiTheme="minorHAnsi" w:cstheme="minorHAnsi"/>
              </w:rPr>
              <w:t xml:space="preserve"> </w:t>
            </w:r>
            <w:r>
              <w:rPr>
                <w:rFonts w:asciiTheme="minorHAnsi" w:hAnsiTheme="minorHAnsi" w:cstheme="minorHAnsi"/>
              </w:rPr>
              <w:t xml:space="preserve">Given 1RX in high TDD bands is not support, there should be no need to do coverage enhancement for </w:t>
            </w:r>
            <w:r>
              <w:rPr>
                <w:rFonts w:asciiTheme="minorHAnsi" w:hAnsiTheme="minorHAnsi" w:cstheme="minorHAnsi"/>
              </w:rPr>
              <w:t xml:space="preserve">FR1 </w:t>
            </w:r>
            <w:r>
              <w:rPr>
                <w:rFonts w:asciiTheme="minorHAnsi" w:hAnsiTheme="minorHAnsi" w:cstheme="minorHAnsi"/>
              </w:rPr>
              <w:t>DL channels.</w:t>
            </w:r>
            <w:r>
              <w:rPr>
                <w:rFonts w:asciiTheme="minorHAnsi" w:hAnsiTheme="minorHAnsi" w:cstheme="minorHAnsi"/>
              </w:rPr>
              <w:t xml:space="preserve">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77777777" w:rsidR="00670208" w:rsidRDefault="00670208" w:rsidP="00670208">
            <w:pPr>
              <w:spacing w:before="0" w:after="0"/>
              <w:rPr>
                <w:rFonts w:asciiTheme="minorHAnsi" w:hAnsiTheme="minorHAnsi" w:cstheme="minorHAnsi"/>
              </w:rPr>
            </w:pPr>
          </w:p>
        </w:tc>
        <w:tc>
          <w:tcPr>
            <w:tcW w:w="7699" w:type="dxa"/>
          </w:tcPr>
          <w:p w14:paraId="5007EE71" w14:textId="77777777" w:rsidR="00670208" w:rsidRDefault="00670208" w:rsidP="00670208">
            <w:pPr>
              <w:spacing w:before="0" w:after="0"/>
              <w:rPr>
                <w:rFonts w:asciiTheme="minorHAnsi" w:hAnsiTheme="minorHAnsi" w:cstheme="minorHAnsi"/>
              </w:rPr>
            </w:pPr>
          </w:p>
        </w:tc>
      </w:tr>
      <w:tr w:rsidR="00670208" w14:paraId="56DB00F7" w14:textId="77777777" w:rsidTr="00D3306C">
        <w:tc>
          <w:tcPr>
            <w:tcW w:w="2263" w:type="dxa"/>
          </w:tcPr>
          <w:p w14:paraId="22758FF4" w14:textId="77777777" w:rsidR="00670208" w:rsidRDefault="00670208" w:rsidP="00670208">
            <w:pPr>
              <w:spacing w:before="0" w:after="0"/>
              <w:rPr>
                <w:rFonts w:asciiTheme="minorHAnsi" w:hAnsiTheme="minorHAnsi" w:cstheme="minorHAnsi"/>
              </w:rPr>
            </w:pPr>
          </w:p>
        </w:tc>
        <w:tc>
          <w:tcPr>
            <w:tcW w:w="7699" w:type="dxa"/>
          </w:tcPr>
          <w:p w14:paraId="13203D43" w14:textId="77777777" w:rsidR="00670208" w:rsidRDefault="00670208" w:rsidP="00670208">
            <w:pPr>
              <w:spacing w:before="0" w:after="0"/>
              <w:rPr>
                <w:rFonts w:asciiTheme="minorHAnsi" w:hAnsiTheme="minorHAnsi" w:cstheme="minorHAnsi"/>
              </w:rPr>
            </w:pPr>
          </w:p>
        </w:tc>
      </w:tr>
      <w:tr w:rsidR="00670208" w14:paraId="16135C73" w14:textId="77777777" w:rsidTr="00D3306C">
        <w:tc>
          <w:tcPr>
            <w:tcW w:w="2263" w:type="dxa"/>
          </w:tcPr>
          <w:p w14:paraId="2AC0E477" w14:textId="77777777" w:rsidR="00670208" w:rsidRDefault="00670208" w:rsidP="00670208">
            <w:pPr>
              <w:spacing w:before="0" w:after="0"/>
              <w:rPr>
                <w:rFonts w:asciiTheme="minorHAnsi" w:hAnsiTheme="minorHAnsi" w:cstheme="minorHAnsi"/>
              </w:rPr>
            </w:pPr>
          </w:p>
        </w:tc>
        <w:tc>
          <w:tcPr>
            <w:tcW w:w="7699" w:type="dxa"/>
          </w:tcPr>
          <w:p w14:paraId="45096FD0" w14:textId="77777777" w:rsidR="00670208" w:rsidRDefault="00670208" w:rsidP="00670208">
            <w:pPr>
              <w:spacing w:before="0" w:after="0"/>
              <w:rPr>
                <w:rFonts w:asciiTheme="minorHAnsi" w:hAnsiTheme="minorHAnsi" w:cstheme="minorHAnsi"/>
              </w:rPr>
            </w:pPr>
          </w:p>
        </w:tc>
      </w:tr>
      <w:tr w:rsidR="00670208" w14:paraId="449C58A3" w14:textId="77777777" w:rsidTr="00D3306C">
        <w:tc>
          <w:tcPr>
            <w:tcW w:w="2263" w:type="dxa"/>
          </w:tcPr>
          <w:p w14:paraId="7FCE721A" w14:textId="77777777" w:rsidR="00670208" w:rsidRDefault="00670208" w:rsidP="00670208">
            <w:pPr>
              <w:spacing w:before="0" w:after="0"/>
              <w:rPr>
                <w:rFonts w:asciiTheme="minorHAnsi" w:hAnsiTheme="minorHAnsi" w:cstheme="minorHAnsi"/>
              </w:rPr>
            </w:pPr>
          </w:p>
        </w:tc>
        <w:tc>
          <w:tcPr>
            <w:tcW w:w="7699" w:type="dxa"/>
          </w:tcPr>
          <w:p w14:paraId="2DFC56D8" w14:textId="77777777" w:rsidR="00670208" w:rsidRDefault="00670208" w:rsidP="00670208">
            <w:pPr>
              <w:spacing w:before="0" w:after="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77777777" w:rsidR="006F61E0" w:rsidRDefault="006F61E0" w:rsidP="006F61E0">
            <w:pPr>
              <w:spacing w:before="0" w:after="0"/>
              <w:rPr>
                <w:rFonts w:asciiTheme="minorHAnsi" w:hAnsiTheme="minorHAnsi" w:cstheme="minorHAnsi"/>
              </w:rPr>
            </w:pPr>
          </w:p>
        </w:tc>
        <w:tc>
          <w:tcPr>
            <w:tcW w:w="3321" w:type="dxa"/>
          </w:tcPr>
          <w:p w14:paraId="3F590C87" w14:textId="77777777" w:rsidR="006F61E0" w:rsidRDefault="006F61E0" w:rsidP="006F61E0">
            <w:pPr>
              <w:spacing w:before="0" w:after="0"/>
              <w:rPr>
                <w:rFonts w:asciiTheme="minorHAnsi" w:hAnsiTheme="minorHAnsi" w:cstheme="minorHAnsi"/>
              </w:rPr>
            </w:pPr>
          </w:p>
        </w:tc>
        <w:tc>
          <w:tcPr>
            <w:tcW w:w="3321" w:type="dxa"/>
          </w:tcPr>
          <w:p w14:paraId="2D9263CD" w14:textId="34FBEA52" w:rsidR="006F61E0" w:rsidRDefault="006F61E0" w:rsidP="006F61E0">
            <w:pPr>
              <w:spacing w:before="0" w:after="0"/>
              <w:rPr>
                <w:rFonts w:asciiTheme="minorHAnsi" w:hAnsiTheme="minorHAnsi" w:cstheme="minorHAnsi"/>
              </w:rPr>
            </w:pPr>
          </w:p>
        </w:tc>
      </w:tr>
      <w:tr w:rsidR="006F61E0" w14:paraId="5F85144D" w14:textId="77777777" w:rsidTr="003B77CD">
        <w:tc>
          <w:tcPr>
            <w:tcW w:w="3320" w:type="dxa"/>
          </w:tcPr>
          <w:p w14:paraId="2A2F4D45" w14:textId="77777777" w:rsidR="006F61E0" w:rsidRDefault="006F61E0" w:rsidP="006F61E0">
            <w:pPr>
              <w:spacing w:before="0" w:after="0"/>
              <w:rPr>
                <w:rFonts w:asciiTheme="minorHAnsi" w:hAnsiTheme="minorHAnsi" w:cstheme="minorHAnsi"/>
              </w:rPr>
            </w:pPr>
          </w:p>
        </w:tc>
        <w:tc>
          <w:tcPr>
            <w:tcW w:w="3321" w:type="dxa"/>
          </w:tcPr>
          <w:p w14:paraId="1298113A" w14:textId="77777777" w:rsidR="006F61E0" w:rsidRDefault="006F61E0" w:rsidP="006F61E0">
            <w:pPr>
              <w:spacing w:before="0" w:after="0"/>
              <w:rPr>
                <w:rFonts w:asciiTheme="minorHAnsi" w:hAnsiTheme="minorHAnsi" w:cstheme="minorHAnsi"/>
              </w:rPr>
            </w:pPr>
          </w:p>
        </w:tc>
        <w:tc>
          <w:tcPr>
            <w:tcW w:w="3321" w:type="dxa"/>
          </w:tcPr>
          <w:p w14:paraId="73B41B37" w14:textId="31227966" w:rsidR="006F61E0" w:rsidRDefault="006F61E0" w:rsidP="006F61E0">
            <w:pPr>
              <w:spacing w:before="0" w:after="0"/>
              <w:rPr>
                <w:rFonts w:asciiTheme="minorHAnsi" w:hAnsiTheme="minorHAnsi" w:cstheme="minorHAnsi"/>
              </w:rPr>
            </w:pPr>
          </w:p>
        </w:tc>
      </w:tr>
      <w:tr w:rsidR="006F61E0" w14:paraId="4DAECC90" w14:textId="77777777" w:rsidTr="003B77CD">
        <w:tc>
          <w:tcPr>
            <w:tcW w:w="3320" w:type="dxa"/>
          </w:tcPr>
          <w:p w14:paraId="0F68A99D" w14:textId="77777777" w:rsidR="006F61E0" w:rsidRDefault="006F61E0" w:rsidP="006F61E0">
            <w:pPr>
              <w:spacing w:before="0" w:after="0"/>
              <w:rPr>
                <w:rFonts w:asciiTheme="minorHAnsi" w:hAnsiTheme="minorHAnsi" w:cstheme="minorHAnsi"/>
              </w:rPr>
            </w:pPr>
          </w:p>
        </w:tc>
        <w:tc>
          <w:tcPr>
            <w:tcW w:w="3321" w:type="dxa"/>
          </w:tcPr>
          <w:p w14:paraId="2BD99FDD" w14:textId="77777777" w:rsidR="006F61E0" w:rsidRDefault="006F61E0" w:rsidP="006F61E0">
            <w:pPr>
              <w:spacing w:before="0" w:after="0"/>
              <w:rPr>
                <w:rFonts w:asciiTheme="minorHAnsi" w:hAnsiTheme="minorHAnsi" w:cstheme="minorHAnsi"/>
              </w:rPr>
            </w:pPr>
          </w:p>
        </w:tc>
        <w:tc>
          <w:tcPr>
            <w:tcW w:w="3321" w:type="dxa"/>
          </w:tcPr>
          <w:p w14:paraId="3D3FA522" w14:textId="7CCEFD55" w:rsidR="006F61E0" w:rsidRDefault="006F61E0" w:rsidP="006F61E0">
            <w:pPr>
              <w:spacing w:before="0" w:after="0"/>
              <w:rPr>
                <w:rFonts w:asciiTheme="minorHAnsi" w:hAnsiTheme="minorHAnsi" w:cstheme="minorHAnsi"/>
              </w:rPr>
            </w:pP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EB72" w14:textId="77777777" w:rsidR="008B09D7" w:rsidRDefault="008B09D7">
      <w:r>
        <w:separator/>
      </w:r>
    </w:p>
  </w:endnote>
  <w:endnote w:type="continuationSeparator" w:id="0">
    <w:p w14:paraId="22A37A63" w14:textId="77777777" w:rsidR="008B09D7" w:rsidRDefault="008B09D7">
      <w:r>
        <w:continuationSeparator/>
      </w:r>
    </w:p>
  </w:endnote>
  <w:endnote w:type="continuationNotice" w:id="1">
    <w:p w14:paraId="73B631A9" w14:textId="77777777" w:rsidR="008B09D7" w:rsidRDefault="008B09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D3306C" w:rsidRDefault="00D3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D3306C" w:rsidRDefault="00D33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77777777" w:rsidR="00D3306C" w:rsidRDefault="00D3306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DE5D" w14:textId="77777777" w:rsidR="00FE742E" w:rsidRDefault="00FE7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57D29" w14:textId="77777777" w:rsidR="008B09D7" w:rsidRDefault="008B09D7">
      <w:r>
        <w:separator/>
      </w:r>
    </w:p>
  </w:footnote>
  <w:footnote w:type="continuationSeparator" w:id="0">
    <w:p w14:paraId="1BDFC421" w14:textId="77777777" w:rsidR="008B09D7" w:rsidRDefault="008B09D7">
      <w:r>
        <w:continuationSeparator/>
      </w:r>
    </w:p>
  </w:footnote>
  <w:footnote w:type="continuationNotice" w:id="1">
    <w:p w14:paraId="648F57B0" w14:textId="77777777" w:rsidR="008B09D7" w:rsidRDefault="008B09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753E" w14:textId="77777777" w:rsidR="00FE742E" w:rsidRDefault="00FE7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711B" w14:textId="77777777" w:rsidR="00FE742E" w:rsidRDefault="00FE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1"/>
    <w:lvlOverride w:ilvl="0">
      <w:startOverride w:val="1"/>
    </w:lvlOverride>
  </w:num>
  <w:num w:numId="4">
    <w:abstractNumId w:val="33"/>
  </w:num>
  <w:num w:numId="5">
    <w:abstractNumId w:val="26"/>
  </w:num>
  <w:num w:numId="6">
    <w:abstractNumId w:val="6"/>
  </w:num>
  <w:num w:numId="7">
    <w:abstractNumId w:val="5"/>
  </w:num>
  <w:num w:numId="8">
    <w:abstractNumId w:val="3"/>
  </w:num>
  <w:num w:numId="9">
    <w:abstractNumId w:val="4"/>
  </w:num>
  <w:num w:numId="10">
    <w:abstractNumId w:val="2"/>
  </w:num>
  <w:num w:numId="11">
    <w:abstractNumId w:val="24"/>
  </w:num>
  <w:num w:numId="12">
    <w:abstractNumId w:val="9"/>
  </w:num>
  <w:num w:numId="13">
    <w:abstractNumId w:val="28"/>
  </w:num>
  <w:num w:numId="14">
    <w:abstractNumId w:val="20"/>
  </w:num>
  <w:num w:numId="15">
    <w:abstractNumId w:val="10"/>
  </w:num>
  <w:num w:numId="16">
    <w:abstractNumId w:val="18"/>
  </w:num>
  <w:num w:numId="17">
    <w:abstractNumId w:val="22"/>
  </w:num>
  <w:num w:numId="18">
    <w:abstractNumId w:val="19"/>
  </w:num>
  <w:num w:numId="19">
    <w:abstractNumId w:val="14"/>
  </w:num>
  <w:num w:numId="20">
    <w:abstractNumId w:val="12"/>
  </w:num>
  <w:num w:numId="21">
    <w:abstractNumId w:val="29"/>
  </w:num>
  <w:num w:numId="22">
    <w:abstractNumId w:val="11"/>
  </w:num>
  <w:num w:numId="23">
    <w:abstractNumId w:val="16"/>
  </w:num>
  <w:num w:numId="24">
    <w:abstractNumId w:val="23"/>
  </w:num>
  <w:num w:numId="25">
    <w:abstractNumId w:val="27"/>
  </w:num>
  <w:num w:numId="26">
    <w:abstractNumId w:val="31"/>
  </w:num>
  <w:num w:numId="27">
    <w:abstractNumId w:val="30"/>
  </w:num>
  <w:num w:numId="28">
    <w:abstractNumId w:val="1"/>
  </w:num>
  <w:num w:numId="29">
    <w:abstractNumId w:val="1"/>
  </w:num>
  <w:num w:numId="30">
    <w:abstractNumId w:val="1"/>
  </w:num>
  <w:num w:numId="31">
    <w:abstractNumId w:val="17"/>
  </w:num>
  <w:num w:numId="32">
    <w:abstractNumId w:val="7"/>
  </w:num>
  <w:num w:numId="33">
    <w:abstractNumId w:val="25"/>
  </w:num>
  <w:num w:numId="34">
    <w:abstractNumId w:val="13"/>
  </w:num>
  <w:num w:numId="35">
    <w:abstractNumId w:val="8"/>
  </w:num>
  <w:num w:numId="36">
    <w:abstractNumId w:val="32"/>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A5D53"/>
    <w:rsid w:val="000C0DCD"/>
    <w:rsid w:val="000D1CB8"/>
    <w:rsid w:val="000D1FED"/>
    <w:rsid w:val="000D3CD0"/>
    <w:rsid w:val="0010026F"/>
    <w:rsid w:val="00140480"/>
    <w:rsid w:val="0015142E"/>
    <w:rsid w:val="0015314B"/>
    <w:rsid w:val="00157AA3"/>
    <w:rsid w:val="0017470A"/>
    <w:rsid w:val="0017670A"/>
    <w:rsid w:val="00182AE7"/>
    <w:rsid w:val="00187432"/>
    <w:rsid w:val="001A509F"/>
    <w:rsid w:val="001C7B2A"/>
    <w:rsid w:val="001D628D"/>
    <w:rsid w:val="001E3BAA"/>
    <w:rsid w:val="001F03A4"/>
    <w:rsid w:val="001F4048"/>
    <w:rsid w:val="002012E5"/>
    <w:rsid w:val="002158D4"/>
    <w:rsid w:val="00235522"/>
    <w:rsid w:val="00252BA5"/>
    <w:rsid w:val="0027009A"/>
    <w:rsid w:val="002D5302"/>
    <w:rsid w:val="00341067"/>
    <w:rsid w:val="00351ACC"/>
    <w:rsid w:val="00373DAC"/>
    <w:rsid w:val="00395AC2"/>
    <w:rsid w:val="003B77CD"/>
    <w:rsid w:val="003C627A"/>
    <w:rsid w:val="00404DA8"/>
    <w:rsid w:val="00404F6D"/>
    <w:rsid w:val="0042147B"/>
    <w:rsid w:val="0043546C"/>
    <w:rsid w:val="0044024E"/>
    <w:rsid w:val="00460948"/>
    <w:rsid w:val="00471F3B"/>
    <w:rsid w:val="004841F8"/>
    <w:rsid w:val="004B2A3E"/>
    <w:rsid w:val="004D2F68"/>
    <w:rsid w:val="004F6DA2"/>
    <w:rsid w:val="00500CDA"/>
    <w:rsid w:val="0050474A"/>
    <w:rsid w:val="00530AE4"/>
    <w:rsid w:val="00541003"/>
    <w:rsid w:val="0054284D"/>
    <w:rsid w:val="00552D67"/>
    <w:rsid w:val="00562A9F"/>
    <w:rsid w:val="005A0D7D"/>
    <w:rsid w:val="005A1560"/>
    <w:rsid w:val="005C30EB"/>
    <w:rsid w:val="006649B2"/>
    <w:rsid w:val="00670208"/>
    <w:rsid w:val="00697881"/>
    <w:rsid w:val="006C69B8"/>
    <w:rsid w:val="006D38D8"/>
    <w:rsid w:val="006E313A"/>
    <w:rsid w:val="006F4392"/>
    <w:rsid w:val="006F61E0"/>
    <w:rsid w:val="006F72CE"/>
    <w:rsid w:val="007169B1"/>
    <w:rsid w:val="00763A18"/>
    <w:rsid w:val="007B5AF5"/>
    <w:rsid w:val="007C0757"/>
    <w:rsid w:val="007E07BA"/>
    <w:rsid w:val="007F4156"/>
    <w:rsid w:val="00807CD9"/>
    <w:rsid w:val="008B09D7"/>
    <w:rsid w:val="008C13F8"/>
    <w:rsid w:val="008E7BA9"/>
    <w:rsid w:val="00903DDE"/>
    <w:rsid w:val="00906BBE"/>
    <w:rsid w:val="009128C4"/>
    <w:rsid w:val="00935538"/>
    <w:rsid w:val="009372BB"/>
    <w:rsid w:val="009457A3"/>
    <w:rsid w:val="009D4B8A"/>
    <w:rsid w:val="00A25056"/>
    <w:rsid w:val="00A73AE6"/>
    <w:rsid w:val="00A81A42"/>
    <w:rsid w:val="00A8667A"/>
    <w:rsid w:val="00AA5277"/>
    <w:rsid w:val="00AC2D20"/>
    <w:rsid w:val="00AD5E9D"/>
    <w:rsid w:val="00AD5F2D"/>
    <w:rsid w:val="00B16FB1"/>
    <w:rsid w:val="00B56D14"/>
    <w:rsid w:val="00B66D3C"/>
    <w:rsid w:val="00B906C7"/>
    <w:rsid w:val="00C07DA3"/>
    <w:rsid w:val="00C11820"/>
    <w:rsid w:val="00C5091F"/>
    <w:rsid w:val="00C50CEF"/>
    <w:rsid w:val="00C538D3"/>
    <w:rsid w:val="00C8239B"/>
    <w:rsid w:val="00C96CC5"/>
    <w:rsid w:val="00CA0F56"/>
    <w:rsid w:val="00CB7C2C"/>
    <w:rsid w:val="00CE7CDD"/>
    <w:rsid w:val="00CF1003"/>
    <w:rsid w:val="00D3306C"/>
    <w:rsid w:val="00D60E2E"/>
    <w:rsid w:val="00D61C09"/>
    <w:rsid w:val="00DB045F"/>
    <w:rsid w:val="00DC0D1E"/>
    <w:rsid w:val="00DD77DA"/>
    <w:rsid w:val="00E67A0F"/>
    <w:rsid w:val="00E82502"/>
    <w:rsid w:val="00E903A2"/>
    <w:rsid w:val="00E9134C"/>
    <w:rsid w:val="00EA6787"/>
    <w:rsid w:val="00EE5463"/>
    <w:rsid w:val="00EF1C61"/>
    <w:rsid w:val="00F45ADF"/>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styleId="UnresolvedMention">
    <w:name w:val="Unresolved Mention"/>
    <w:basedOn w:val="DefaultParagraphFont"/>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Props1.xml><?xml version="1.0" encoding="utf-8"?>
<ds:datastoreItem xmlns:ds="http://schemas.openxmlformats.org/officeDocument/2006/customXml" ds:itemID="{9CE5828F-CD11-45BB-844A-675855630FFC}">
  <ds:schemaRefs>
    <ds:schemaRef ds:uri="http://schemas.openxmlformats.org/officeDocument/2006/bibliography"/>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16</TotalTime>
  <Pages>5</Pages>
  <Words>1796</Words>
  <Characters>10238</Characters>
  <Application>Microsoft Office Word</Application>
  <DocSecurity>0</DocSecurity>
  <Lines>85</Lines>
  <Paragraphs>24</Paragraphs>
  <ScaleCrop>false</ScaleCrop>
  <Company>Qualcomm Inc.</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Gus</cp:lastModifiedBy>
  <cp:revision>6</cp:revision>
  <cp:lastPrinted>2014-11-07T07:38:00Z</cp:lastPrinted>
  <dcterms:created xsi:type="dcterms:W3CDTF">2020-12-08T02:46:00Z</dcterms:created>
  <dcterms:modified xsi:type="dcterms:W3CDTF">2020-12-08T03:01:00Z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