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BF3F7B">
        <w:tc>
          <w:tcPr>
            <w:tcW w:w="1413" w:type="dxa"/>
          </w:tcPr>
          <w:p w14:paraId="395A3D0D" w14:textId="77777777" w:rsidR="00C70F11" w:rsidRDefault="00C70F11" w:rsidP="00BF3F7B">
            <w:pPr>
              <w:pStyle w:val="TAL"/>
            </w:pPr>
            <w:r>
              <w:t>Ericsson</w:t>
            </w:r>
          </w:p>
        </w:tc>
        <w:tc>
          <w:tcPr>
            <w:tcW w:w="992" w:type="dxa"/>
          </w:tcPr>
          <w:p w14:paraId="55E4E514" w14:textId="77777777" w:rsidR="00C70F11" w:rsidRDefault="00C70F11" w:rsidP="00BF3F7B">
            <w:pPr>
              <w:pStyle w:val="TAL"/>
            </w:pPr>
            <w:r>
              <w:t>yes</w:t>
            </w:r>
          </w:p>
        </w:tc>
        <w:tc>
          <w:tcPr>
            <w:tcW w:w="7226" w:type="dxa"/>
          </w:tcPr>
          <w:p w14:paraId="49350370" w14:textId="77777777" w:rsidR="00C70F11" w:rsidRDefault="00C70F11" w:rsidP="00BF3F7B">
            <w:pPr>
              <w:pStyle w:val="TAL"/>
            </w:pPr>
            <w:r>
              <w:t>Support</w:t>
            </w:r>
          </w:p>
        </w:tc>
      </w:tr>
      <w:tr w:rsidR="00C70F11" w14:paraId="7DA83731" w14:textId="77777777" w:rsidTr="00274347">
        <w:tc>
          <w:tcPr>
            <w:tcW w:w="1413" w:type="dxa"/>
          </w:tcPr>
          <w:p w14:paraId="21085BDC" w14:textId="77777777" w:rsidR="00C70F11" w:rsidRDefault="00C70F11" w:rsidP="007E559A">
            <w:pPr>
              <w:pStyle w:val="TAL"/>
            </w:pPr>
          </w:p>
        </w:tc>
        <w:tc>
          <w:tcPr>
            <w:tcW w:w="992" w:type="dxa"/>
          </w:tcPr>
          <w:p w14:paraId="58B8D705" w14:textId="77777777" w:rsidR="00C70F11" w:rsidRDefault="00C70F11" w:rsidP="007E559A">
            <w:pPr>
              <w:pStyle w:val="TAL"/>
            </w:pPr>
          </w:p>
        </w:tc>
        <w:tc>
          <w:tcPr>
            <w:tcW w:w="7226" w:type="dxa"/>
          </w:tcPr>
          <w:p w14:paraId="461DBB53" w14:textId="77777777" w:rsidR="00C70F11" w:rsidRPr="00CB7A18" w:rsidRDefault="00C70F11" w:rsidP="007E559A">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lastRenderedPageBreak/>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BF3F7B">
        <w:tc>
          <w:tcPr>
            <w:tcW w:w="1413" w:type="dxa"/>
          </w:tcPr>
          <w:p w14:paraId="249E691D" w14:textId="77777777" w:rsidR="00EC7316" w:rsidRDefault="00EC7316" w:rsidP="00BF3F7B">
            <w:pPr>
              <w:pStyle w:val="TAL"/>
            </w:pPr>
            <w:r>
              <w:t>Ericsson</w:t>
            </w:r>
          </w:p>
        </w:tc>
        <w:tc>
          <w:tcPr>
            <w:tcW w:w="992" w:type="dxa"/>
          </w:tcPr>
          <w:p w14:paraId="6C334E3B" w14:textId="77777777" w:rsidR="00EC7316" w:rsidRDefault="00EC7316" w:rsidP="00BF3F7B">
            <w:pPr>
              <w:pStyle w:val="TAL"/>
            </w:pPr>
            <w:r>
              <w:t>Yes</w:t>
            </w:r>
          </w:p>
        </w:tc>
        <w:tc>
          <w:tcPr>
            <w:tcW w:w="7226" w:type="dxa"/>
          </w:tcPr>
          <w:p w14:paraId="074D1F54" w14:textId="77777777" w:rsidR="00EC7316" w:rsidRDefault="00EC7316" w:rsidP="00BF3F7B">
            <w:pPr>
              <w:pStyle w:val="TAL"/>
            </w:pPr>
            <w:r>
              <w:t xml:space="preserve">Support.  Regarding the note from CATT, we don’t think that down-selection will only take one meeting, so we suggest </w:t>
            </w:r>
            <w:proofErr w:type="gramStart"/>
            <w:r>
              <w:t>to remove</w:t>
            </w:r>
            <w:proofErr w:type="gramEnd"/>
            <w:r>
              <w:t xml:space="preserve"> “in RAN1#91e”</w:t>
            </w:r>
          </w:p>
        </w:tc>
      </w:tr>
      <w:tr w:rsidR="00EC7316" w14:paraId="7B166144" w14:textId="77777777" w:rsidTr="00C54A19">
        <w:tc>
          <w:tcPr>
            <w:tcW w:w="1413" w:type="dxa"/>
          </w:tcPr>
          <w:p w14:paraId="134D0399" w14:textId="77777777" w:rsidR="00EC7316" w:rsidRDefault="00EC7316" w:rsidP="007E559A">
            <w:pPr>
              <w:pStyle w:val="TAL"/>
            </w:pPr>
          </w:p>
        </w:tc>
        <w:tc>
          <w:tcPr>
            <w:tcW w:w="992" w:type="dxa"/>
          </w:tcPr>
          <w:p w14:paraId="0C8FC8C5" w14:textId="77777777" w:rsidR="00EC7316" w:rsidRDefault="00EC7316" w:rsidP="007E559A">
            <w:pPr>
              <w:pStyle w:val="TAL"/>
            </w:pPr>
          </w:p>
        </w:tc>
        <w:tc>
          <w:tcPr>
            <w:tcW w:w="7226" w:type="dxa"/>
          </w:tcPr>
          <w:p w14:paraId="0315EC49" w14:textId="77777777" w:rsidR="00EC7316" w:rsidRDefault="00EC7316" w:rsidP="007E559A">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4" w:name="OLE_LINK1"/>
            <w:r>
              <w:rPr>
                <w:rFonts w:eastAsia="SimSun" w:hint="eastAsia"/>
                <w:lang w:val="en-US" w:eastAsia="zh-CN"/>
              </w:rPr>
              <w:t xml:space="preserve"> implementation-based</w:t>
            </w:r>
            <w:bookmarkEnd w:id="4"/>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BF3F7B">
        <w:tc>
          <w:tcPr>
            <w:tcW w:w="1413" w:type="dxa"/>
          </w:tcPr>
          <w:p w14:paraId="7B60BF50" w14:textId="77777777" w:rsidR="00124FF2" w:rsidRDefault="00124FF2" w:rsidP="00BF3F7B">
            <w:pPr>
              <w:pStyle w:val="TAL"/>
            </w:pPr>
            <w:r>
              <w:t>Ericsson</w:t>
            </w:r>
          </w:p>
        </w:tc>
        <w:tc>
          <w:tcPr>
            <w:tcW w:w="992" w:type="dxa"/>
          </w:tcPr>
          <w:p w14:paraId="49984F55" w14:textId="77777777" w:rsidR="00124FF2" w:rsidRDefault="00124FF2" w:rsidP="00BF3F7B">
            <w:pPr>
              <w:pStyle w:val="TAL"/>
            </w:pPr>
            <w:r>
              <w:t>yes</w:t>
            </w:r>
          </w:p>
        </w:tc>
        <w:tc>
          <w:tcPr>
            <w:tcW w:w="7226" w:type="dxa"/>
          </w:tcPr>
          <w:p w14:paraId="73283FAD" w14:textId="77777777" w:rsidR="00124FF2" w:rsidRDefault="00124FF2" w:rsidP="00BF3F7B">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77777777" w:rsidR="00124FF2" w:rsidRDefault="00124FF2" w:rsidP="007E559A">
            <w:pPr>
              <w:pStyle w:val="TAL"/>
            </w:pPr>
          </w:p>
        </w:tc>
        <w:tc>
          <w:tcPr>
            <w:tcW w:w="992" w:type="dxa"/>
          </w:tcPr>
          <w:p w14:paraId="78E2D211" w14:textId="77777777" w:rsidR="00124FF2" w:rsidRDefault="00124FF2" w:rsidP="007E559A">
            <w:pPr>
              <w:pStyle w:val="TAL"/>
            </w:pPr>
          </w:p>
        </w:tc>
        <w:tc>
          <w:tcPr>
            <w:tcW w:w="7226" w:type="dxa"/>
          </w:tcPr>
          <w:p w14:paraId="30A1C79E" w14:textId="77777777" w:rsidR="00124FF2" w:rsidRDefault="00124FF2" w:rsidP="007E559A">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lastRenderedPageBreak/>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BF3F7B">
        <w:tc>
          <w:tcPr>
            <w:tcW w:w="1413" w:type="dxa"/>
          </w:tcPr>
          <w:p w14:paraId="0D55B5D8" w14:textId="77777777" w:rsidR="00037924" w:rsidRDefault="00037924" w:rsidP="00BF3F7B">
            <w:pPr>
              <w:pStyle w:val="TAL"/>
            </w:pPr>
            <w:r>
              <w:t>Ericsson</w:t>
            </w:r>
          </w:p>
        </w:tc>
        <w:tc>
          <w:tcPr>
            <w:tcW w:w="992" w:type="dxa"/>
          </w:tcPr>
          <w:p w14:paraId="2C2DDC9D" w14:textId="77777777" w:rsidR="00037924" w:rsidRDefault="00037924" w:rsidP="00BF3F7B">
            <w:pPr>
              <w:pStyle w:val="TAL"/>
            </w:pPr>
            <w:r>
              <w:t>No</w:t>
            </w:r>
          </w:p>
        </w:tc>
        <w:tc>
          <w:tcPr>
            <w:tcW w:w="7226" w:type="dxa"/>
          </w:tcPr>
          <w:p w14:paraId="76752EE6" w14:textId="77777777" w:rsidR="00037924" w:rsidRDefault="00037924" w:rsidP="00BF3F7B">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BF3F7B">
            <w:pPr>
              <w:pStyle w:val="TAL"/>
            </w:pPr>
          </w:p>
          <w:p w14:paraId="5EC9D4A2" w14:textId="77777777" w:rsidR="00037924" w:rsidRPr="00223CB5" w:rsidRDefault="00037924" w:rsidP="00BF3F7B">
            <w:pPr>
              <w:pStyle w:val="TAL"/>
            </w:pPr>
            <w:r w:rsidRPr="00396C42">
              <w:t>on the technical side, we have seen that</w:t>
            </w:r>
            <w:r>
              <w:t xml:space="preserve"> aggregation of </w:t>
            </w:r>
            <w:proofErr w:type="gramStart"/>
            <w:r>
              <w:t xml:space="preserve">PRS </w:t>
            </w:r>
            <w:r w:rsidRPr="00396C42">
              <w:t xml:space="preserve"> is</w:t>
            </w:r>
            <w:proofErr w:type="gramEnd"/>
            <w:r w:rsidRPr="00396C42">
              <w:t xml:space="preserve">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w:t>
            </w:r>
            <w:proofErr w:type="gramStart"/>
            <w:r w:rsidRPr="00223CB5">
              <w:t>is</w:t>
            </w:r>
            <w:proofErr w:type="gramEnd"/>
            <w:r w:rsidRPr="00223CB5">
              <w:t xml:space="preserve"> much tighter than what is needed for communication, which will limit adoptability for the majority of devices which are built for communication.     </w:t>
            </w:r>
          </w:p>
          <w:p w14:paraId="7FEF2A9B" w14:textId="77777777" w:rsidR="00037924" w:rsidRPr="00223CB5" w:rsidRDefault="00037924" w:rsidP="00BF3F7B">
            <w:pPr>
              <w:pStyle w:val="TAL"/>
            </w:pPr>
          </w:p>
          <w:p w14:paraId="154281C2" w14:textId="77777777" w:rsidR="00037924" w:rsidRPr="00223CB5" w:rsidRDefault="00037924" w:rsidP="00BF3F7B">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BF3F7B">
            <w:pPr>
              <w:pStyle w:val="TAL"/>
            </w:pPr>
          </w:p>
          <w:p w14:paraId="38F5DAF2" w14:textId="77777777" w:rsidR="00037924" w:rsidRDefault="00037924" w:rsidP="00BF3F7B">
            <w:pPr>
              <w:pStyle w:val="TAL"/>
            </w:pPr>
            <w:r w:rsidRPr="00223CB5">
              <w:t>This work requires heavy involvement of RAN4 RF and RRM groups right from the start. RAN4 is already struggling with Rel-16 core maintenance work and performance part including RRM test cases for positioning</w:t>
            </w:r>
            <w:r>
              <w:t>. In general,</w:t>
            </w:r>
            <w:bookmarkStart w:id="5" w:name="_GoBack"/>
            <w:bookmarkEnd w:id="5"/>
            <w:r>
              <w:t xml:space="preserve"> RAN4 </w:t>
            </w:r>
            <w:proofErr w:type="gramStart"/>
            <w:r>
              <w:t>work load</w:t>
            </w:r>
            <w:proofErr w:type="gramEnd"/>
            <w:r>
              <w:t xml:space="preserve"> is extremely high and realistically RAN4 cannot spend any meaningful time on this in Rel-17 timeframe. </w:t>
            </w:r>
          </w:p>
        </w:tc>
      </w:tr>
      <w:tr w:rsidR="00037924" w14:paraId="52A48A2D" w14:textId="77777777" w:rsidTr="00C54A19">
        <w:tc>
          <w:tcPr>
            <w:tcW w:w="1413" w:type="dxa"/>
          </w:tcPr>
          <w:p w14:paraId="3DF22AAF" w14:textId="77777777" w:rsidR="00037924" w:rsidRDefault="00037924" w:rsidP="007E559A">
            <w:pPr>
              <w:pStyle w:val="TAL"/>
            </w:pPr>
          </w:p>
        </w:tc>
        <w:tc>
          <w:tcPr>
            <w:tcW w:w="992" w:type="dxa"/>
          </w:tcPr>
          <w:p w14:paraId="0E5C4F33" w14:textId="77777777" w:rsidR="00037924" w:rsidRDefault="00037924" w:rsidP="007E559A">
            <w:pPr>
              <w:pStyle w:val="TAL"/>
            </w:pPr>
          </w:p>
        </w:tc>
        <w:tc>
          <w:tcPr>
            <w:tcW w:w="7226" w:type="dxa"/>
          </w:tcPr>
          <w:p w14:paraId="0656FFEB" w14:textId="77777777" w:rsidR="00037924" w:rsidRDefault="00037924" w:rsidP="007E559A">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BF3F7B">
        <w:tc>
          <w:tcPr>
            <w:tcW w:w="1413" w:type="dxa"/>
          </w:tcPr>
          <w:p w14:paraId="06306836" w14:textId="77777777" w:rsidR="00982ADA" w:rsidRDefault="00982ADA" w:rsidP="00BF3F7B">
            <w:pPr>
              <w:pStyle w:val="TAL"/>
            </w:pPr>
            <w:r>
              <w:t>Ericsson</w:t>
            </w:r>
          </w:p>
        </w:tc>
        <w:tc>
          <w:tcPr>
            <w:tcW w:w="992" w:type="dxa"/>
          </w:tcPr>
          <w:p w14:paraId="0A1A95DE" w14:textId="77777777" w:rsidR="00982ADA" w:rsidRDefault="00982ADA" w:rsidP="00BF3F7B">
            <w:pPr>
              <w:pStyle w:val="TAL"/>
            </w:pPr>
            <w:r>
              <w:t>No</w:t>
            </w:r>
          </w:p>
        </w:tc>
        <w:tc>
          <w:tcPr>
            <w:tcW w:w="7226" w:type="dxa"/>
          </w:tcPr>
          <w:p w14:paraId="38F42C9B" w14:textId="77777777" w:rsidR="00982ADA" w:rsidRPr="000B2702" w:rsidRDefault="00982ADA" w:rsidP="00BF3F7B">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BF3F7B">
            <w:pPr>
              <w:pStyle w:val="TAL"/>
            </w:pPr>
          </w:p>
          <w:p w14:paraId="226C7293" w14:textId="77777777" w:rsidR="00982ADA" w:rsidRPr="000B2702" w:rsidRDefault="00982ADA" w:rsidP="00BF3F7B">
            <w:pPr>
              <w:pStyle w:val="TAL"/>
            </w:pPr>
            <w:proofErr w:type="gramStart"/>
            <w:r w:rsidRPr="000B2702">
              <w:t>Also</w:t>
            </w:r>
            <w:proofErr w:type="gramEnd"/>
            <w:r w:rsidRPr="000B2702">
              <w:t xml:space="preserve">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BF3F7B">
            <w:pPr>
              <w:pStyle w:val="TAL"/>
            </w:pPr>
          </w:p>
          <w:p w14:paraId="45136DC3" w14:textId="77777777" w:rsidR="00982ADA" w:rsidRDefault="00982ADA" w:rsidP="00BF3F7B">
            <w:pPr>
              <w:pStyle w:val="TAL"/>
            </w:pPr>
            <w:r w:rsidRPr="000B2702">
              <w:t xml:space="preserve">This work also requires heavy involvement of RAN4 RF and RRM groups right from the start. RAN4 is already struggling with Rel-16 core maintenance work and performance part including RRM test cases for positioning. In </w:t>
            </w:r>
            <w:proofErr w:type="gramStart"/>
            <w:r w:rsidRPr="000B2702">
              <w:t>general</w:t>
            </w:r>
            <w:proofErr w:type="gramEnd"/>
            <w:r w:rsidRPr="000B2702">
              <w:t xml:space="preserve"> RAN4 work load is extremely high and realistically RAN4 cannot spend any meaningful time on this in Rel-17 timeframe.</w:t>
            </w:r>
          </w:p>
        </w:tc>
      </w:tr>
      <w:tr w:rsidR="00982ADA" w14:paraId="6377CE40" w14:textId="77777777" w:rsidTr="00C54A19">
        <w:tc>
          <w:tcPr>
            <w:tcW w:w="1413" w:type="dxa"/>
          </w:tcPr>
          <w:p w14:paraId="09297417" w14:textId="77777777" w:rsidR="00982ADA" w:rsidRDefault="00982ADA" w:rsidP="007E559A">
            <w:pPr>
              <w:pStyle w:val="TAL"/>
            </w:pPr>
          </w:p>
        </w:tc>
        <w:tc>
          <w:tcPr>
            <w:tcW w:w="992" w:type="dxa"/>
          </w:tcPr>
          <w:p w14:paraId="16574B1C" w14:textId="77777777" w:rsidR="00982ADA" w:rsidRDefault="00982ADA" w:rsidP="007E559A">
            <w:pPr>
              <w:pStyle w:val="TAL"/>
            </w:pPr>
          </w:p>
        </w:tc>
        <w:tc>
          <w:tcPr>
            <w:tcW w:w="7226" w:type="dxa"/>
          </w:tcPr>
          <w:p w14:paraId="2DE91FDB" w14:textId="77777777" w:rsidR="00982ADA" w:rsidRDefault="00982ADA" w:rsidP="007E559A">
            <w:pPr>
              <w:pStyle w:val="TAL"/>
              <w:spacing w:before="120" w:after="120"/>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lastRenderedPageBreak/>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BF3F7B">
        <w:tc>
          <w:tcPr>
            <w:tcW w:w="1413" w:type="dxa"/>
          </w:tcPr>
          <w:p w14:paraId="5937D8AA" w14:textId="77777777" w:rsidR="009C3FBB" w:rsidRDefault="009C3FBB" w:rsidP="00BF3F7B">
            <w:pPr>
              <w:pStyle w:val="TAL"/>
            </w:pPr>
            <w:r>
              <w:t>Ericsson</w:t>
            </w:r>
          </w:p>
        </w:tc>
        <w:tc>
          <w:tcPr>
            <w:tcW w:w="7226" w:type="dxa"/>
          </w:tcPr>
          <w:p w14:paraId="4E7FD81C" w14:textId="77777777" w:rsidR="009C3FBB" w:rsidRDefault="009C3FBB" w:rsidP="00BF3F7B">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BF3F7B">
            <w:pPr>
              <w:pStyle w:val="TAL"/>
            </w:pPr>
          </w:p>
        </w:tc>
      </w:tr>
      <w:tr w:rsidR="009C3FBB" w14:paraId="66CCC895" w14:textId="77777777" w:rsidTr="009C3FBB">
        <w:trPr>
          <w:trHeight w:val="416"/>
        </w:trPr>
        <w:tc>
          <w:tcPr>
            <w:tcW w:w="1413" w:type="dxa"/>
          </w:tcPr>
          <w:p w14:paraId="52079FC4" w14:textId="77777777" w:rsidR="009C3FBB" w:rsidRDefault="009C3FBB" w:rsidP="007E559A">
            <w:pPr>
              <w:pStyle w:val="TAL"/>
            </w:pPr>
          </w:p>
        </w:tc>
        <w:tc>
          <w:tcPr>
            <w:tcW w:w="7226" w:type="dxa"/>
          </w:tcPr>
          <w:p w14:paraId="0988F933" w14:textId="77777777" w:rsidR="009C3FBB" w:rsidRDefault="009C3FBB" w:rsidP="007E559A">
            <w:pPr>
              <w:pStyle w:val="TAL"/>
            </w:pPr>
          </w:p>
        </w:tc>
      </w:tr>
    </w:tbl>
    <w:p w14:paraId="31DE0137" w14:textId="2E01499C" w:rsidR="00363468" w:rsidRDefault="00363468" w:rsidP="00A17965"/>
    <w:p w14:paraId="5DD31888" w14:textId="7CAA7036" w:rsidR="00363468" w:rsidRDefault="00363468" w:rsidP="00363468">
      <w:pPr>
        <w:pStyle w:val="Heading3"/>
      </w:pPr>
      <w:r>
        <w:lastRenderedPageBreak/>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77777777"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77777777" w:rsidR="007E559A" w:rsidRDefault="007E559A" w:rsidP="007E559A">
            <w:pPr>
              <w:pStyle w:val="TAL"/>
            </w:pPr>
          </w:p>
        </w:tc>
        <w:tc>
          <w:tcPr>
            <w:tcW w:w="7226" w:type="dxa"/>
          </w:tcPr>
          <w:p w14:paraId="4240344E" w14:textId="77777777" w:rsidR="007E559A" w:rsidRDefault="007E559A" w:rsidP="007E559A">
            <w:pPr>
              <w:pStyle w:val="TAL"/>
            </w:pP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77777777" w:rsidR="007E559A" w:rsidRDefault="007E559A" w:rsidP="007E559A">
            <w:pPr>
              <w:pStyle w:val="TAL"/>
            </w:pPr>
          </w:p>
        </w:tc>
      </w:tr>
      <w:tr w:rsidR="007E559A" w14:paraId="47F80177" w14:textId="77777777" w:rsidTr="00C54A19">
        <w:tc>
          <w:tcPr>
            <w:tcW w:w="1413" w:type="dxa"/>
          </w:tcPr>
          <w:p w14:paraId="4E4C3B4A" w14:textId="77777777" w:rsidR="007E559A" w:rsidRDefault="007E559A" w:rsidP="007E559A">
            <w:pPr>
              <w:pStyle w:val="TAL"/>
            </w:pPr>
          </w:p>
        </w:tc>
        <w:tc>
          <w:tcPr>
            <w:tcW w:w="7226" w:type="dxa"/>
          </w:tcPr>
          <w:p w14:paraId="5D8B66EA" w14:textId="77777777" w:rsidR="007E559A" w:rsidRDefault="007E559A" w:rsidP="007E559A">
            <w:pPr>
              <w:pStyle w:val="TAL"/>
            </w:pPr>
          </w:p>
        </w:tc>
      </w:tr>
      <w:tr w:rsidR="007E559A" w14:paraId="3A91A728" w14:textId="77777777" w:rsidTr="00C54A19">
        <w:tc>
          <w:tcPr>
            <w:tcW w:w="1413" w:type="dxa"/>
          </w:tcPr>
          <w:p w14:paraId="105CFFA2" w14:textId="77777777" w:rsidR="007E559A" w:rsidRDefault="007E559A" w:rsidP="007E559A">
            <w:pPr>
              <w:pStyle w:val="TAL"/>
            </w:pPr>
          </w:p>
        </w:tc>
        <w:tc>
          <w:tcPr>
            <w:tcW w:w="7226" w:type="dxa"/>
          </w:tcPr>
          <w:p w14:paraId="5AC7B5AD" w14:textId="77777777" w:rsidR="007E559A" w:rsidRDefault="007E559A" w:rsidP="007E559A">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EC731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EC731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w:t>
            </w:r>
            <w:proofErr w:type="spellStart"/>
            <w:r w:rsidRPr="00EC7316">
              <w:rPr>
                <w:lang w:val="sv-SE"/>
              </w:rPr>
              <w:t>Zeng</w:t>
            </w:r>
            <w:proofErr w:type="spellEnd"/>
            <w:r w:rsidRPr="00EC7316">
              <w:rPr>
                <w:lang w:val="sv-SE"/>
              </w:rPr>
              <w:t xml:space="preserve"> (wzeng@apple.com), Ali </w:t>
            </w:r>
            <w:proofErr w:type="spellStart"/>
            <w:r w:rsidRPr="00EC7316">
              <w:rPr>
                <w:lang w:val="sv-SE"/>
              </w:rPr>
              <w:t>Fakoorian</w:t>
            </w:r>
            <w:proofErr w:type="spellEnd"/>
            <w:r w:rsidRPr="00EC7316">
              <w:rPr>
                <w:lang w:val="sv-SE"/>
              </w:rP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BF3F7B">
        <w:tc>
          <w:tcPr>
            <w:tcW w:w="1696" w:type="dxa"/>
          </w:tcPr>
          <w:p w14:paraId="5A12E625" w14:textId="77777777" w:rsidR="00F91D74" w:rsidRDefault="00F91D74" w:rsidP="00BF3F7B">
            <w:pPr>
              <w:pStyle w:val="TAL"/>
            </w:pPr>
            <w:r>
              <w:t>Ericsson</w:t>
            </w:r>
          </w:p>
        </w:tc>
        <w:tc>
          <w:tcPr>
            <w:tcW w:w="7935" w:type="dxa"/>
          </w:tcPr>
          <w:p w14:paraId="2213F6E1" w14:textId="194845D1" w:rsidR="00F91D74" w:rsidRDefault="00F91D74" w:rsidP="00BF3F7B">
            <w:pPr>
              <w:pStyle w:val="TAL"/>
            </w:pPr>
            <w:r>
              <w:t>Florent Munier (</w:t>
            </w:r>
            <w:r w:rsidRPr="00F91D74">
              <w:t>florent.munier@ericsson.com</w:t>
            </w:r>
            <w:r>
              <w:t xml:space="preserve">) </w:t>
            </w:r>
          </w:p>
        </w:tc>
      </w:tr>
      <w:tr w:rsidR="00F91D74" w14:paraId="34AFDF36" w14:textId="77777777" w:rsidTr="00C54A19">
        <w:tc>
          <w:tcPr>
            <w:tcW w:w="1696" w:type="dxa"/>
          </w:tcPr>
          <w:p w14:paraId="4E4D4E05" w14:textId="77777777" w:rsidR="00F91D74" w:rsidRDefault="00F91D74" w:rsidP="004E004C">
            <w:pPr>
              <w:pStyle w:val="TAL"/>
            </w:pPr>
          </w:p>
        </w:tc>
        <w:tc>
          <w:tcPr>
            <w:tcW w:w="7935" w:type="dxa"/>
          </w:tcPr>
          <w:p w14:paraId="06B6FA60" w14:textId="77777777" w:rsidR="00F91D74" w:rsidRDefault="00F91D74" w:rsidP="004E004C">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AC1A" w14:textId="77777777" w:rsidR="005A4EF8" w:rsidRDefault="005A4EF8">
      <w:r>
        <w:separator/>
      </w:r>
    </w:p>
  </w:endnote>
  <w:endnote w:type="continuationSeparator" w:id="0">
    <w:p w14:paraId="3118C37C" w14:textId="77777777" w:rsidR="005A4EF8" w:rsidRDefault="005A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75B0" w14:textId="77777777" w:rsidR="005A4EF8" w:rsidRDefault="005A4EF8">
      <w:r>
        <w:separator/>
      </w:r>
    </w:p>
  </w:footnote>
  <w:footnote w:type="continuationSeparator" w:id="0">
    <w:p w14:paraId="617D7E80" w14:textId="77777777" w:rsidR="005A4EF8" w:rsidRDefault="005A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37924"/>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4FF2"/>
    <w:rsid w:val="001255F0"/>
    <w:rsid w:val="001259E9"/>
    <w:rsid w:val="00145984"/>
    <w:rsid w:val="001474DC"/>
    <w:rsid w:val="0015024A"/>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EF8"/>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70F11"/>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367BE"/>
    <w:rsid w:val="00E40681"/>
    <w:rsid w:val="00E45C79"/>
    <w:rsid w:val="00E7095A"/>
    <w:rsid w:val="00E77645"/>
    <w:rsid w:val="00EA03E3"/>
    <w:rsid w:val="00EA3073"/>
    <w:rsid w:val="00EB266A"/>
    <w:rsid w:val="00EB5463"/>
    <w:rsid w:val="00EB61D7"/>
    <w:rsid w:val="00EC4A25"/>
    <w:rsid w:val="00EC7316"/>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1D74"/>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45D8A4-A3E3-4C2E-9454-2F68E0F6398F}">
  <ds:schemaRefs>
    <ds:schemaRef ds:uri="http://schemas.openxmlformats.org/officeDocument/2006/bibliography"/>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TotalTime>
  <Pages>11</Pages>
  <Words>4576</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28929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TR rapporteur (Ericsson) v2</cp:lastModifiedBy>
  <cp:revision>12</cp:revision>
  <dcterms:created xsi:type="dcterms:W3CDTF">2020-12-08T08:01:00Z</dcterms:created>
  <dcterms:modified xsi:type="dcterms:W3CDTF">2020-12-08T10:06:00Z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