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宋体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5-e</w:t>
      </w:r>
      <w:r>
        <w:rPr>
          <w:rFonts w:hint="eastAsia" w:ascii="Arial" w:hAnsi="Arial" w:eastAsia="宋体"/>
          <w:b/>
          <w:bCs/>
          <w:sz w:val="24"/>
          <w:szCs w:val="24"/>
        </w:rPr>
        <w:tab/>
      </w:r>
      <w:r>
        <w:rPr>
          <w:rFonts w:hint="eastAsia" w:ascii="Arial" w:hAnsi="Arial" w:eastAsia="宋体"/>
          <w:b/>
          <w:bCs/>
          <w:sz w:val="24"/>
          <w:szCs w:val="24"/>
        </w:rPr>
        <w:t>R4-2006892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0708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TCI state switch delay R16 Cat 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20-06-05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  <w:bookmarkStart w:id="4" w:name="_GoBack"/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the current spec, when the TCI state switching involves QCL-TypeD (with SSB based L1-RSRP measurement) and other types, the value of </w:t>
            </w:r>
            <w:r>
              <w:rPr>
                <w:lang w:val="en-US" w:eastAsia="zh-CN"/>
              </w:rPr>
              <w:t>TO</w:t>
            </w:r>
            <w:r>
              <w:rPr>
                <w:vertAlign w:val="subscript"/>
                <w:lang w:val="en-US" w:eastAsia="zh-CN"/>
              </w:rPr>
              <w:t>uk</w:t>
            </w:r>
            <w:r>
              <w:rPr>
                <w:rFonts w:hint="eastAsia" w:eastAsia="宋体"/>
                <w:lang w:val="en-US" w:eastAsia="zh-CN"/>
              </w:rPr>
              <w:t xml:space="preserve"> is unclear since this situation falls into both categories when judging the value of </w:t>
            </w:r>
            <w:r>
              <w:rPr>
                <w:lang w:val="en-US" w:eastAsia="zh-CN"/>
              </w:rPr>
              <w:t>TO</w:t>
            </w:r>
            <w:r>
              <w:rPr>
                <w:vertAlign w:val="subscript"/>
                <w:lang w:val="en-US" w:eastAsia="zh-CN"/>
              </w:rPr>
              <w:t>uk</w:t>
            </w:r>
            <w:r>
              <w:rPr>
                <w:rFonts w:hint="eastAsia"/>
                <w:vertAlign w:val="baseline"/>
                <w:lang w:val="en-US" w:eastAsia="zh-CN"/>
              </w:rPr>
              <w:t>: (below is copy-paste from the current spec)</w:t>
            </w:r>
          </w:p>
          <w:p>
            <w:pPr>
              <w:pStyle w:val="77"/>
              <w:rPr>
                <w:lang w:val="en-US" w:eastAsia="zh-CN"/>
              </w:rPr>
            </w:pPr>
            <w:r>
              <w:rPr>
                <w:lang w:val="en-US" w:eastAsia="zh-CN"/>
              </w:rPr>
              <w:t>TO</w:t>
            </w:r>
            <w:r>
              <w:rPr>
                <w:vertAlign w:val="subscript"/>
                <w:lang w:val="en-US" w:eastAsia="zh-CN"/>
              </w:rPr>
              <w:t>uk</w:t>
            </w:r>
            <w:r>
              <w:rPr>
                <w:lang w:val="en-US" w:eastAsia="zh-CN"/>
              </w:rPr>
              <w:t xml:space="preserve"> = 1 for CSI-RS based L1-RSRP measurement, and 0 for SSB based L1-RSRP measurement when TCI state switching involves QCL-TypeD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firstLine="21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  <w:t>TO</w:t>
            </w:r>
            <w:r>
              <w:rPr>
                <w:rFonts w:ascii="Times New Roman" w:hAnsi="Times New Roman" w:eastAsia="Times New Roman" w:cs="Times New Roman"/>
                <w:sz w:val="21"/>
                <w:szCs w:val="22"/>
                <w:vertAlign w:val="subscript"/>
                <w:lang w:val="en-US" w:eastAsia="zh-CN" w:bidi="ar-SA"/>
              </w:rPr>
              <w:t>uk</w:t>
            </w:r>
            <w:r>
              <w:rPr>
                <w:rFonts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  <w:t xml:space="preserve"> = 1 when TCI state switching involves other QCL types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To make this clear, we propose to clarify that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lang w:val="en-US" w:eastAsia="zh-CN"/>
              </w:rPr>
              <w:t>TO</w:t>
            </w:r>
            <w:r>
              <w:rPr>
                <w:vertAlign w:val="subscript"/>
                <w:lang w:val="en-US" w:eastAsia="zh-CN"/>
              </w:rPr>
              <w:t>uk</w:t>
            </w:r>
            <w:r>
              <w:rPr>
                <w:lang w:val="en-US" w:eastAsia="zh-CN"/>
              </w:rPr>
              <w:t xml:space="preserve"> = 1 when TCI state switching involves other QCL type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rPr>
                <w:rFonts w:hint="eastAsia"/>
                <w:highlight w:val="cyan"/>
                <w:lang w:val="en-US" w:eastAsia="zh-CN"/>
              </w:rPr>
              <w:t>only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description is not clear what the value of </w:t>
            </w:r>
            <w:r>
              <w:rPr>
                <w:lang w:val="en-US" w:eastAsia="zh-CN"/>
              </w:rPr>
              <w:t>TO</w:t>
            </w:r>
            <w:r>
              <w:rPr>
                <w:vertAlign w:val="subscript"/>
                <w:lang w:val="en-US" w:eastAsia="zh-CN"/>
              </w:rPr>
              <w:t>uk</w:t>
            </w:r>
            <w:r>
              <w:rPr>
                <w:rFonts w:hint="eastAsia" w:eastAsia="宋体"/>
                <w:lang w:val="en-US" w:eastAsia="zh-CN"/>
              </w:rPr>
              <w:t xml:space="preserve"> if TCI state switching involves both QCL-TypeD and other QCL types.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R4-2006891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spacing w:after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8.10.3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MAC-CE based TCI state switch delay</w:t>
      </w:r>
    </w:p>
    <w:p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>3 ms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>3 ms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</w:p>
    <w:p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Where </w:t>
      </w:r>
      <w:r>
        <w:t>T</w:t>
      </w:r>
      <w:r>
        <w:rPr>
          <w:vertAlign w:val="subscript"/>
        </w:rPr>
        <w:t>HARQ</w:t>
      </w:r>
      <w:r>
        <w:t xml:space="preserve"> is the timing between DL data transmission and acknowledgement as specified in TS 38.</w:t>
      </w:r>
      <w:r>
        <w:rPr>
          <w:rFonts w:hint="eastAsia"/>
          <w:lang w:val="en-US" w:eastAsia="zh-CN"/>
        </w:rPr>
        <w:t>213</w:t>
      </w:r>
      <w:r>
        <w:t> [</w:t>
      </w:r>
      <w:r>
        <w:rPr>
          <w:rFonts w:hint="eastAsia"/>
          <w:lang w:val="en-US" w:eastAsia="zh-CN"/>
        </w:rPr>
        <w:t>3</w:t>
      </w:r>
      <w:r>
        <w:t>]</w:t>
      </w:r>
      <w:r>
        <w:rPr>
          <w:rFonts w:eastAsia="Malgun Gothic"/>
          <w:lang w:val="en-US" w:eastAsia="zh-CN"/>
        </w:rPr>
        <w:t xml:space="preserve">; </w:t>
      </w:r>
    </w:p>
    <w:p>
      <w:pPr>
        <w:ind w:left="568" w:firstLine="152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after MAC CE command is decoded by the UE; </w:t>
      </w:r>
    </w:p>
    <w:p>
      <w:pPr>
        <w:ind w:firstLine="720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 xml:space="preserve">= 2 ms; </w:t>
      </w:r>
    </w:p>
    <w:p>
      <w:pPr>
        <w:ind w:firstLine="720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 xml:space="preserve">3 ms +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 xml:space="preserve">3 ms+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</w:p>
    <w:p>
      <w:pPr>
        <w:rPr>
          <w:lang w:eastAsia="en-GB"/>
        </w:rPr>
      </w:pPr>
      <w:r>
        <w:rPr>
          <w:lang w:eastAsia="en-GB"/>
        </w:rPr>
        <w:t>Where T</w:t>
      </w:r>
      <w:r>
        <w:rPr>
          <w:vertAlign w:val="subscript"/>
          <w:lang w:eastAsia="en-GB"/>
        </w:rPr>
        <w:t xml:space="preserve"> L1-RSRP</w:t>
      </w:r>
      <w:r>
        <w:rPr>
          <w:lang w:eastAsia="en-GB"/>
        </w:rPr>
        <w:t xml:space="preserve"> is the time for L1-RSRP measurement for Rx beam refinement, defined as</w:t>
      </w:r>
    </w:p>
    <w:p>
      <w:pPr>
        <w:pStyle w:val="77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</w:t>
      </w:r>
      <w:r>
        <w:rPr>
          <w:lang w:eastAsia="en-GB"/>
        </w:rPr>
        <w:t xml:space="preserve"> for SSB</w:t>
      </w:r>
      <w:r>
        <w:t xml:space="preserve">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</w:t>
      </w:r>
    </w:p>
    <w:p>
      <w:pPr>
        <w:ind w:left="568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with the assumption of M=1</w:t>
      </w:r>
    </w:p>
    <w:p>
      <w:pPr>
        <w:ind w:left="852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with T</w:t>
      </w:r>
      <w:r>
        <w:rPr>
          <w:vertAlign w:val="subscript"/>
          <w:lang w:eastAsia="en-GB"/>
        </w:rPr>
        <w:t>Report</w:t>
      </w:r>
      <w:r>
        <w:rPr>
          <w:lang w:eastAsia="en-GB"/>
        </w:rPr>
        <w:t xml:space="preserve"> = 0</w:t>
      </w:r>
    </w:p>
    <w:p>
      <w:pPr>
        <w:ind w:left="568" w:hanging="284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>
      <w:pPr>
        <w:ind w:left="851" w:hanging="284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>
      <w:pPr>
        <w:pStyle w:val="78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r>
        <w:rPr>
          <w:i/>
          <w:lang w:eastAsia="en-GB"/>
        </w:rPr>
        <w:t>MaxNumberRxBeam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with T</w:t>
      </w:r>
      <w:r>
        <w:rPr>
          <w:vertAlign w:val="subscript"/>
          <w:lang w:eastAsia="en-GB"/>
        </w:rPr>
        <w:t>Report</w:t>
      </w:r>
      <w:r>
        <w:rPr>
          <w:lang w:eastAsia="en-GB"/>
        </w:rPr>
        <w:t xml:space="preserve"> = 0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r>
        <w:rPr>
          <w:lang w:val="en-US" w:eastAsia="zh-CN"/>
        </w:rPr>
        <w:t xml:space="preserve"> = 1 for CSI-RS based L1-RSRP measurement, and 0 for SSB based L1-RSRP measurement when TCI state switching involves QCL-TypeD</w:t>
      </w:r>
    </w:p>
    <w:p>
      <w:pPr>
        <w:ind w:left="568" w:hanging="284"/>
        <w:rPr>
          <w:rFonts w:hint="default"/>
          <w:lang w:val="en-US" w:eastAsia="zh-CN"/>
        </w:rPr>
      </w:pPr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r>
        <w:rPr>
          <w:lang w:val="en-US" w:eastAsia="zh-CN"/>
        </w:rPr>
        <w:t xml:space="preserve"> = 1 when TCI state switching involves other QCL types</w:t>
      </w:r>
      <w:ins w:id="0" w:author="Ricky (ZTE)" w:date="2020-05-15T14:55:28Z">
        <w:r>
          <w:rPr>
            <w:rFonts w:hint="eastAsia"/>
            <w:lang w:val="en-US" w:eastAsia="zh-CN"/>
          </w:rPr>
          <w:t xml:space="preserve"> only</w:t>
        </w:r>
      </w:ins>
    </w:p>
    <w:p>
      <w:pPr>
        <w:rPr>
          <w:lang w:val="en-US"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</w:t>
      </w:r>
      <w:r>
        <w:rPr>
          <w:lang w:eastAsia="en-GB"/>
        </w:rPr>
        <w:t xml:space="preserve"> = 0 for SSB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in FR2 and T</w:t>
      </w:r>
      <w:r>
        <w:rPr>
          <w:vertAlign w:val="subscript"/>
          <w:lang w:eastAsia="en-GB"/>
        </w:rPr>
        <w:t>L1-RSRP_Measurement_Period_CSI-RS</w:t>
      </w:r>
      <w:r>
        <w:rPr>
          <w:lang w:eastAsia="en-GB"/>
        </w:rPr>
        <w:t xml:space="preserve"> = 0 for CSI-RS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in FR2, provided that</w:t>
      </w:r>
      <w:r>
        <w:rPr>
          <w:lang w:val="en-US" w:eastAsia="zh-CN"/>
        </w:rPr>
        <w:t xml:space="preserve"> the TCI state switching involves QCL-TypeA, QCL-TypeB or QCL-TypeC only.</w:t>
      </w:r>
    </w:p>
    <w:p>
      <w:pPr>
        <w:ind w:left="284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after L1-RSRP measurement when TCI state switching involves QCL-TypeD; </w:t>
      </w:r>
    </w:p>
    <w:p>
      <w:pPr>
        <w:ind w:left="284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MAC CE command is decoded by the UE for other QCL types;</w:t>
      </w:r>
    </w:p>
    <w:p>
      <w:pPr>
        <w:ind w:left="568"/>
        <w:rPr>
          <w:lang w:val="en-US" w:eastAsia="zh-CN"/>
        </w:rPr>
      </w:pPr>
      <w:r>
        <w:rPr>
          <w:lang w:val="en-US" w:eastAsia="zh-CN"/>
        </w:rPr>
        <w:t>The SSB shall be the QCL-TypeA or QCL-TypeC to target TCI state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During MAC-CE based TCI state switch the UE is allowed an interruption due to one shot timing adjustment on the serving or any activated serving cells as defined in </w:t>
      </w:r>
      <w:r>
        <w:rPr>
          <w:lang w:val="en-US" w:eastAsia="ko-KR"/>
        </w:rPr>
        <w:t>clause</w:t>
      </w:r>
      <w:r>
        <w:rPr>
          <w:lang w:val="en-US" w:eastAsia="zh-CN"/>
        </w:rPr>
        <w:t xml:space="preserve"> 8.2.</w:t>
      </w:r>
    </w:p>
    <w:p>
      <w:pPr>
        <w:spacing w:after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</w:t>
      </w:r>
      <w:r>
        <w:rPr>
          <w:i/>
          <w:color w:val="0000FF"/>
          <w:lang w:eastAsia="zh-CN"/>
        </w:rPr>
        <w:t xml:space="preserve"> of the change&gt;</w:t>
      </w:r>
    </w:p>
    <w:p>
      <w:pPr>
        <w:rPr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72A27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22DA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A5AD8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C69A4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3539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374914"/>
    <w:rsid w:val="02797BCC"/>
    <w:rsid w:val="028F6BE0"/>
    <w:rsid w:val="02AD0989"/>
    <w:rsid w:val="03A17E5D"/>
    <w:rsid w:val="055A1D74"/>
    <w:rsid w:val="05772EC5"/>
    <w:rsid w:val="06502056"/>
    <w:rsid w:val="066B03D9"/>
    <w:rsid w:val="07382D93"/>
    <w:rsid w:val="074337BD"/>
    <w:rsid w:val="07754619"/>
    <w:rsid w:val="07C50F04"/>
    <w:rsid w:val="08EA733E"/>
    <w:rsid w:val="090F5A3B"/>
    <w:rsid w:val="095E54E9"/>
    <w:rsid w:val="0A09114A"/>
    <w:rsid w:val="0A291971"/>
    <w:rsid w:val="0A3D578A"/>
    <w:rsid w:val="0A6B7E10"/>
    <w:rsid w:val="0ABA6321"/>
    <w:rsid w:val="0AE64AC5"/>
    <w:rsid w:val="0B6344E3"/>
    <w:rsid w:val="0BA8118E"/>
    <w:rsid w:val="0BD2637C"/>
    <w:rsid w:val="0CA74CC0"/>
    <w:rsid w:val="0E127D22"/>
    <w:rsid w:val="0EC40E08"/>
    <w:rsid w:val="0EDE344F"/>
    <w:rsid w:val="0F0634D0"/>
    <w:rsid w:val="11E72FC4"/>
    <w:rsid w:val="122B19E4"/>
    <w:rsid w:val="13390223"/>
    <w:rsid w:val="14D53AFA"/>
    <w:rsid w:val="14F113A9"/>
    <w:rsid w:val="15366EE5"/>
    <w:rsid w:val="17177451"/>
    <w:rsid w:val="17A550A3"/>
    <w:rsid w:val="18823DD2"/>
    <w:rsid w:val="18F05F9F"/>
    <w:rsid w:val="19B165BD"/>
    <w:rsid w:val="1A003D9E"/>
    <w:rsid w:val="1A18265A"/>
    <w:rsid w:val="1BA23C14"/>
    <w:rsid w:val="1C3A3E10"/>
    <w:rsid w:val="1D4A57DF"/>
    <w:rsid w:val="1D7E0E0F"/>
    <w:rsid w:val="1E397B71"/>
    <w:rsid w:val="1EC61A5F"/>
    <w:rsid w:val="200B21A4"/>
    <w:rsid w:val="22182808"/>
    <w:rsid w:val="227434BA"/>
    <w:rsid w:val="22837FFD"/>
    <w:rsid w:val="232400C0"/>
    <w:rsid w:val="23672910"/>
    <w:rsid w:val="238F0684"/>
    <w:rsid w:val="23F51C47"/>
    <w:rsid w:val="245E7C70"/>
    <w:rsid w:val="249F6226"/>
    <w:rsid w:val="24A333D2"/>
    <w:rsid w:val="24CE1BB4"/>
    <w:rsid w:val="252E1BB3"/>
    <w:rsid w:val="25B34A9F"/>
    <w:rsid w:val="25ED1032"/>
    <w:rsid w:val="26463596"/>
    <w:rsid w:val="26B7330C"/>
    <w:rsid w:val="26DF76E0"/>
    <w:rsid w:val="26E17DD3"/>
    <w:rsid w:val="27586709"/>
    <w:rsid w:val="27975465"/>
    <w:rsid w:val="282D1F81"/>
    <w:rsid w:val="287E1F27"/>
    <w:rsid w:val="298D0175"/>
    <w:rsid w:val="2B344457"/>
    <w:rsid w:val="2C303E19"/>
    <w:rsid w:val="2C6E6F0A"/>
    <w:rsid w:val="2CB735B1"/>
    <w:rsid w:val="2CF73A08"/>
    <w:rsid w:val="2DE03061"/>
    <w:rsid w:val="2DF40B77"/>
    <w:rsid w:val="2E591316"/>
    <w:rsid w:val="2E595D72"/>
    <w:rsid w:val="2EAC3CE7"/>
    <w:rsid w:val="2FCE68D6"/>
    <w:rsid w:val="305F0602"/>
    <w:rsid w:val="3087217A"/>
    <w:rsid w:val="308D7B9D"/>
    <w:rsid w:val="310615BA"/>
    <w:rsid w:val="311F43A8"/>
    <w:rsid w:val="31551B86"/>
    <w:rsid w:val="31F079CE"/>
    <w:rsid w:val="32103AB3"/>
    <w:rsid w:val="327335BE"/>
    <w:rsid w:val="343A645B"/>
    <w:rsid w:val="348C798B"/>
    <w:rsid w:val="34FE023D"/>
    <w:rsid w:val="35071B7E"/>
    <w:rsid w:val="358F55D8"/>
    <w:rsid w:val="35BF1749"/>
    <w:rsid w:val="36B0344B"/>
    <w:rsid w:val="36B1577E"/>
    <w:rsid w:val="37186A41"/>
    <w:rsid w:val="38656379"/>
    <w:rsid w:val="38AB65ED"/>
    <w:rsid w:val="3977587D"/>
    <w:rsid w:val="39E84AA9"/>
    <w:rsid w:val="39EB3446"/>
    <w:rsid w:val="3AD64197"/>
    <w:rsid w:val="3BD3304D"/>
    <w:rsid w:val="3C301F95"/>
    <w:rsid w:val="3DFC1C70"/>
    <w:rsid w:val="3E686C5A"/>
    <w:rsid w:val="3F627A1B"/>
    <w:rsid w:val="3F6B3CD4"/>
    <w:rsid w:val="3F6B6AA5"/>
    <w:rsid w:val="3F953FE5"/>
    <w:rsid w:val="3FA22AAB"/>
    <w:rsid w:val="3FB71173"/>
    <w:rsid w:val="404C070C"/>
    <w:rsid w:val="405D6EC6"/>
    <w:rsid w:val="409C6A43"/>
    <w:rsid w:val="41244CD5"/>
    <w:rsid w:val="41263D90"/>
    <w:rsid w:val="41330569"/>
    <w:rsid w:val="414F576A"/>
    <w:rsid w:val="42717868"/>
    <w:rsid w:val="42CB2C80"/>
    <w:rsid w:val="42DA4C03"/>
    <w:rsid w:val="43561BEB"/>
    <w:rsid w:val="43D41821"/>
    <w:rsid w:val="44FA1E4B"/>
    <w:rsid w:val="45662FE1"/>
    <w:rsid w:val="45BC0414"/>
    <w:rsid w:val="460A7131"/>
    <w:rsid w:val="46635CC8"/>
    <w:rsid w:val="47185708"/>
    <w:rsid w:val="473E4809"/>
    <w:rsid w:val="48645079"/>
    <w:rsid w:val="486A1624"/>
    <w:rsid w:val="48A01377"/>
    <w:rsid w:val="49D00D3C"/>
    <w:rsid w:val="4A185BDF"/>
    <w:rsid w:val="4A55249E"/>
    <w:rsid w:val="4A5F0B07"/>
    <w:rsid w:val="4B252680"/>
    <w:rsid w:val="4B4B3B1C"/>
    <w:rsid w:val="4B8657BB"/>
    <w:rsid w:val="4BE53E68"/>
    <w:rsid w:val="4D775854"/>
    <w:rsid w:val="4D9E7DF9"/>
    <w:rsid w:val="4DD74D3E"/>
    <w:rsid w:val="4E220F17"/>
    <w:rsid w:val="4F1F359E"/>
    <w:rsid w:val="4F971D59"/>
    <w:rsid w:val="50771672"/>
    <w:rsid w:val="50D86EB5"/>
    <w:rsid w:val="51473B6E"/>
    <w:rsid w:val="51AD1800"/>
    <w:rsid w:val="51BD1AA8"/>
    <w:rsid w:val="51D95274"/>
    <w:rsid w:val="51F14A54"/>
    <w:rsid w:val="51FD7227"/>
    <w:rsid w:val="52A32397"/>
    <w:rsid w:val="54255427"/>
    <w:rsid w:val="54D849EA"/>
    <w:rsid w:val="552D6047"/>
    <w:rsid w:val="559C5849"/>
    <w:rsid w:val="55CE0C36"/>
    <w:rsid w:val="55D54EC2"/>
    <w:rsid w:val="561A1CB0"/>
    <w:rsid w:val="562E66F9"/>
    <w:rsid w:val="56416487"/>
    <w:rsid w:val="569432D2"/>
    <w:rsid w:val="569A6698"/>
    <w:rsid w:val="569D7A18"/>
    <w:rsid w:val="576D5960"/>
    <w:rsid w:val="57820B1C"/>
    <w:rsid w:val="586405B0"/>
    <w:rsid w:val="589D382E"/>
    <w:rsid w:val="59225598"/>
    <w:rsid w:val="59EC2E3F"/>
    <w:rsid w:val="5AF42129"/>
    <w:rsid w:val="5D8A6039"/>
    <w:rsid w:val="5DCA2F88"/>
    <w:rsid w:val="5EFD7D90"/>
    <w:rsid w:val="607B15DB"/>
    <w:rsid w:val="609154D5"/>
    <w:rsid w:val="60C82786"/>
    <w:rsid w:val="61092D41"/>
    <w:rsid w:val="61685960"/>
    <w:rsid w:val="620D2922"/>
    <w:rsid w:val="622738F8"/>
    <w:rsid w:val="622C332F"/>
    <w:rsid w:val="62341D15"/>
    <w:rsid w:val="64975D0F"/>
    <w:rsid w:val="649C3928"/>
    <w:rsid w:val="66D670D0"/>
    <w:rsid w:val="66F7391C"/>
    <w:rsid w:val="6713574F"/>
    <w:rsid w:val="67516E60"/>
    <w:rsid w:val="69131FCE"/>
    <w:rsid w:val="69363896"/>
    <w:rsid w:val="69F06389"/>
    <w:rsid w:val="6A990705"/>
    <w:rsid w:val="6B41339C"/>
    <w:rsid w:val="6B5A5904"/>
    <w:rsid w:val="6B7041D4"/>
    <w:rsid w:val="6C0035E6"/>
    <w:rsid w:val="6C04282B"/>
    <w:rsid w:val="6D2A72F9"/>
    <w:rsid w:val="6D7056C0"/>
    <w:rsid w:val="6DB71ACA"/>
    <w:rsid w:val="6DEF7A6F"/>
    <w:rsid w:val="6ED109B4"/>
    <w:rsid w:val="6F116AC2"/>
    <w:rsid w:val="6F2339D7"/>
    <w:rsid w:val="6F48399A"/>
    <w:rsid w:val="6F6B5E81"/>
    <w:rsid w:val="703135D7"/>
    <w:rsid w:val="70A43AA0"/>
    <w:rsid w:val="70C8173E"/>
    <w:rsid w:val="70D607EB"/>
    <w:rsid w:val="724C6614"/>
    <w:rsid w:val="7275384B"/>
    <w:rsid w:val="73183E88"/>
    <w:rsid w:val="73336DB2"/>
    <w:rsid w:val="7351563A"/>
    <w:rsid w:val="73585386"/>
    <w:rsid w:val="73954C7F"/>
    <w:rsid w:val="74B22C1A"/>
    <w:rsid w:val="752D267E"/>
    <w:rsid w:val="75591262"/>
    <w:rsid w:val="75A178A3"/>
    <w:rsid w:val="75CC0637"/>
    <w:rsid w:val="75D46A98"/>
    <w:rsid w:val="75EA458A"/>
    <w:rsid w:val="77793C6F"/>
    <w:rsid w:val="778A5CF6"/>
    <w:rsid w:val="77E409F0"/>
    <w:rsid w:val="7842678A"/>
    <w:rsid w:val="78FC7DDF"/>
    <w:rsid w:val="792D2A85"/>
    <w:rsid w:val="796C2DDF"/>
    <w:rsid w:val="79910086"/>
    <w:rsid w:val="7AB2148E"/>
    <w:rsid w:val="7B250918"/>
    <w:rsid w:val="7B391A4A"/>
    <w:rsid w:val="7C544E68"/>
    <w:rsid w:val="7CD22C6E"/>
    <w:rsid w:val="7D95705D"/>
    <w:rsid w:val="7DBA48EA"/>
    <w:rsid w:val="7E12214C"/>
    <w:rsid w:val="7E5F63A8"/>
    <w:rsid w:val="7E9E2296"/>
    <w:rsid w:val="7EAA5061"/>
    <w:rsid w:val="7F037B69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正文文本 字符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标题 5 字符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标题 6 字符"/>
    <w:basedOn w:val="43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8361D9-E243-49B2-BA53-D671374C74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5257</Words>
  <Characters>29967</Characters>
  <Lines>249</Lines>
  <Paragraphs>70</Paragraphs>
  <TotalTime>2</TotalTime>
  <ScaleCrop>false</ScaleCrop>
  <LinksUpToDate>false</LinksUpToDate>
  <CharactersWithSpaces>35154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2020-06-05T12:13:44Z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