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DB3" w:rsidRPr="00B064AA" w:rsidRDefault="00070DB3" w:rsidP="00070DB3">
      <w:pPr>
        <w:pStyle w:val="Header"/>
        <w:tabs>
          <w:tab w:val="right" w:pos="9639"/>
        </w:tabs>
        <w:rPr>
          <w:bCs/>
          <w:noProof w:val="0"/>
          <w:sz w:val="24"/>
          <w:szCs w:val="28"/>
        </w:rPr>
      </w:pPr>
      <w:r w:rsidRPr="00B064AA">
        <w:rPr>
          <w:bCs/>
          <w:noProof w:val="0"/>
          <w:sz w:val="24"/>
          <w:szCs w:val="28"/>
        </w:rPr>
        <w:t>3GPP T</w:t>
      </w:r>
      <w:bookmarkStart w:id="0" w:name="_Ref452454252"/>
      <w:bookmarkEnd w:id="0"/>
      <w:r w:rsidR="00245669" w:rsidRPr="00B064AA">
        <w:rPr>
          <w:bCs/>
          <w:noProof w:val="0"/>
          <w:sz w:val="24"/>
          <w:szCs w:val="28"/>
        </w:rPr>
        <w:t xml:space="preserve">SG RAN </w:t>
      </w:r>
      <w:r w:rsidR="00245669" w:rsidRPr="00B064AA">
        <w:rPr>
          <w:noProof w:val="0"/>
          <w:sz w:val="24"/>
          <w:szCs w:val="28"/>
        </w:rPr>
        <w:t>#</w:t>
      </w:r>
      <w:r w:rsidR="00C9453A" w:rsidRPr="00B064AA">
        <w:rPr>
          <w:noProof w:val="0"/>
          <w:sz w:val="24"/>
          <w:szCs w:val="28"/>
        </w:rPr>
        <w:t>8</w:t>
      </w:r>
      <w:r w:rsidR="003E7281" w:rsidRPr="00B064AA">
        <w:rPr>
          <w:noProof w:val="0"/>
          <w:sz w:val="24"/>
          <w:szCs w:val="28"/>
        </w:rPr>
        <w:t>5</w:t>
      </w:r>
      <w:r w:rsidRPr="00B064AA">
        <w:rPr>
          <w:bCs/>
          <w:noProof w:val="0"/>
          <w:sz w:val="24"/>
          <w:szCs w:val="28"/>
        </w:rPr>
        <w:tab/>
        <w:t>R</w:t>
      </w:r>
      <w:r w:rsidR="00245669" w:rsidRPr="00B064AA">
        <w:rPr>
          <w:bCs/>
          <w:noProof w:val="0"/>
          <w:sz w:val="24"/>
          <w:szCs w:val="28"/>
        </w:rPr>
        <w:t>P</w:t>
      </w:r>
      <w:r w:rsidRPr="00B064AA">
        <w:rPr>
          <w:bCs/>
          <w:noProof w:val="0"/>
          <w:sz w:val="24"/>
          <w:szCs w:val="28"/>
        </w:rPr>
        <w:t>-1</w:t>
      </w:r>
      <w:r w:rsidR="003E7281" w:rsidRPr="00B064AA">
        <w:rPr>
          <w:bCs/>
          <w:noProof w:val="0"/>
          <w:sz w:val="24"/>
          <w:szCs w:val="28"/>
        </w:rPr>
        <w:t>9</w:t>
      </w:r>
      <w:r w:rsidR="00BF60F0">
        <w:rPr>
          <w:bCs/>
          <w:noProof w:val="0"/>
          <w:sz w:val="24"/>
          <w:szCs w:val="28"/>
        </w:rPr>
        <w:t>1959</w:t>
      </w:r>
    </w:p>
    <w:p w:rsidR="00070DB3" w:rsidRPr="00B064AA" w:rsidRDefault="003E7281" w:rsidP="00070DB3">
      <w:pPr>
        <w:pStyle w:val="Header"/>
        <w:tabs>
          <w:tab w:val="right" w:pos="9639"/>
        </w:tabs>
        <w:rPr>
          <w:bCs/>
          <w:noProof w:val="0"/>
          <w:sz w:val="24"/>
          <w:szCs w:val="28"/>
        </w:rPr>
      </w:pPr>
      <w:r w:rsidRPr="00B064AA">
        <w:rPr>
          <w:noProof w:val="0"/>
          <w:sz w:val="24"/>
          <w:szCs w:val="28"/>
          <w:lang w:eastAsia="zh-CN"/>
        </w:rPr>
        <w:t>Newport Beach, USA</w:t>
      </w:r>
      <w:r w:rsidR="00070DB3" w:rsidRPr="00B064AA">
        <w:rPr>
          <w:noProof w:val="0"/>
          <w:sz w:val="24"/>
          <w:szCs w:val="28"/>
          <w:lang w:eastAsia="zh-CN"/>
        </w:rPr>
        <w:t xml:space="preserve">, </w:t>
      </w:r>
      <w:r w:rsidR="00245669" w:rsidRPr="00B064AA">
        <w:rPr>
          <w:noProof w:val="0"/>
          <w:sz w:val="24"/>
          <w:szCs w:val="28"/>
          <w:lang w:eastAsia="zh-CN"/>
        </w:rPr>
        <w:t>1</w:t>
      </w:r>
      <w:r w:rsidRPr="00B064AA">
        <w:rPr>
          <w:noProof w:val="0"/>
          <w:sz w:val="24"/>
          <w:szCs w:val="28"/>
          <w:lang w:eastAsia="zh-CN"/>
        </w:rPr>
        <w:t>6</w:t>
      </w:r>
      <w:r w:rsidR="00070DB3" w:rsidRPr="00B064AA">
        <w:rPr>
          <w:noProof w:val="0"/>
          <w:sz w:val="24"/>
          <w:szCs w:val="28"/>
          <w:vertAlign w:val="superscript"/>
          <w:lang w:eastAsia="zh-CN"/>
        </w:rPr>
        <w:t>th</w:t>
      </w:r>
      <w:r w:rsidR="00070DB3" w:rsidRPr="00B064AA">
        <w:rPr>
          <w:noProof w:val="0"/>
          <w:sz w:val="24"/>
          <w:szCs w:val="28"/>
          <w:lang w:eastAsia="zh-CN"/>
        </w:rPr>
        <w:t xml:space="preserve"> </w:t>
      </w:r>
      <w:r w:rsidR="00245669" w:rsidRPr="00B064AA">
        <w:rPr>
          <w:noProof w:val="0"/>
          <w:sz w:val="24"/>
          <w:szCs w:val="28"/>
          <w:lang w:eastAsia="zh-CN"/>
        </w:rPr>
        <w:t>–</w:t>
      </w:r>
      <w:r w:rsidR="00070DB3" w:rsidRPr="00B064AA">
        <w:rPr>
          <w:noProof w:val="0"/>
          <w:sz w:val="24"/>
          <w:szCs w:val="28"/>
          <w:lang w:eastAsia="zh-CN"/>
        </w:rPr>
        <w:t xml:space="preserve"> </w:t>
      </w:r>
      <w:r w:rsidRPr="00B064AA">
        <w:rPr>
          <w:noProof w:val="0"/>
          <w:sz w:val="24"/>
          <w:szCs w:val="28"/>
          <w:lang w:eastAsia="zh-CN"/>
        </w:rPr>
        <w:t>20</w:t>
      </w:r>
      <w:r w:rsidR="00BC575E" w:rsidRPr="00B064AA">
        <w:rPr>
          <w:noProof w:val="0"/>
          <w:sz w:val="24"/>
          <w:szCs w:val="28"/>
          <w:vertAlign w:val="superscript"/>
          <w:lang w:eastAsia="zh-CN"/>
        </w:rPr>
        <w:t>th</w:t>
      </w:r>
      <w:r w:rsidR="00BC575E" w:rsidRPr="00B064AA">
        <w:rPr>
          <w:noProof w:val="0"/>
          <w:sz w:val="24"/>
          <w:szCs w:val="28"/>
          <w:lang w:eastAsia="zh-CN"/>
        </w:rPr>
        <w:t xml:space="preserve"> </w:t>
      </w:r>
      <w:r w:rsidRPr="00B064AA">
        <w:rPr>
          <w:noProof w:val="0"/>
          <w:sz w:val="24"/>
          <w:szCs w:val="28"/>
          <w:lang w:eastAsia="zh-CN"/>
        </w:rPr>
        <w:t>September 2019</w:t>
      </w:r>
    </w:p>
    <w:p w:rsidR="00070DB3" w:rsidRPr="003E7281" w:rsidRDefault="00070DB3" w:rsidP="00070DB3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8"/>
          <w:szCs w:val="28"/>
        </w:rPr>
      </w:pPr>
    </w:p>
    <w:p w:rsidR="00070DB3" w:rsidRPr="004E4FBC" w:rsidRDefault="003E7281" w:rsidP="004E4FBC">
      <w:pPr>
        <w:rPr>
          <w:rFonts w:ascii="Arial" w:hAnsi="Arial" w:cs="Arial"/>
          <w:b/>
          <w:i/>
          <w:sz w:val="24"/>
        </w:rPr>
      </w:pPr>
      <w:r w:rsidRPr="004E4FBC">
        <w:rPr>
          <w:rFonts w:ascii="Arial" w:hAnsi="Arial" w:cs="Arial"/>
          <w:b/>
          <w:sz w:val="24"/>
        </w:rPr>
        <w:t>Title:</w:t>
      </w:r>
      <w:r w:rsidRPr="004E4FBC">
        <w:rPr>
          <w:rFonts w:ascii="Arial" w:hAnsi="Arial" w:cs="Arial"/>
          <w:b/>
          <w:sz w:val="24"/>
        </w:rPr>
        <w:tab/>
      </w:r>
      <w:r w:rsidR="00B064AA">
        <w:rPr>
          <w:rFonts w:ascii="Arial" w:hAnsi="Arial" w:cs="Arial"/>
          <w:b/>
          <w:sz w:val="24"/>
        </w:rPr>
        <w:tab/>
      </w:r>
      <w:r w:rsidR="00E127C8">
        <w:rPr>
          <w:rFonts w:ascii="Arial" w:hAnsi="Arial" w:cs="Arial"/>
          <w:b/>
          <w:sz w:val="24"/>
        </w:rPr>
        <w:t xml:space="preserve">NR RRC connection establishment from idle in </w:t>
      </w:r>
      <w:r w:rsidR="00E127C8">
        <w:rPr>
          <w:rFonts w:ascii="Arial" w:hAnsi="Arial" w:cs="Arial"/>
          <w:b/>
          <w:bCs/>
          <w:sz w:val="24"/>
        </w:rPr>
        <w:t>DSS deployments</w:t>
      </w:r>
    </w:p>
    <w:p w:rsidR="00070DB3" w:rsidRPr="004E4FBC" w:rsidRDefault="00070DB3" w:rsidP="004E4FBC">
      <w:pPr>
        <w:rPr>
          <w:rFonts w:ascii="Arial" w:hAnsi="Arial" w:cs="Arial"/>
          <w:b/>
          <w:sz w:val="24"/>
        </w:rPr>
      </w:pPr>
      <w:r w:rsidRPr="004E4FBC">
        <w:rPr>
          <w:rFonts w:ascii="Arial" w:hAnsi="Arial" w:cs="Arial"/>
          <w:b/>
          <w:sz w:val="24"/>
        </w:rPr>
        <w:t>Source:</w:t>
      </w:r>
      <w:r w:rsidRPr="004E4FBC">
        <w:rPr>
          <w:rFonts w:ascii="Arial" w:hAnsi="Arial" w:cs="Arial"/>
          <w:b/>
          <w:sz w:val="24"/>
        </w:rPr>
        <w:tab/>
      </w:r>
      <w:r w:rsidR="00175E61" w:rsidRPr="004E4FBC">
        <w:rPr>
          <w:rFonts w:ascii="Arial" w:hAnsi="Arial" w:cs="Arial"/>
          <w:b/>
          <w:sz w:val="24"/>
        </w:rPr>
        <w:t>Vodafone</w:t>
      </w:r>
    </w:p>
    <w:p w:rsidR="00070DB3" w:rsidRPr="004E4FBC" w:rsidRDefault="00070DB3" w:rsidP="004E4FBC">
      <w:pPr>
        <w:rPr>
          <w:rFonts w:ascii="Arial" w:hAnsi="Arial" w:cs="Arial"/>
          <w:b/>
          <w:i/>
          <w:sz w:val="24"/>
        </w:rPr>
      </w:pPr>
      <w:r w:rsidRPr="004E4FBC">
        <w:rPr>
          <w:rFonts w:ascii="Arial" w:hAnsi="Arial" w:cs="Arial"/>
          <w:b/>
          <w:sz w:val="24"/>
        </w:rPr>
        <w:t xml:space="preserve">Agenda: </w:t>
      </w:r>
      <w:r w:rsidRPr="004E4FBC">
        <w:rPr>
          <w:rFonts w:ascii="Arial" w:hAnsi="Arial" w:cs="Arial"/>
          <w:b/>
          <w:sz w:val="24"/>
        </w:rPr>
        <w:tab/>
      </w:r>
      <w:r w:rsidR="00BF60F0">
        <w:rPr>
          <w:rFonts w:ascii="Arial" w:hAnsi="Arial" w:cs="Arial"/>
          <w:b/>
          <w:sz w:val="24"/>
        </w:rPr>
        <w:t>9.9</w:t>
      </w:r>
    </w:p>
    <w:p w:rsidR="00070DB3" w:rsidRPr="004E4FBC" w:rsidRDefault="00EA16AF" w:rsidP="004E4FBC">
      <w:pPr>
        <w:rPr>
          <w:rFonts w:ascii="Arial" w:hAnsi="Arial" w:cs="Arial"/>
          <w:b/>
          <w:sz w:val="24"/>
        </w:rPr>
      </w:pPr>
      <w:r w:rsidRPr="004E4FBC">
        <w:rPr>
          <w:rFonts w:ascii="Arial" w:hAnsi="Arial" w:cs="Arial"/>
          <w:b/>
          <w:sz w:val="24"/>
        </w:rPr>
        <w:t>For:</w:t>
      </w:r>
      <w:r w:rsidRPr="004E4FBC">
        <w:rPr>
          <w:rFonts w:ascii="Arial" w:hAnsi="Arial" w:cs="Arial"/>
          <w:b/>
          <w:sz w:val="24"/>
        </w:rPr>
        <w:tab/>
      </w:r>
      <w:r w:rsidRPr="004E4FBC">
        <w:rPr>
          <w:rFonts w:ascii="Arial" w:hAnsi="Arial" w:cs="Arial"/>
          <w:b/>
          <w:sz w:val="24"/>
        </w:rPr>
        <w:tab/>
      </w:r>
      <w:r w:rsidR="003E7281" w:rsidRPr="004E4FBC">
        <w:rPr>
          <w:rFonts w:ascii="Arial" w:hAnsi="Arial" w:cs="Arial"/>
          <w:b/>
          <w:sz w:val="24"/>
        </w:rPr>
        <w:t>Discussion</w:t>
      </w:r>
      <w:r w:rsidR="00070DB3" w:rsidRPr="004E4FBC">
        <w:rPr>
          <w:rFonts w:ascii="Arial" w:hAnsi="Arial" w:cs="Arial"/>
          <w:b/>
          <w:sz w:val="24"/>
        </w:rPr>
        <w:t xml:space="preserve"> </w:t>
      </w:r>
    </w:p>
    <w:p w:rsidR="00070DB3" w:rsidRPr="00A23121" w:rsidRDefault="00070DB3" w:rsidP="004E4FBC">
      <w:pPr>
        <w:pStyle w:val="Heading1"/>
        <w:numPr>
          <w:ilvl w:val="0"/>
          <w:numId w:val="1"/>
        </w:numPr>
      </w:pPr>
      <w:r w:rsidRPr="00A23121">
        <w:t>Introduction</w:t>
      </w:r>
    </w:p>
    <w:p w:rsidR="00BC575E" w:rsidRDefault="00DB466D" w:rsidP="004E4FBC">
      <w:r>
        <w:t xml:space="preserve">This document </w:t>
      </w:r>
      <w:r w:rsidR="00606F93">
        <w:t>raises an issue impacting the efficiency of</w:t>
      </w:r>
      <w:r>
        <w:t xml:space="preserve"> </w:t>
      </w:r>
      <w:r w:rsidR="00A02BA2">
        <w:t>operation of dynamic spectrum sharing</w:t>
      </w:r>
      <w:r>
        <w:t xml:space="preserve"> </w:t>
      </w:r>
      <w:r w:rsidR="00A02BA2">
        <w:t xml:space="preserve">(DSS) with NR </w:t>
      </w:r>
      <w:r>
        <w:t>standalone</w:t>
      </w:r>
      <w:r w:rsidR="00A02BA2">
        <w:t xml:space="preserve"> mode, and </w:t>
      </w:r>
      <w:r w:rsidR="00606F93">
        <w:t>requests</w:t>
      </w:r>
      <w:r w:rsidR="00A02BA2">
        <w:t xml:space="preserve"> further discussion on </w:t>
      </w:r>
      <w:r w:rsidR="00606F93">
        <w:t>the current assumption of performance, and possibility for enhancements.</w:t>
      </w:r>
    </w:p>
    <w:p w:rsidR="004E4FBC" w:rsidRDefault="004E4FBC" w:rsidP="004E4FBC"/>
    <w:p w:rsidR="00E82F90" w:rsidRDefault="00DC7287" w:rsidP="004E4FBC">
      <w:pPr>
        <w:pStyle w:val="Heading1"/>
        <w:numPr>
          <w:ilvl w:val="0"/>
          <w:numId w:val="1"/>
        </w:numPr>
      </w:pPr>
      <w:r>
        <w:t>Discussion</w:t>
      </w:r>
    </w:p>
    <w:p w:rsidR="00DC7287" w:rsidRPr="00DC7287" w:rsidRDefault="00DC7287" w:rsidP="004E4FBC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</w:r>
      <w:r w:rsidR="00C21840">
        <w:rPr>
          <w:lang w:val="en-US"/>
        </w:rPr>
        <w:t>Release 15 LTE CRS rate-</w:t>
      </w:r>
      <w:r w:rsidR="004C1AC3">
        <w:rPr>
          <w:lang w:val="en-US"/>
        </w:rPr>
        <w:t>matching for</w:t>
      </w:r>
      <w:r w:rsidR="00A02BA2">
        <w:rPr>
          <w:lang w:val="en-US"/>
        </w:rPr>
        <w:t xml:space="preserve"> </w:t>
      </w:r>
      <w:r w:rsidR="004C1AC3">
        <w:rPr>
          <w:lang w:val="en-US"/>
        </w:rPr>
        <w:t xml:space="preserve">standalone NR </w:t>
      </w:r>
      <w:r w:rsidR="00C21840">
        <w:rPr>
          <w:lang w:val="en-US"/>
        </w:rPr>
        <w:t>UEs operating DSS</w:t>
      </w:r>
    </w:p>
    <w:p w:rsidR="00C21840" w:rsidRDefault="00C21840" w:rsidP="004E4FBC">
      <w:r>
        <w:t xml:space="preserve">The following key points limit the usage of CRS rate matching in Release 15 for </w:t>
      </w:r>
      <w:r w:rsidR="00F61703">
        <w:t xml:space="preserve">standalone </w:t>
      </w:r>
      <w:r>
        <w:t>DSS:</w:t>
      </w:r>
    </w:p>
    <w:p w:rsidR="006253EF" w:rsidRDefault="00A12B7F" w:rsidP="007821CE">
      <w:pPr>
        <w:pStyle w:val="ListParagraph"/>
        <w:numPr>
          <w:ilvl w:val="0"/>
          <w:numId w:val="13"/>
        </w:numPr>
        <w:ind w:left="426" w:hanging="426"/>
        <w:contextualSpacing w:val="0"/>
      </w:pPr>
      <w:r>
        <w:t>The</w:t>
      </w:r>
      <w:r w:rsidR="00C21840">
        <w:t xml:space="preserve"> </w:t>
      </w:r>
      <w:r>
        <w:t>UE does not activate LTE CRS rate matching until it is activated with dedicated signalling by the network, which cannot take place before reception of msg4</w:t>
      </w:r>
      <w:r w:rsidR="004C1AC3">
        <w:t>.</w:t>
      </w:r>
    </w:p>
    <w:p w:rsidR="00C21840" w:rsidRDefault="0032775D" w:rsidP="007821CE">
      <w:pPr>
        <w:pStyle w:val="ListParagraph"/>
        <w:numPr>
          <w:ilvl w:val="0"/>
          <w:numId w:val="13"/>
        </w:numPr>
        <w:ind w:left="426" w:hanging="426"/>
      </w:pPr>
      <w:r>
        <w:t xml:space="preserve">LTE CRS rate-matching support is “mandatory with capability signalling” </w:t>
      </w:r>
      <w:r w:rsidR="00C21840">
        <w:t xml:space="preserve">in the UE. </w:t>
      </w:r>
      <w:r w:rsidR="00A12B7F">
        <w:t xml:space="preserve">Therefore </w:t>
      </w:r>
      <w:r w:rsidR="00F61703">
        <w:t xml:space="preserve">rate matching </w:t>
      </w:r>
      <w:r w:rsidR="00A12B7F">
        <w:t xml:space="preserve">cannot be </w:t>
      </w:r>
      <w:r w:rsidR="00F61703">
        <w:t xml:space="preserve">reliably </w:t>
      </w:r>
      <w:r w:rsidR="00A12B7F">
        <w:t xml:space="preserve">activated </w:t>
      </w:r>
      <w:r w:rsidR="00F61703">
        <w:t xml:space="preserve">for the UE </w:t>
      </w:r>
      <w:r w:rsidR="00A12B7F">
        <w:t xml:space="preserve">until the network knows that the UE </w:t>
      </w:r>
      <w:r w:rsidR="00F61703">
        <w:t>has tested</w:t>
      </w:r>
      <w:r w:rsidR="00A12B7F">
        <w:t xml:space="preserve"> it</w:t>
      </w:r>
      <w:r w:rsidR="00C21840">
        <w:t>.</w:t>
      </w:r>
    </w:p>
    <w:p w:rsidR="00C21840" w:rsidRPr="00F61703" w:rsidRDefault="00F61703" w:rsidP="004E4FBC">
      <w:pPr>
        <w:rPr>
          <w:b/>
        </w:rPr>
      </w:pPr>
      <w:r w:rsidRPr="00F61703">
        <w:rPr>
          <w:b/>
        </w:rPr>
        <w:t>The above points</w:t>
      </w:r>
      <w:r w:rsidR="00781207" w:rsidRPr="00F61703">
        <w:rPr>
          <w:b/>
        </w:rPr>
        <w:t xml:space="preserve"> mean that the common channels received in idle mode (including pagin</w:t>
      </w:r>
      <w:r w:rsidRPr="00F61703">
        <w:rPr>
          <w:b/>
        </w:rPr>
        <w:t>g)</w:t>
      </w:r>
      <w:r w:rsidR="00781207" w:rsidRPr="00F61703">
        <w:rPr>
          <w:b/>
        </w:rPr>
        <w:t xml:space="preserve">, </w:t>
      </w:r>
      <w:r w:rsidRPr="00F61703">
        <w:rPr>
          <w:b/>
        </w:rPr>
        <w:t>as well as</w:t>
      </w:r>
      <w:r w:rsidR="00781207" w:rsidRPr="00F61703">
        <w:rPr>
          <w:b/>
        </w:rPr>
        <w:t xml:space="preserve"> msg2 and msg4</w:t>
      </w:r>
      <w:r w:rsidRPr="00F61703">
        <w:rPr>
          <w:b/>
        </w:rPr>
        <w:t xml:space="preserve"> cannot be rate matched</w:t>
      </w:r>
      <w:r w:rsidR="00781207" w:rsidRPr="00F61703">
        <w:rPr>
          <w:b/>
        </w:rPr>
        <w:t xml:space="preserve">, and possibly more messages depending on </w:t>
      </w:r>
      <w:r w:rsidR="00ED1FDD" w:rsidRPr="00F61703">
        <w:rPr>
          <w:b/>
        </w:rPr>
        <w:t>whether the feature support from all UEs can be assumed</w:t>
      </w:r>
      <w:r w:rsidR="00781207" w:rsidRPr="00F61703">
        <w:rPr>
          <w:b/>
        </w:rPr>
        <w:t xml:space="preserve">. </w:t>
      </w:r>
    </w:p>
    <w:p w:rsidR="000B0DCF" w:rsidRDefault="000B0DCF" w:rsidP="004E4FBC">
      <w:pPr>
        <w:pStyle w:val="Heading2"/>
      </w:pPr>
      <w:r>
        <w:t>2.2</w:t>
      </w:r>
      <w:r>
        <w:tab/>
      </w:r>
      <w:r w:rsidR="00DF46FC">
        <w:t>Potential</w:t>
      </w:r>
      <w:r w:rsidR="00A164AA">
        <w:t xml:space="preserve"> “work-around”</w:t>
      </w:r>
    </w:p>
    <w:p w:rsidR="000B0DCF" w:rsidRDefault="00DF46FC" w:rsidP="004E4FBC">
      <w:pPr>
        <w:rPr>
          <w:b/>
        </w:rPr>
      </w:pPr>
      <w:r>
        <w:t>One potential</w:t>
      </w:r>
      <w:r w:rsidR="00781207">
        <w:t xml:space="preserve"> </w:t>
      </w:r>
      <w:r w:rsidR="00A164AA">
        <w:t>“work-around”</w:t>
      </w:r>
      <w:r w:rsidR="00781207">
        <w:t xml:space="preserve"> that </w:t>
      </w:r>
      <w:r>
        <w:t>seems</w:t>
      </w:r>
      <w:r w:rsidR="00781207">
        <w:t xml:space="preserve"> not </w:t>
      </w:r>
      <w:r>
        <w:t xml:space="preserve">to </w:t>
      </w:r>
      <w:r w:rsidR="00781207">
        <w:t xml:space="preserve">impact legacy LTE UEs, is to perform puncturing </w:t>
      </w:r>
      <w:r w:rsidR="00A83030">
        <w:t>of all common channel signals, and UE-specific downlink signals received by the UE prior to activation of LTE CRS rate matching. However, this will cause a degradation to the performance of those signals.</w:t>
      </w:r>
      <w:r w:rsidR="00A12B7F">
        <w:t xml:space="preserve"> </w:t>
      </w:r>
      <w:r w:rsidR="00A12B7F" w:rsidRPr="00A12B7F">
        <w:rPr>
          <w:b/>
        </w:rPr>
        <w:t>T</w:t>
      </w:r>
      <w:r w:rsidR="003213D0" w:rsidRPr="00A164AA">
        <w:rPr>
          <w:b/>
        </w:rPr>
        <w:t>he level of performance degradation is unclear as it has not been eva</w:t>
      </w:r>
      <w:r w:rsidR="00A01885">
        <w:rPr>
          <w:b/>
        </w:rPr>
        <w:t>luated to our knowledge by 3GPP, and we would like to get some confirmation of what is assumed by the 3GPP community, and what the level of degradation is.</w:t>
      </w:r>
      <w:r w:rsidR="009C3683">
        <w:rPr>
          <w:b/>
        </w:rPr>
        <w:t xml:space="preserve"> However, it would be good to understand if there are other approaches.</w:t>
      </w:r>
      <w:bookmarkStart w:id="1" w:name="_GoBack"/>
      <w:bookmarkEnd w:id="1"/>
    </w:p>
    <w:p w:rsidR="004E4FBC" w:rsidRDefault="004E4FBC" w:rsidP="004E4FBC"/>
    <w:p w:rsidR="003213D0" w:rsidRDefault="003213D0" w:rsidP="004E4FBC">
      <w:pPr>
        <w:pStyle w:val="Heading1"/>
        <w:numPr>
          <w:ilvl w:val="0"/>
          <w:numId w:val="1"/>
        </w:numPr>
      </w:pPr>
      <w:r>
        <w:t>Enhancements to DSS operation for standalone operation</w:t>
      </w:r>
    </w:p>
    <w:p w:rsidR="003213D0" w:rsidRDefault="003213D0" w:rsidP="004E4FBC">
      <w:r>
        <w:t xml:space="preserve">Enhancements to enable LTE CRS rate matching </w:t>
      </w:r>
      <w:r w:rsidR="00A12B7F">
        <w:t xml:space="preserve">to be used </w:t>
      </w:r>
      <w:r>
        <w:t xml:space="preserve">“earlier on” prior to or during RRC connection setup in the UE” have not yet been proposed as part of Release 16 </w:t>
      </w:r>
      <w:r w:rsidR="00702819">
        <w:t xml:space="preserve">or Release 17 </w:t>
      </w:r>
      <w:r>
        <w:t xml:space="preserve">enhancements to DSS. Vodafone did not raise this as part of </w:t>
      </w:r>
      <w:r w:rsidR="00702819">
        <w:t>the Rel-17</w:t>
      </w:r>
      <w:r>
        <w:t xml:space="preserve"> discussion because, depending on the level of degradation caused by the proposal in section 2.2, an optimisation may benefit from </w:t>
      </w:r>
      <w:r w:rsidR="00A12B7F">
        <w:t>an earlier Release CR</w:t>
      </w:r>
      <w:r>
        <w:t>. Ther</w:t>
      </w:r>
      <w:r w:rsidR="00A12B7F">
        <w:t>efore, we raise it separately here</w:t>
      </w:r>
      <w:r>
        <w:t>.</w:t>
      </w:r>
    </w:p>
    <w:p w:rsidR="000B0DCF" w:rsidRDefault="00A01885" w:rsidP="004E4FBC">
      <w:pPr>
        <w:rPr>
          <w:b/>
        </w:rPr>
      </w:pPr>
      <w:r w:rsidRPr="00DF606A">
        <w:rPr>
          <w:b/>
        </w:rPr>
        <w:t xml:space="preserve">We would like to discuss whether there are possible enhancements to the existing functionality that would benefit from standardisation. </w:t>
      </w:r>
    </w:p>
    <w:p w:rsidR="00DF606A" w:rsidRPr="00DF606A" w:rsidRDefault="00DF606A" w:rsidP="004E4FBC">
      <w:pPr>
        <w:rPr>
          <w:b/>
        </w:rPr>
      </w:pPr>
    </w:p>
    <w:p w:rsidR="00702819" w:rsidRDefault="00702819" w:rsidP="004E4FBC">
      <w:pPr>
        <w:pStyle w:val="Heading1"/>
        <w:numPr>
          <w:ilvl w:val="0"/>
          <w:numId w:val="1"/>
        </w:numPr>
      </w:pPr>
      <w:r>
        <w:t>Proposal</w:t>
      </w:r>
    </w:p>
    <w:p w:rsidR="00EA16AF" w:rsidRPr="00EA16AF" w:rsidRDefault="00702819" w:rsidP="004E4FBC">
      <w:r>
        <w:t>It is proposed to hold an ad-hoc session in the present RAN</w:t>
      </w:r>
      <w:r w:rsidR="00A164AA">
        <w:t xml:space="preserve"> </w:t>
      </w:r>
      <w:r w:rsidR="0089772E">
        <w:t>plenary meeting, to discuss this</w:t>
      </w:r>
      <w:r>
        <w:t xml:space="preserve"> issue further to gain a common understanding</w:t>
      </w:r>
      <w:r w:rsidR="00DF606A">
        <w:t xml:space="preserve"> on what performance can be assumed</w:t>
      </w:r>
      <w:r w:rsidR="0089772E">
        <w:t>,</w:t>
      </w:r>
      <w:r>
        <w:t xml:space="preserve"> and to </w:t>
      </w:r>
      <w:r w:rsidR="00DF606A">
        <w:t>identify whether there is room for enhancing the functionality to improve this type of operation</w:t>
      </w:r>
      <w:r>
        <w:t>.</w:t>
      </w:r>
    </w:p>
    <w:sectPr w:rsidR="00EA16AF" w:rsidRPr="00EA16AF" w:rsidSect="00E07D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1AA" w:rsidRDefault="008E71AA" w:rsidP="004E4FBC"/>
  </w:endnote>
  <w:endnote w:type="continuationSeparator" w:id="0">
    <w:p w:rsidR="008E71AA" w:rsidRDefault="008E71AA" w:rsidP="004E4F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621" w:rsidRDefault="00EC7621" w:rsidP="004E4F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621" w:rsidRDefault="00EC7621" w:rsidP="004E4FBC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df844cc5a11e4da96f7a57de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EC7621" w:rsidRPr="00EC7621" w:rsidRDefault="00EC7621" w:rsidP="004E4FBC"/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df844cc5a11e4da96f7a57de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SMXHAMAADgGAAAOAAAAZHJzL2Uyb0RvYy54bWysVFFv0zAQfkfiP0R54IkuSZe0TVmHtk6F&#10;SYVV6tCeXdtZLBI72O6agfjvfHaSjgEPCPGSnO/O57vvvruzt21dBQ9cG6HkIkxO4jDgkiom5P0i&#10;/HS7Gs3CwFgiGamU5IvwkZvw7fnLF2eHZs7HqlQV4zpAEGnmh2YRltY28ygytOQ1MSeq4RLGQuma&#10;WBz1fcQ0OSB6XUXjOJ5EB6VZoxXlxkB71RnDcx+/KDi1N0VhuA2qRYjcrP9q/925b3R+Rub3mjSl&#10;oH0a5B+yqImQePQY6opYEuy1+C1ULahWRhX2hKo6UkUhKPc1oJok/qWabUka7msBOKY5wmT+X1j6&#10;8WGjA8HQuzCQpEaLPmyvN8sPrJilKaUZSRKeMpJPiinJpoyHAeOGAsFvr77slX3znphyqRjvTvNR&#10;MsnzbJqOT5PXvQMX96XtzbMUFOkNd4LZstdneXbUbypCec3lcKdzWSllue7kPsC1ZLztA3S/jRY1&#10;0Y/PvLbgAMjZ+w1Z3aqm18THh9e8GN6E8rvjxqExc0C0bQCSbS9V63Dq9QZK1/K20LX7o5kB7GDZ&#10;45FZvLUBhXKaTeLTBCYK23h6GmeeetHT7UYb+46rOnDCItTI2hOKPKyNxYtwHVzcY1KtRFV59lYy&#10;OCzCySlCPrPgRiWdBkkgRi91rPyWJ+M0vhzno9VkNh2lqzQb5dN4NoqT/DKfxGmeXq2+u3hJOi8F&#10;Y1yuheTDhCTp3zGwn9WO235GnqVqVCWYq8Pl5qpbVjp4IBjVHTjw2QGNIn7yip6n482obvj7KiPX&#10;s643TrLtru0btlPsEX3UCviiFaahK4FH18TYDdEYeyixyuwNPkWlAKrqpTAolf76J73zBxawhsEB&#10;a2QRmi97ojEm1bXEnI6zNI4R1/oTBO2FPElTHHaDVu7rpULdGEKk5UXna6tBLLSq77DqLtxzMBFJ&#10;8SiAGsSlxQkGrErKLy68jBXTELuW24a60APKt+0d0U1PNAv8Pqph05D5L3zrfN1NqS72VhXCk9Eh&#10;28EJ7N0B68l3oV+lbv/9fPZeTwv//AcAAAD//wMAUEsDBBQABgAIAAAAIQB8dgjh3wAAAAsBAAAP&#10;AAAAZHJzL2Rvd25yZXYueG1sTI/BTsMwEETvSPyDtUjcqB0QKQ1xqqpSkeCASugHuPGSpNjryHba&#10;8Pc4JzjuzGj2TbmerGFn9KF3JCFbCGBIjdM9tRIOn7u7J2AhKtLKOEIJPxhgXV1flarQ7kIfeK5j&#10;y1IJhUJJ6GIcCs5D06FVYeEGpOR9OW9VTKdvufbqksqt4fdC5NyqntKHTg247bD5rkcrYYNjFl7N&#10;7vTSH+r92+k9er1dSXl7M22egUWc4l8YZvyEDlViOrqRdGBGQhoSk5pnYgls9rOVyIEdZ+3xYQm8&#10;Kvn/DdUvAAAA//8DAFBLAQItABQABgAIAAAAIQC2gziS/gAAAOEBAAATAAAAAAAAAAAAAAAAAAAA&#10;AABbQ29udGVudF9UeXBlc10ueG1sUEsBAi0AFAAGAAgAAAAhADj9If/WAAAAlAEAAAsAAAAAAAAA&#10;AAAAAAAALwEAAF9yZWxzLy5yZWxzUEsBAi0AFAAGAAgAAAAhAJqZIxccAwAAOAYAAA4AAAAAAAAA&#10;AAAAAAAALgIAAGRycy9lMm9Eb2MueG1sUEsBAi0AFAAGAAgAAAAhAHx2COHfAAAACwEAAA8AAAAA&#10;AAAAAAAAAAAAdgUAAGRycy9kb3ducmV2LnhtbFBLBQYAAAAABAAEAPMAAACCBgAAAAA=&#10;" o:allowincell="f" filled="f" stroked="f" strokeweight=".5pt">
              <v:textbox inset="20pt,0,,0">
                <w:txbxContent>
                  <w:p w:rsidR="00EC7621" w:rsidRPr="00EC7621" w:rsidRDefault="00EC7621" w:rsidP="004E4FBC"/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621" w:rsidRDefault="00EC7621" w:rsidP="004E4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1AA" w:rsidRDefault="008E71AA" w:rsidP="004E4FBC"/>
  </w:footnote>
  <w:footnote w:type="continuationSeparator" w:id="0">
    <w:p w:rsidR="008E71AA" w:rsidRDefault="008E71AA" w:rsidP="004E4F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621" w:rsidRDefault="00EC76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621" w:rsidRDefault="00EC76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621" w:rsidRDefault="00EC76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D3E15"/>
    <w:multiLevelType w:val="hybridMultilevel"/>
    <w:tmpl w:val="05E80E1E"/>
    <w:lvl w:ilvl="0" w:tplc="04CC73C6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B31ED"/>
    <w:multiLevelType w:val="hybridMultilevel"/>
    <w:tmpl w:val="1FD0E458"/>
    <w:lvl w:ilvl="0" w:tplc="9D5AF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6E3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D6DE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6C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5C5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C0E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E5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C64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A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773630D"/>
    <w:multiLevelType w:val="hybridMultilevel"/>
    <w:tmpl w:val="660EB2FC"/>
    <w:lvl w:ilvl="0" w:tplc="072A4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6AA1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6B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A7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AE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E92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24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A7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9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A910969"/>
    <w:multiLevelType w:val="hybridMultilevel"/>
    <w:tmpl w:val="5A084064"/>
    <w:lvl w:ilvl="0" w:tplc="7B28345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C250AC"/>
    <w:multiLevelType w:val="hybridMultilevel"/>
    <w:tmpl w:val="B380AD7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E90106"/>
    <w:multiLevelType w:val="hybridMultilevel"/>
    <w:tmpl w:val="7BD2C9E6"/>
    <w:lvl w:ilvl="0" w:tplc="9914019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2C7A82"/>
    <w:multiLevelType w:val="hybridMultilevel"/>
    <w:tmpl w:val="4A2A8BA8"/>
    <w:lvl w:ilvl="0" w:tplc="1AC43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DE27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B24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E8C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AA6D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3A5A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0CD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E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24EC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C4C3DEE"/>
    <w:multiLevelType w:val="hybridMultilevel"/>
    <w:tmpl w:val="4CB2DBE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98C18FE"/>
    <w:multiLevelType w:val="hybridMultilevel"/>
    <w:tmpl w:val="204C88AE"/>
    <w:lvl w:ilvl="0" w:tplc="E4542E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D6A5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E8E04C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AE6EE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250B7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6008B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81C49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4252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8ED4B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5D1A6799"/>
    <w:multiLevelType w:val="hybridMultilevel"/>
    <w:tmpl w:val="2F043A1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A26E2E"/>
    <w:multiLevelType w:val="hybridMultilevel"/>
    <w:tmpl w:val="767A88EC"/>
    <w:lvl w:ilvl="0" w:tplc="E4542EE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1E3635E"/>
    <w:multiLevelType w:val="hybridMultilevel"/>
    <w:tmpl w:val="8D8CCED4"/>
    <w:lvl w:ilvl="0" w:tplc="9664ECA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9B7D34"/>
    <w:multiLevelType w:val="multilevel"/>
    <w:tmpl w:val="BA6E8D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F9D02BE"/>
    <w:multiLevelType w:val="hybridMultilevel"/>
    <w:tmpl w:val="2E5E225A"/>
    <w:lvl w:ilvl="0" w:tplc="44BC5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6"/>
  </w:num>
  <w:num w:numId="4">
    <w:abstractNumId w:val="4"/>
  </w:num>
  <w:num w:numId="5">
    <w:abstractNumId w:val="3"/>
  </w:num>
  <w:num w:numId="6">
    <w:abstractNumId w:val="0"/>
  </w:num>
  <w:num w:numId="7">
    <w:abstractNumId w:val="1"/>
  </w:num>
  <w:num w:numId="8">
    <w:abstractNumId w:val="2"/>
  </w:num>
  <w:num w:numId="9">
    <w:abstractNumId w:val="11"/>
  </w:num>
  <w:num w:numId="10">
    <w:abstractNumId w:val="7"/>
  </w:num>
  <w:num w:numId="11">
    <w:abstractNumId w:val="10"/>
  </w:num>
  <w:num w:numId="12">
    <w:abstractNumId w:val="5"/>
  </w:num>
  <w:num w:numId="13">
    <w:abstractNumId w:val="1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ED3"/>
    <w:rsid w:val="00051420"/>
    <w:rsid w:val="0005726D"/>
    <w:rsid w:val="00065260"/>
    <w:rsid w:val="00070DB3"/>
    <w:rsid w:val="00075252"/>
    <w:rsid w:val="000B0DCF"/>
    <w:rsid w:val="000E77D5"/>
    <w:rsid w:val="00147BA6"/>
    <w:rsid w:val="00175E61"/>
    <w:rsid w:val="001B71A1"/>
    <w:rsid w:val="002416F2"/>
    <w:rsid w:val="00245669"/>
    <w:rsid w:val="00256686"/>
    <w:rsid w:val="002E65DF"/>
    <w:rsid w:val="002F2EC7"/>
    <w:rsid w:val="00303B3A"/>
    <w:rsid w:val="003213D0"/>
    <w:rsid w:val="00323F6B"/>
    <w:rsid w:val="0032775D"/>
    <w:rsid w:val="003A6905"/>
    <w:rsid w:val="003E7281"/>
    <w:rsid w:val="00413D47"/>
    <w:rsid w:val="004514C5"/>
    <w:rsid w:val="00461A73"/>
    <w:rsid w:val="00463ABD"/>
    <w:rsid w:val="00465ED3"/>
    <w:rsid w:val="004814C2"/>
    <w:rsid w:val="004C1AC3"/>
    <w:rsid w:val="004E4FBC"/>
    <w:rsid w:val="005F3806"/>
    <w:rsid w:val="00606F93"/>
    <w:rsid w:val="00615AD7"/>
    <w:rsid w:val="006253EF"/>
    <w:rsid w:val="006811C5"/>
    <w:rsid w:val="00694D02"/>
    <w:rsid w:val="006E0DBD"/>
    <w:rsid w:val="00702819"/>
    <w:rsid w:val="00722E9B"/>
    <w:rsid w:val="00727638"/>
    <w:rsid w:val="0073439A"/>
    <w:rsid w:val="007416EF"/>
    <w:rsid w:val="00781207"/>
    <w:rsid w:val="007821CE"/>
    <w:rsid w:val="007E5CE0"/>
    <w:rsid w:val="007F210C"/>
    <w:rsid w:val="0081089F"/>
    <w:rsid w:val="00810A79"/>
    <w:rsid w:val="00825D45"/>
    <w:rsid w:val="00864B3A"/>
    <w:rsid w:val="00865FAB"/>
    <w:rsid w:val="0088321A"/>
    <w:rsid w:val="00885662"/>
    <w:rsid w:val="0089772E"/>
    <w:rsid w:val="008E71AA"/>
    <w:rsid w:val="00946524"/>
    <w:rsid w:val="009711D6"/>
    <w:rsid w:val="00983943"/>
    <w:rsid w:val="009B4500"/>
    <w:rsid w:val="009C3683"/>
    <w:rsid w:val="009F2B85"/>
    <w:rsid w:val="00A01885"/>
    <w:rsid w:val="00A02BA2"/>
    <w:rsid w:val="00A12B7F"/>
    <w:rsid w:val="00A164AA"/>
    <w:rsid w:val="00A23121"/>
    <w:rsid w:val="00A33F70"/>
    <w:rsid w:val="00A83030"/>
    <w:rsid w:val="00AF6F7F"/>
    <w:rsid w:val="00B064AA"/>
    <w:rsid w:val="00B11D15"/>
    <w:rsid w:val="00B34E6C"/>
    <w:rsid w:val="00B44D30"/>
    <w:rsid w:val="00B70951"/>
    <w:rsid w:val="00B87B72"/>
    <w:rsid w:val="00BC575E"/>
    <w:rsid w:val="00BF537F"/>
    <w:rsid w:val="00BF60F0"/>
    <w:rsid w:val="00C11FFE"/>
    <w:rsid w:val="00C21840"/>
    <w:rsid w:val="00C528E8"/>
    <w:rsid w:val="00C877BE"/>
    <w:rsid w:val="00C9453A"/>
    <w:rsid w:val="00D31F13"/>
    <w:rsid w:val="00D33C60"/>
    <w:rsid w:val="00D97B93"/>
    <w:rsid w:val="00DB2C9C"/>
    <w:rsid w:val="00DB466D"/>
    <w:rsid w:val="00DC7287"/>
    <w:rsid w:val="00DF36D5"/>
    <w:rsid w:val="00DF46FC"/>
    <w:rsid w:val="00DF606A"/>
    <w:rsid w:val="00E074FE"/>
    <w:rsid w:val="00E07DF7"/>
    <w:rsid w:val="00E127C8"/>
    <w:rsid w:val="00E24A17"/>
    <w:rsid w:val="00E266D3"/>
    <w:rsid w:val="00E65925"/>
    <w:rsid w:val="00E82F90"/>
    <w:rsid w:val="00EA16AF"/>
    <w:rsid w:val="00EC1DD9"/>
    <w:rsid w:val="00EC2E19"/>
    <w:rsid w:val="00EC7621"/>
    <w:rsid w:val="00ED1FDD"/>
    <w:rsid w:val="00F3704B"/>
    <w:rsid w:val="00F44E10"/>
    <w:rsid w:val="00F61703"/>
    <w:rsid w:val="00F9048E"/>
    <w:rsid w:val="00FD22B5"/>
    <w:rsid w:val="00FF1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DCE6C1"/>
  <w15:docId w15:val="{D540E406-183D-480E-92F4-9722E5C61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n-US" w:bidi="ar-SA"/>
      </w:rPr>
    </w:rPrDefault>
    <w:pPrDefault>
      <w:pPr>
        <w:spacing w:after="18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4E4FBC"/>
    <w:pPr>
      <w:widowControl w:val="0"/>
      <w:spacing w:after="120"/>
    </w:pPr>
    <w:rPr>
      <w:rFonts w:ascii="Times New Roman" w:eastAsia="SimSun" w:hAnsi="Times New Roman" w:cs="Times New Roman"/>
      <w:iCs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7DF7"/>
    <w:pPr>
      <w:pBdr>
        <w:top w:val="single" w:sz="4" w:space="1" w:color="auto"/>
      </w:pBdr>
      <w:outlineLvl w:val="0"/>
    </w:pPr>
    <w:rPr>
      <w:rFonts w:ascii="Arial" w:hAnsi="Arial"/>
      <w:bCs/>
      <w:sz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21A"/>
    <w:pPr>
      <w:keepNext/>
      <w:keepLines/>
      <w:spacing w:before="120"/>
      <w:outlineLvl w:val="1"/>
    </w:pPr>
    <w:rPr>
      <w:rFonts w:ascii="Arial" w:eastAsiaTheme="majorEastAsia" w:hAnsi="Arial" w:cstheme="majorBidi"/>
      <w:color w:val="auto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C728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HeaderChar"/>
    <w:rsid w:val="00070DB3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70DB3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styleId="Hyperlink">
    <w:name w:val="Hyperlink"/>
    <w:uiPriority w:val="99"/>
    <w:unhideWhenUsed/>
    <w:rsid w:val="00070DB3"/>
    <w:rPr>
      <w:color w:val="0000FF"/>
      <w:u w:val="single"/>
    </w:rPr>
  </w:style>
  <w:style w:type="paragraph" w:customStyle="1" w:styleId="CRCoverPage">
    <w:name w:val="CR Cover Page"/>
    <w:rsid w:val="00070DB3"/>
    <w:pPr>
      <w:spacing w:after="120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E07DF7"/>
    <w:rPr>
      <w:rFonts w:ascii="Arial" w:eastAsia="SimSun" w:hAnsi="Arial" w:cs="Times New Roman"/>
      <w:bCs/>
      <w:iCs/>
      <w:color w:val="000000"/>
      <w:sz w:val="28"/>
      <w:szCs w:val="20"/>
      <w:lang w:val="en-US" w:eastAsia="ja-JP"/>
    </w:rPr>
  </w:style>
  <w:style w:type="paragraph" w:styleId="ListParagraph">
    <w:name w:val="List Paragraph"/>
    <w:basedOn w:val="Normal"/>
    <w:uiPriority w:val="34"/>
    <w:qFormat/>
    <w:rsid w:val="00825D45"/>
    <w:pPr>
      <w:ind w:left="720"/>
      <w:contextualSpacing/>
    </w:pPr>
  </w:style>
  <w:style w:type="character" w:customStyle="1" w:styleId="TACChar">
    <w:name w:val="TAC Char"/>
    <w:link w:val="TAC"/>
    <w:locked/>
    <w:rsid w:val="00E07DF7"/>
    <w:rPr>
      <w:rFonts w:ascii="Arial" w:hAnsi="Arial" w:cs="Arial"/>
      <w:sz w:val="18"/>
      <w:szCs w:val="18"/>
      <w:lang w:val="en-GB"/>
    </w:rPr>
  </w:style>
  <w:style w:type="paragraph" w:customStyle="1" w:styleId="TAC">
    <w:name w:val="TAC"/>
    <w:basedOn w:val="Normal"/>
    <w:link w:val="TACChar"/>
    <w:rsid w:val="00E07DF7"/>
    <w:pPr>
      <w:keepNext/>
      <w:keepLines/>
      <w:spacing w:after="0"/>
      <w:jc w:val="center"/>
    </w:pPr>
    <w:rPr>
      <w:rFonts w:ascii="Arial" w:eastAsiaTheme="minorHAnsi" w:hAnsi="Arial" w:cs="Arial"/>
      <w:iCs w:val="0"/>
      <w:color w:val="auto"/>
      <w:sz w:val="18"/>
      <w:szCs w:val="18"/>
    </w:rPr>
  </w:style>
  <w:style w:type="paragraph" w:customStyle="1" w:styleId="TAH">
    <w:name w:val="TAH"/>
    <w:basedOn w:val="TAC"/>
    <w:link w:val="TAHCar"/>
    <w:rsid w:val="00E07DF7"/>
    <w:rPr>
      <w:b/>
      <w:bCs/>
    </w:rPr>
  </w:style>
  <w:style w:type="character" w:customStyle="1" w:styleId="TAHCar">
    <w:name w:val="TAH Car"/>
    <w:link w:val="TAH"/>
    <w:locked/>
    <w:rsid w:val="00E07DF7"/>
    <w:rPr>
      <w:rFonts w:ascii="Arial" w:hAnsi="Arial" w:cs="Arial"/>
      <w:b/>
      <w:bCs/>
      <w:sz w:val="18"/>
      <w:szCs w:val="18"/>
      <w:lang w:val="en-GB"/>
    </w:rPr>
  </w:style>
  <w:style w:type="paragraph" w:customStyle="1" w:styleId="TAL">
    <w:name w:val="TAL"/>
    <w:basedOn w:val="Normal"/>
    <w:rsid w:val="00E07DF7"/>
    <w:pPr>
      <w:keepNext/>
      <w:keepLines/>
      <w:spacing w:after="0"/>
    </w:pPr>
    <w:rPr>
      <w:rFonts w:ascii="Arial" w:eastAsia="Times New Roman" w:hAnsi="Arial"/>
      <w:iCs w:val="0"/>
      <w:color w:val="auto"/>
      <w:sz w:val="18"/>
      <w:lang w:eastAsia="en-US"/>
    </w:rPr>
  </w:style>
  <w:style w:type="paragraph" w:customStyle="1" w:styleId="TAN">
    <w:name w:val="TAN"/>
    <w:basedOn w:val="TAL"/>
    <w:rsid w:val="00E07DF7"/>
    <w:pPr>
      <w:ind w:left="851" w:hanging="851"/>
    </w:pPr>
  </w:style>
  <w:style w:type="character" w:customStyle="1" w:styleId="Heading2Char">
    <w:name w:val="Heading 2 Char"/>
    <w:basedOn w:val="DefaultParagraphFont"/>
    <w:link w:val="Heading2"/>
    <w:uiPriority w:val="9"/>
    <w:rsid w:val="0088321A"/>
    <w:rPr>
      <w:rFonts w:ascii="Arial" w:eastAsiaTheme="majorEastAsia" w:hAnsi="Arial" w:cstheme="majorBidi"/>
      <w:iCs/>
      <w:sz w:val="24"/>
      <w:szCs w:val="26"/>
      <w:lang w:val="en-GB" w:eastAsia="ja-JP"/>
    </w:rPr>
  </w:style>
  <w:style w:type="table" w:styleId="TableGrid">
    <w:name w:val="Table Grid"/>
    <w:basedOn w:val="TableNormal"/>
    <w:uiPriority w:val="39"/>
    <w:rsid w:val="00FD22B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3704B"/>
    <w:pPr>
      <w:widowControl/>
      <w:spacing w:before="100" w:beforeAutospacing="1" w:after="100" w:afterAutospacing="1"/>
      <w:jc w:val="left"/>
    </w:pPr>
    <w:rPr>
      <w:rFonts w:eastAsia="Times New Roman"/>
      <w:iCs w:val="0"/>
      <w:color w:val="auto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AB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ABD"/>
    <w:rPr>
      <w:rFonts w:ascii="Segoe UI" w:eastAsia="SimSun" w:hAnsi="Segoe UI" w:cs="Segoe UI"/>
      <w:iCs/>
      <w:color w:val="000000"/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514C5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514C5"/>
    <w:rPr>
      <w:rFonts w:ascii="SimSun" w:eastAsia="SimSun" w:hAnsi="Times New Roman" w:cs="Times New Roman"/>
      <w:iCs/>
      <w:color w:val="000000"/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4514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514C5"/>
    <w:rPr>
      <w:rFonts w:ascii="Times New Roman" w:eastAsia="SimSun" w:hAnsi="Times New Roman" w:cs="Times New Roman"/>
      <w:iCs/>
      <w:color w:val="000000"/>
      <w:sz w:val="18"/>
      <w:szCs w:val="18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DC7287"/>
    <w:rPr>
      <w:rFonts w:asciiTheme="majorHAnsi" w:eastAsiaTheme="majorEastAsia" w:hAnsiTheme="majorHAnsi" w:cstheme="majorBidi"/>
      <w:iCs/>
      <w:color w:val="1F4D78" w:themeColor="accent1" w:themeShade="7F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7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359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5195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34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6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34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4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29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6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9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7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8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61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Frost, Tim, Vodafone Group</dc:creator>
  <cp:lastModifiedBy>Tim Frost3</cp:lastModifiedBy>
  <cp:revision>19</cp:revision>
  <dcterms:created xsi:type="dcterms:W3CDTF">2019-09-09T12:17:00Z</dcterms:created>
  <dcterms:modified xsi:type="dcterms:W3CDTF">2019-09-09T21:37:00Z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-1379340980</vt:i4>
  </property>
  <property fmtid="{D5CDD505-2E9C-101B-9397-08002B2CF9AE}" pid="3" name="_NewReviewCycle">
    <vt:lpwstr/>
  </property>
  <property fmtid="{D5CDD505-2E9C-101B-9397-08002B2CF9AE}" pid="4" name="_EmailSubject">
    <vt:lpwstr>4Rx mandate for NR UE</vt:lpwstr>
  </property>
  <property fmtid="{D5CDD505-2E9C-101B-9397-08002B2CF9AE}" pid="5" name="_AuthorEmail">
    <vt:lpwstr>juanm@qti.qualcomm.com</vt:lpwstr>
  </property>
  <property fmtid="{D5CDD505-2E9C-101B-9397-08002B2CF9AE}" pid="6" name="_AuthorEmailDisplayName">
    <vt:lpwstr>Juan Montojo</vt:lpwstr>
  </property>
  <property fmtid="{D5CDD505-2E9C-101B-9397-08002B2CF9AE}" pid="7" name="_ReviewingToolsShownOnce">
    <vt:lpwstr/>
  </property>
  <property fmtid="{D5CDD505-2E9C-101B-9397-08002B2CF9AE}" pid="8" name="_2015_ms_pID_725343">
    <vt:lpwstr>(2)TZ5SA/wculq9/XvQM3u2WaCOjY+8i6bp34VOu7lOTkODa/FcCnB973MV/VTqotDMySV0j73S
GD7q/WVIZxES3NehQ9D+COurBwqXvTLWBDlnPK3kLU12dDjXQHLjjUAlPbcnv5jpd8mwjdtV
N7DzPMKOR7ZrDbQpta9sLrj2caZFTzCcpJ8SIuKkvZk14kdxHJpCSdFlz5RaN6TFF8lL1/mf
zOQ5eRfPVtkzYMDbRS</vt:lpwstr>
  </property>
  <property fmtid="{D5CDD505-2E9C-101B-9397-08002B2CF9AE}" pid="9" name="_2015_ms_pID_7253431">
    <vt:lpwstr>TNvw2WKUR24INYp4dwrGjd5kcTRQ4kUHwVZGstqT44RwJ+tqWPKDiW
tLCtlBvfxDUCqbPQd1JXFMGEW14620O2qOPG3fTy3Kw6Xsmj7pcR0AffGTWHC319zWreYygF
lF4R4f8Rs2jmjkbBhottk96EBRVkDPGjseLdj9zu8g6XeSyb1UiZwDLDqqeWVYzphjo=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1513789066</vt:lpwstr>
  </property>
  <property fmtid="{D5CDD505-2E9C-101B-9397-08002B2CF9AE}" pid="14" name="MSIP_Label_17da11e7-ad83-4459-98c6-12a88e2eac78_Enabled">
    <vt:lpwstr>True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Owner">
    <vt:lpwstr>tim.frost@vodafone.com</vt:lpwstr>
  </property>
  <property fmtid="{D5CDD505-2E9C-101B-9397-08002B2CF9AE}" pid="17" name="MSIP_Label_17da11e7-ad83-4459-98c6-12a88e2eac78_SetDate">
    <vt:lpwstr>2018-11-29T09:42:55.7136032Z</vt:lpwstr>
  </property>
  <property fmtid="{D5CDD505-2E9C-101B-9397-08002B2CF9AE}" pid="18" name="MSIP_Label_17da11e7-ad83-4459-98c6-12a88e2eac78_Name">
    <vt:lpwstr>Non-Vodafone</vt:lpwstr>
  </property>
  <property fmtid="{D5CDD505-2E9C-101B-9397-08002B2CF9AE}" pid="19" name="MSIP_Label_17da11e7-ad83-4459-98c6-12a88e2eac78_Application">
    <vt:lpwstr>Microsoft Azure Information Protection</vt:lpwstr>
  </property>
  <property fmtid="{D5CDD505-2E9C-101B-9397-08002B2CF9AE}" pid="20" name="MSIP_Label_17da11e7-ad83-4459-98c6-12a88e2eac78_Extended_MSFT_Method">
    <vt:lpwstr>Manual</vt:lpwstr>
  </property>
  <property fmtid="{D5CDD505-2E9C-101B-9397-08002B2CF9AE}" pid="21" name="Sensitivity">
    <vt:lpwstr>Non-Vodafone</vt:lpwstr>
  </property>
</Properties>
</file>