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A9CF15" w14:textId="408E7DE5" w:rsidR="002F1B64" w:rsidRPr="008028ED" w:rsidRDefault="0009293F" w:rsidP="00D231A4">
      <w:pPr>
        <w:pStyle w:val="a5"/>
        <w:tabs>
          <w:tab w:val="right" w:pos="9639"/>
        </w:tabs>
        <w:jc w:val="both"/>
        <w:rPr>
          <w:bCs/>
          <w:noProof w:val="0"/>
          <w:sz w:val="24"/>
          <w:lang w:eastAsia="zh-CN"/>
        </w:rPr>
      </w:pPr>
      <w:bookmarkStart w:id="0" w:name="_Ref452454252"/>
      <w:bookmarkStart w:id="1" w:name="OLE_LINK5"/>
      <w:bookmarkStart w:id="2" w:name="OLE_LINK6"/>
      <w:bookmarkEnd w:id="0"/>
      <w:r w:rsidRPr="0009293F">
        <w:rPr>
          <w:bCs/>
          <w:noProof w:val="0"/>
          <w:sz w:val="24"/>
        </w:rPr>
        <w:t>3GPP TSG RAN Meeting #8</w:t>
      </w:r>
      <w:r w:rsidR="008028ED">
        <w:rPr>
          <w:rFonts w:hint="eastAsia"/>
          <w:bCs/>
          <w:noProof w:val="0"/>
          <w:sz w:val="24"/>
        </w:rPr>
        <w:t>3</w:t>
      </w:r>
      <w:r w:rsidR="002F1B64" w:rsidRPr="00123204">
        <w:rPr>
          <w:bCs/>
          <w:noProof w:val="0"/>
          <w:sz w:val="24"/>
        </w:rPr>
        <w:tab/>
        <w:t>R</w:t>
      </w:r>
      <w:r w:rsidR="009E6E0E" w:rsidRPr="00123204">
        <w:rPr>
          <w:bCs/>
          <w:noProof w:val="0"/>
          <w:sz w:val="24"/>
        </w:rPr>
        <w:t>P</w:t>
      </w:r>
      <w:r w:rsidR="002F1B64" w:rsidRPr="00123204">
        <w:rPr>
          <w:bCs/>
          <w:noProof w:val="0"/>
          <w:sz w:val="24"/>
        </w:rPr>
        <w:t>-</w:t>
      </w:r>
      <w:r w:rsidR="00685516" w:rsidRPr="00123204">
        <w:rPr>
          <w:bCs/>
          <w:noProof w:val="0"/>
          <w:sz w:val="24"/>
        </w:rPr>
        <w:t>1</w:t>
      </w:r>
      <w:r w:rsidR="00D231A4">
        <w:rPr>
          <w:rFonts w:hint="eastAsia"/>
          <w:bCs/>
          <w:noProof w:val="0"/>
          <w:sz w:val="24"/>
        </w:rPr>
        <w:t>9</w:t>
      </w:r>
      <w:r w:rsidR="00D231A4">
        <w:rPr>
          <w:rFonts w:hint="eastAsia"/>
          <w:bCs/>
          <w:noProof w:val="0"/>
          <w:sz w:val="24"/>
          <w:lang w:eastAsia="zh-CN"/>
        </w:rPr>
        <w:t>0232</w:t>
      </w:r>
    </w:p>
    <w:bookmarkEnd w:id="1"/>
    <w:bookmarkEnd w:id="2"/>
    <w:p w14:paraId="0C635D20" w14:textId="77777777" w:rsidR="008028ED" w:rsidRPr="008028ED" w:rsidRDefault="008028ED" w:rsidP="00D231A4">
      <w:pPr>
        <w:pStyle w:val="a5"/>
        <w:tabs>
          <w:tab w:val="right" w:pos="9639"/>
        </w:tabs>
        <w:jc w:val="both"/>
        <w:rPr>
          <w:bCs/>
          <w:noProof w:val="0"/>
          <w:sz w:val="24"/>
        </w:rPr>
      </w:pPr>
      <w:r w:rsidRPr="008028ED">
        <w:rPr>
          <w:bCs/>
          <w:noProof w:val="0"/>
          <w:sz w:val="24"/>
        </w:rPr>
        <w:t>Shenzhen, China, March 18-21, 2019</w:t>
      </w:r>
    </w:p>
    <w:p w14:paraId="34412F41" w14:textId="77777777" w:rsidR="0009293F" w:rsidRPr="00123204" w:rsidRDefault="0009293F" w:rsidP="00D231A4">
      <w:pPr>
        <w:pStyle w:val="a5"/>
        <w:jc w:val="both"/>
        <w:rPr>
          <w:bCs/>
          <w:noProof w:val="0"/>
          <w:sz w:val="24"/>
          <w:lang w:eastAsia="zh-CN"/>
        </w:rPr>
      </w:pPr>
    </w:p>
    <w:p w14:paraId="512AB278" w14:textId="5713D3C5" w:rsidR="002F1B64" w:rsidRPr="0090223F" w:rsidRDefault="002F1B64" w:rsidP="00D231A4">
      <w:pPr>
        <w:pStyle w:val="CRCoverPage"/>
        <w:jc w:val="both"/>
        <w:rPr>
          <w:rFonts w:eastAsiaTheme="minorEastAsia" w:cs="Arial"/>
          <w:b/>
          <w:bCs/>
          <w:sz w:val="24"/>
          <w:lang w:val="en-US" w:eastAsia="zh-CN"/>
        </w:rPr>
      </w:pPr>
      <w:r w:rsidRPr="00123204">
        <w:rPr>
          <w:rFonts w:cs="Arial"/>
          <w:b/>
          <w:bCs/>
          <w:sz w:val="24"/>
          <w:lang w:val="en-US"/>
        </w:rPr>
        <w:t>Agenda item:</w:t>
      </w:r>
      <w:r w:rsidRPr="00123204">
        <w:rPr>
          <w:rFonts w:cs="Arial"/>
          <w:b/>
          <w:bCs/>
          <w:sz w:val="24"/>
          <w:lang w:val="en-US"/>
        </w:rPr>
        <w:tab/>
      </w:r>
      <w:r w:rsidRPr="00123204">
        <w:rPr>
          <w:rFonts w:cs="Arial"/>
          <w:b/>
          <w:bCs/>
          <w:sz w:val="24"/>
          <w:lang w:val="en-US"/>
        </w:rPr>
        <w:tab/>
      </w:r>
      <w:r w:rsidR="002C1A02" w:rsidRPr="00123204">
        <w:rPr>
          <w:rFonts w:cs="Arial"/>
          <w:b/>
          <w:bCs/>
          <w:sz w:val="24"/>
          <w:lang w:val="en-US"/>
        </w:rPr>
        <w:t>9.</w:t>
      </w:r>
      <w:r w:rsidR="00123204" w:rsidRPr="00123204">
        <w:rPr>
          <w:rFonts w:cs="Arial"/>
          <w:b/>
          <w:bCs/>
          <w:sz w:val="24"/>
          <w:lang w:val="en-US"/>
        </w:rPr>
        <w:t>1</w:t>
      </w:r>
      <w:r w:rsidR="002C1A02" w:rsidRPr="00123204">
        <w:rPr>
          <w:rFonts w:cs="Arial"/>
          <w:b/>
          <w:bCs/>
          <w:sz w:val="24"/>
          <w:lang w:val="en-US"/>
        </w:rPr>
        <w:t>.</w:t>
      </w:r>
      <w:r w:rsidR="008028ED">
        <w:rPr>
          <w:rFonts w:eastAsiaTheme="minorEastAsia" w:cs="Arial" w:hint="eastAsia"/>
          <w:b/>
          <w:bCs/>
          <w:sz w:val="24"/>
          <w:lang w:val="en-US" w:eastAsia="zh-CN"/>
        </w:rPr>
        <w:t>1</w:t>
      </w:r>
    </w:p>
    <w:p w14:paraId="6E0D7CCF" w14:textId="4E57B8CE" w:rsidR="002F1B64" w:rsidRPr="0009293F" w:rsidRDefault="002F1B64" w:rsidP="00D231A4">
      <w:pPr>
        <w:tabs>
          <w:tab w:val="left" w:pos="1985"/>
        </w:tabs>
        <w:ind w:left="1985" w:hanging="1985"/>
        <w:rPr>
          <w:rFonts w:ascii="Arial" w:hAnsi="Arial" w:cs="Arial"/>
          <w:b/>
          <w:bCs/>
          <w:sz w:val="24"/>
        </w:rPr>
      </w:pPr>
      <w:r w:rsidRPr="0009293F">
        <w:rPr>
          <w:rFonts w:ascii="Arial" w:hAnsi="Arial" w:cs="Arial"/>
          <w:b/>
          <w:bCs/>
          <w:sz w:val="24"/>
        </w:rPr>
        <w:t>Source:</w:t>
      </w:r>
      <w:r w:rsidRPr="0009293F">
        <w:rPr>
          <w:rFonts w:ascii="Arial" w:hAnsi="Arial" w:cs="Arial"/>
          <w:b/>
          <w:bCs/>
          <w:sz w:val="24"/>
        </w:rPr>
        <w:tab/>
      </w:r>
      <w:r w:rsidR="0009293F">
        <w:rPr>
          <w:rFonts w:ascii="Arial" w:hAnsi="Arial" w:cs="Arial" w:hint="eastAsia"/>
          <w:b/>
          <w:bCs/>
          <w:sz w:val="24"/>
        </w:rPr>
        <w:t>OPPO</w:t>
      </w:r>
    </w:p>
    <w:p w14:paraId="1679FB86" w14:textId="35302468" w:rsidR="002F1B64" w:rsidRPr="0009293F" w:rsidRDefault="002F1B64" w:rsidP="00D231A4">
      <w:pPr>
        <w:ind w:left="1985" w:hanging="1985"/>
        <w:rPr>
          <w:rFonts w:ascii="Arial" w:eastAsia="MS Mincho" w:hAnsi="Arial" w:cs="Arial"/>
          <w:b/>
          <w:bCs/>
          <w:sz w:val="24"/>
          <w:lang w:eastAsia="ja-JP"/>
        </w:rPr>
      </w:pPr>
      <w:r w:rsidRPr="0009293F">
        <w:rPr>
          <w:rFonts w:ascii="Arial" w:hAnsi="Arial" w:cs="Arial"/>
          <w:b/>
          <w:bCs/>
          <w:sz w:val="24"/>
        </w:rPr>
        <w:t>Title:</w:t>
      </w:r>
      <w:r w:rsidRPr="0009293F">
        <w:rPr>
          <w:rFonts w:ascii="Arial" w:hAnsi="Arial" w:cs="Arial"/>
          <w:b/>
          <w:bCs/>
          <w:sz w:val="24"/>
        </w:rPr>
        <w:tab/>
      </w:r>
      <w:r w:rsidR="008028ED" w:rsidRPr="008028ED">
        <w:rPr>
          <w:rFonts w:ascii="Arial" w:hAnsi="Arial" w:cs="Arial"/>
          <w:b/>
          <w:bCs/>
          <w:sz w:val="24"/>
        </w:rPr>
        <w:t>Considerations on the scope of  physical layer enhancements for NR URLLC WID</w:t>
      </w:r>
    </w:p>
    <w:p w14:paraId="60B313ED" w14:textId="77777777" w:rsidR="002F1B64" w:rsidRPr="0009293F" w:rsidRDefault="002F1B64" w:rsidP="00D231A4">
      <w:pPr>
        <w:rPr>
          <w:rFonts w:ascii="Arial" w:hAnsi="Arial" w:cs="Arial"/>
          <w:b/>
          <w:bCs/>
          <w:sz w:val="24"/>
        </w:rPr>
      </w:pPr>
      <w:r w:rsidRPr="0009293F">
        <w:rPr>
          <w:rFonts w:ascii="Arial" w:hAnsi="Arial" w:cs="Arial"/>
          <w:b/>
          <w:bCs/>
          <w:sz w:val="24"/>
        </w:rPr>
        <w:t>Document for:</w:t>
      </w:r>
      <w:r w:rsidRPr="0009293F">
        <w:rPr>
          <w:rFonts w:ascii="Arial" w:hAnsi="Arial" w:cs="Arial"/>
          <w:b/>
          <w:bCs/>
          <w:sz w:val="24"/>
        </w:rPr>
        <w:tab/>
      </w:r>
      <w:r w:rsidRPr="0009293F">
        <w:rPr>
          <w:rFonts w:ascii="Arial" w:hAnsi="Arial" w:cs="Arial"/>
          <w:b/>
          <w:bCs/>
          <w:sz w:val="24"/>
        </w:rPr>
        <w:tab/>
        <w:t>Discussion and Decision</w:t>
      </w:r>
    </w:p>
    <w:p w14:paraId="5110598B" w14:textId="77777777" w:rsidR="0034111C" w:rsidRPr="003B28C8" w:rsidRDefault="0034111C" w:rsidP="00D231A4">
      <w:pPr>
        <w:pStyle w:val="1"/>
        <w:jc w:val="both"/>
        <w:rPr>
          <w:rFonts w:ascii="Times New Roman" w:hAnsi="Times New Roman"/>
        </w:rPr>
      </w:pPr>
      <w:r w:rsidRPr="003B28C8">
        <w:rPr>
          <w:rFonts w:ascii="Times New Roman" w:hAnsi="Times New Roman"/>
        </w:rPr>
        <w:t>1</w:t>
      </w:r>
      <w:r w:rsidRPr="003B28C8">
        <w:rPr>
          <w:rFonts w:ascii="Times New Roman" w:hAnsi="Times New Roman"/>
        </w:rPr>
        <w:tab/>
      </w:r>
      <w:r w:rsidR="00EE7FA7" w:rsidRPr="003B28C8">
        <w:rPr>
          <w:rFonts w:ascii="Times New Roman" w:hAnsi="Times New Roman"/>
        </w:rPr>
        <w:t>Introduction</w:t>
      </w:r>
    </w:p>
    <w:p w14:paraId="18DDA983" w14:textId="767F43A6" w:rsidR="003F0CBC" w:rsidRPr="003B28C8" w:rsidRDefault="00D01638" w:rsidP="00D231A4">
      <w:pPr>
        <w:tabs>
          <w:tab w:val="num" w:pos="720"/>
        </w:tabs>
        <w:spacing w:afterLines="50" w:after="120"/>
        <w:rPr>
          <w:rFonts w:ascii="Times New Roman" w:hAnsi="Times New Roman" w:cs="Times New Roman"/>
          <w:bCs/>
        </w:rPr>
      </w:pPr>
      <w:r>
        <w:rPr>
          <w:rFonts w:ascii="Times New Roman" w:hAnsi="Times New Roman" w:cs="Times New Roman" w:hint="eastAsia"/>
          <w:bCs/>
        </w:rPr>
        <w:t xml:space="preserve">Physcial layer enhancements for </w:t>
      </w:r>
      <w:r w:rsidR="003B28C8">
        <w:rPr>
          <w:rFonts w:ascii="Times New Roman" w:hAnsi="Times New Roman" w:cs="Times New Roman" w:hint="eastAsia"/>
          <w:bCs/>
        </w:rPr>
        <w:t xml:space="preserve">NR </w:t>
      </w:r>
      <w:r w:rsidR="003B28C8" w:rsidRPr="003B28C8">
        <w:rPr>
          <w:rFonts w:ascii="Times New Roman" w:hAnsi="Times New Roman" w:cs="Times New Roman"/>
          <w:bCs/>
        </w:rPr>
        <w:t>URLLC</w:t>
      </w:r>
      <w:r>
        <w:rPr>
          <w:rFonts w:ascii="Times New Roman" w:hAnsi="Times New Roman" w:cs="Times New Roman" w:hint="eastAsia"/>
          <w:bCs/>
        </w:rPr>
        <w:t xml:space="preserve"> has been studied and some recommendation are proposed in [1]</w:t>
      </w:r>
      <w:r w:rsidR="003B28C8">
        <w:rPr>
          <w:rFonts w:ascii="Times New Roman" w:hAnsi="Times New Roman" w:cs="Times New Roman" w:hint="eastAsia"/>
          <w:bCs/>
        </w:rPr>
        <w:t>.</w:t>
      </w:r>
      <w:r>
        <w:rPr>
          <w:rFonts w:ascii="Times New Roman" w:hAnsi="Times New Roman" w:cs="Times New Roman" w:hint="eastAsia"/>
          <w:bCs/>
        </w:rPr>
        <w:t xml:space="preserve"> In this contribution, the scope of physical </w:t>
      </w:r>
      <w:r>
        <w:rPr>
          <w:rFonts w:ascii="Times New Roman" w:hAnsi="Times New Roman" w:cs="Times New Roman"/>
          <w:bCs/>
        </w:rPr>
        <w:t>layer</w:t>
      </w:r>
      <w:r>
        <w:rPr>
          <w:rFonts w:ascii="Times New Roman" w:hAnsi="Times New Roman" w:cs="Times New Roman" w:hint="eastAsia"/>
          <w:bCs/>
        </w:rPr>
        <w:t xml:space="preserve"> enhancements for NR URLLC WID is discussed.</w:t>
      </w:r>
    </w:p>
    <w:p w14:paraId="13339D3F" w14:textId="4694AEE9" w:rsidR="004B23AD" w:rsidRDefault="008D4B8A" w:rsidP="00D231A4">
      <w:pPr>
        <w:pStyle w:val="1"/>
        <w:jc w:val="both"/>
        <w:rPr>
          <w:lang w:eastAsia="zh-CN"/>
        </w:rPr>
      </w:pPr>
      <w:r w:rsidRPr="00257B3B">
        <w:rPr>
          <w:color w:val="000000"/>
        </w:rPr>
        <w:t>2</w:t>
      </w:r>
      <w:r w:rsidR="00101975">
        <w:rPr>
          <w:rFonts w:eastAsia="MS Mincho" w:hint="eastAsia"/>
          <w:color w:val="000000"/>
          <w:lang w:eastAsia="ja-JP"/>
        </w:rPr>
        <w:tab/>
      </w:r>
      <w:r w:rsidR="00101975">
        <w:rPr>
          <w:rFonts w:eastAsia="MS Mincho" w:hint="eastAsia"/>
          <w:color w:val="000000"/>
          <w:lang w:eastAsia="ja-JP"/>
        </w:rPr>
        <w:tab/>
      </w:r>
      <w:r w:rsidR="00DC129F" w:rsidRPr="00257B3B">
        <w:t>Discussion</w:t>
      </w:r>
    </w:p>
    <w:p w14:paraId="171B37A3" w14:textId="5FA7A4F1" w:rsidR="003B28C8" w:rsidRDefault="00D01638" w:rsidP="00D231A4">
      <w:pPr>
        <w:rPr>
          <w:rFonts w:ascii="Times New Roman" w:hAnsi="Times New Roman" w:cs="Times New Roman"/>
          <w:bCs/>
        </w:rPr>
      </w:pPr>
      <w:r>
        <w:rPr>
          <w:rFonts w:ascii="Times New Roman" w:hAnsi="Times New Roman" w:cs="Times New Roman" w:hint="eastAsia"/>
          <w:bCs/>
        </w:rPr>
        <w:t xml:space="preserve">In [1], some recommendations are proposed and for scope of </w:t>
      </w:r>
      <w:r>
        <w:rPr>
          <w:rFonts w:ascii="Times New Roman" w:hAnsi="Times New Roman" w:cs="Times New Roman"/>
          <w:bCs/>
        </w:rPr>
        <w:t>physical</w:t>
      </w:r>
      <w:r>
        <w:rPr>
          <w:rFonts w:ascii="Times New Roman" w:hAnsi="Times New Roman" w:cs="Times New Roman" w:hint="eastAsia"/>
          <w:bCs/>
        </w:rPr>
        <w:t xml:space="preserve"> layer enhancements for NR URLLC WID, we should follow the recommendation completely:</w:t>
      </w:r>
    </w:p>
    <w:p w14:paraId="208C6299" w14:textId="77777777" w:rsidR="00D01638" w:rsidRDefault="00D01638" w:rsidP="00D231A4">
      <w:pPr>
        <w:rPr>
          <w:rFonts w:ascii="Times New Roman" w:hAnsi="Times New Roman" w:cs="Times New Roman"/>
          <w:bCs/>
        </w:rPr>
      </w:pPr>
    </w:p>
    <w:p w14:paraId="44AF48D8" w14:textId="77777777" w:rsidR="00D01638" w:rsidRDefault="00D01638" w:rsidP="00D231A4">
      <w:pPr>
        <w:widowControl/>
        <w:numPr>
          <w:ilvl w:val="0"/>
          <w:numId w:val="47"/>
        </w:numPr>
        <w:overflowPunct w:val="0"/>
        <w:autoSpaceDE w:val="0"/>
        <w:autoSpaceDN w:val="0"/>
        <w:adjustRightInd w:val="0"/>
        <w:spacing w:afterLines="50" w:after="120"/>
        <w:textAlignment w:val="baseline"/>
        <w:rPr>
          <w:rFonts w:ascii="Times New Roman" w:hAnsi="Times New Roman" w:cs="Times New Roman"/>
          <w:color w:val="000000"/>
          <w:lang w:eastAsia="ko-KR"/>
        </w:rPr>
      </w:pPr>
      <w:r w:rsidRPr="00D01638">
        <w:rPr>
          <w:rFonts w:ascii="Times New Roman" w:hAnsi="Times New Roman" w:cs="Times New Roman" w:hint="eastAsia"/>
          <w:color w:val="000000"/>
          <w:lang w:eastAsia="ko-KR"/>
        </w:rPr>
        <w:t xml:space="preserve">On PDCCH enhancements, DCI format(s) with configurable size and increased PDCCH monitoring capability are recommended to support. </w:t>
      </w:r>
    </w:p>
    <w:p w14:paraId="2C612BB4" w14:textId="619F7D4B" w:rsidR="00D01638" w:rsidRDefault="00D01638" w:rsidP="00D231A4">
      <w:pPr>
        <w:widowControl/>
        <w:numPr>
          <w:ilvl w:val="1"/>
          <w:numId w:val="47"/>
        </w:numPr>
        <w:overflowPunct w:val="0"/>
        <w:autoSpaceDE w:val="0"/>
        <w:autoSpaceDN w:val="0"/>
        <w:adjustRightInd w:val="0"/>
        <w:spacing w:afterLines="50" w:after="120"/>
        <w:textAlignment w:val="baseline"/>
        <w:rPr>
          <w:rFonts w:ascii="Times New Roman" w:hAnsi="Times New Roman" w:cs="Times New Roman"/>
          <w:color w:val="000000"/>
          <w:lang w:eastAsia="ko-KR"/>
        </w:rPr>
      </w:pPr>
      <w:r w:rsidRPr="00D01638">
        <w:rPr>
          <w:rFonts w:ascii="Times New Roman" w:hAnsi="Times New Roman" w:cs="Times New Roman" w:hint="eastAsia"/>
          <w:color w:val="000000"/>
          <w:lang w:eastAsia="ko-KR"/>
        </w:rPr>
        <w:t xml:space="preserve">DCI format(s) with configurable size </w:t>
      </w:r>
      <w:r>
        <w:rPr>
          <w:rFonts w:ascii="Times New Roman" w:hAnsi="Times New Roman" w:cs="Times New Roman" w:hint="eastAsia"/>
          <w:color w:val="000000"/>
        </w:rPr>
        <w:t>is benefit for ultra-reliability (e.g. bler=1e-6) and spectrum efficiency. In some scenarios, e.g.</w:t>
      </w:r>
      <w:r w:rsidRPr="00D01638">
        <w:rPr>
          <w:rFonts w:ascii="Times New Roman" w:hAnsi="Times New Roman" w:cs="Times New Roman"/>
          <w:color w:val="000000"/>
        </w:rPr>
        <w:t xml:space="preserve"> carrier frequency 700MHz with antenna configuration of 2 Tx/2 Rx, channel model of TDL-C 300 ns, 20 MHz and a CORESET with 2 symbols</w:t>
      </w:r>
      <w:r>
        <w:rPr>
          <w:rFonts w:ascii="Times New Roman" w:hAnsi="Times New Roman" w:cs="Times New Roman" w:hint="eastAsia"/>
          <w:color w:val="000000"/>
        </w:rPr>
        <w:t xml:space="preserve">, current DCI payload with highest </w:t>
      </w:r>
      <w:r>
        <w:rPr>
          <w:rFonts w:ascii="Times New Roman" w:hAnsi="Times New Roman" w:cs="Times New Roman"/>
          <w:color w:val="000000"/>
        </w:rPr>
        <w:t>aggregation</w:t>
      </w:r>
      <w:r>
        <w:rPr>
          <w:rFonts w:ascii="Times New Roman" w:hAnsi="Times New Roman" w:cs="Times New Roman" w:hint="eastAsia"/>
          <w:color w:val="000000"/>
        </w:rPr>
        <w:t xml:space="preserve"> level ,e.g. AL=16 can not meet reliability of 99.9999%. So </w:t>
      </w:r>
      <w:r w:rsidRPr="00D01638">
        <w:rPr>
          <w:rFonts w:ascii="Times New Roman" w:hAnsi="Times New Roman" w:cs="Times New Roman"/>
          <w:color w:val="000000"/>
        </w:rPr>
        <w:t>DCI size target a reduction of 10~16 bits less than the DCI format size of Rel-15 fallback DCI</w:t>
      </w:r>
      <w:r>
        <w:rPr>
          <w:rFonts w:ascii="Times New Roman" w:hAnsi="Times New Roman" w:cs="Times New Roman" w:hint="eastAsia"/>
          <w:color w:val="000000"/>
        </w:rPr>
        <w:t xml:space="preserve"> needs to be supported.In addition, more extreme scenarios are considered in Rel 16 SID and spectrum efficiency needs to be improved to reduce system congestion. DCI format(s) with configurable size is a simple specification solution to support </w:t>
      </w:r>
      <w:r>
        <w:rPr>
          <w:rFonts w:ascii="Times New Roman" w:hAnsi="Times New Roman" w:cs="Times New Roman"/>
          <w:color w:val="000000"/>
        </w:rPr>
        <w:t>various</w:t>
      </w:r>
      <w:r>
        <w:rPr>
          <w:rFonts w:ascii="Times New Roman" w:hAnsi="Times New Roman" w:cs="Times New Roman" w:hint="eastAsia"/>
          <w:color w:val="000000"/>
        </w:rPr>
        <w:t xml:space="preserve"> requirements. </w:t>
      </w:r>
    </w:p>
    <w:p w14:paraId="5184710B" w14:textId="575CFC53" w:rsidR="00D01638" w:rsidRDefault="00D01638" w:rsidP="00D231A4">
      <w:pPr>
        <w:widowControl/>
        <w:numPr>
          <w:ilvl w:val="2"/>
          <w:numId w:val="47"/>
        </w:numPr>
        <w:overflowPunct w:val="0"/>
        <w:autoSpaceDE w:val="0"/>
        <w:autoSpaceDN w:val="0"/>
        <w:adjustRightInd w:val="0"/>
        <w:spacing w:afterLines="50" w:after="120"/>
        <w:textAlignment w:val="baseline"/>
        <w:rPr>
          <w:rFonts w:ascii="Times New Roman" w:hAnsi="Times New Roman" w:cs="Times New Roman"/>
          <w:color w:val="000000"/>
          <w:lang w:eastAsia="ko-KR"/>
        </w:rPr>
      </w:pPr>
      <w:r>
        <w:rPr>
          <w:rFonts w:ascii="Times New Roman" w:hAnsi="Times New Roman" w:cs="Times New Roman" w:hint="eastAsia"/>
          <w:color w:val="000000"/>
        </w:rPr>
        <w:t xml:space="preserve">DCI format(s) with configurable size should be supported. </w:t>
      </w:r>
    </w:p>
    <w:p w14:paraId="4E5CF8B6" w14:textId="1064CD98" w:rsidR="00D01638" w:rsidRDefault="00D01638" w:rsidP="00D231A4">
      <w:pPr>
        <w:widowControl/>
        <w:numPr>
          <w:ilvl w:val="2"/>
          <w:numId w:val="47"/>
        </w:numPr>
        <w:overflowPunct w:val="0"/>
        <w:autoSpaceDE w:val="0"/>
        <w:autoSpaceDN w:val="0"/>
        <w:adjustRightInd w:val="0"/>
        <w:spacing w:afterLines="50" w:after="120"/>
        <w:textAlignment w:val="baseline"/>
        <w:rPr>
          <w:rFonts w:ascii="Times New Roman" w:hAnsi="Times New Roman" w:cs="Times New Roman"/>
          <w:color w:val="000000"/>
          <w:lang w:eastAsia="ko-KR"/>
        </w:rPr>
      </w:pPr>
      <w:r>
        <w:rPr>
          <w:rFonts w:ascii="Times New Roman" w:hAnsi="Times New Roman" w:cs="Times New Roman" w:hint="eastAsia"/>
          <w:color w:val="000000"/>
        </w:rPr>
        <w:t>Enhancements on DCI size alignment and PDCCH monitoring capability need to be considered.</w:t>
      </w:r>
    </w:p>
    <w:p w14:paraId="1B2F4660" w14:textId="1B94578B" w:rsidR="00D01638" w:rsidRDefault="00D01638" w:rsidP="00D231A4">
      <w:pPr>
        <w:widowControl/>
        <w:numPr>
          <w:ilvl w:val="1"/>
          <w:numId w:val="47"/>
        </w:numPr>
        <w:overflowPunct w:val="0"/>
        <w:autoSpaceDE w:val="0"/>
        <w:autoSpaceDN w:val="0"/>
        <w:adjustRightInd w:val="0"/>
        <w:spacing w:afterLines="50" w:after="120"/>
        <w:textAlignment w:val="baseline"/>
        <w:rPr>
          <w:rFonts w:ascii="Times New Roman" w:hAnsi="Times New Roman" w:cs="Times New Roman"/>
          <w:color w:val="000000"/>
          <w:lang w:eastAsia="ko-KR"/>
        </w:rPr>
      </w:pPr>
      <w:r>
        <w:rPr>
          <w:rFonts w:ascii="Times New Roman" w:hAnsi="Times New Roman" w:cs="Times New Roman" w:hint="eastAsia"/>
          <w:color w:val="000000"/>
        </w:rPr>
        <w:t xml:space="preserve">Increased PDCCH monitoring capability is </w:t>
      </w:r>
      <w:r>
        <w:rPr>
          <w:rFonts w:ascii="Times New Roman" w:hAnsi="Times New Roman" w:cs="Times New Roman"/>
          <w:color w:val="000000"/>
        </w:rPr>
        <w:t>benefit to reduce latency by providing more PDCCH monitoring occasions. In</w:t>
      </w:r>
      <w:r>
        <w:rPr>
          <w:rFonts w:ascii="Times New Roman" w:hAnsi="Times New Roman" w:cs="Times New Roman" w:hint="eastAsia"/>
          <w:color w:val="000000"/>
        </w:rPr>
        <w:t xml:space="preserve"> Rel 15, </w:t>
      </w:r>
      <w:r w:rsidRPr="00D01638">
        <w:rPr>
          <w:rFonts w:ascii="Times New Roman" w:hAnsi="Times New Roman" w:cs="Times New Roman" w:hint="eastAsia"/>
          <w:color w:val="000000"/>
        </w:rPr>
        <w:t xml:space="preserve">PDSCH scheduling occasion can not be frequent,e.g. per 2-symbol or </w:t>
      </w:r>
      <w:r>
        <w:rPr>
          <w:rFonts w:ascii="Times New Roman" w:hAnsi="Times New Roman" w:cs="Times New Roman" w:hint="eastAsia"/>
          <w:color w:val="000000"/>
        </w:rPr>
        <w:t>can not apply highest aggregation level to meet reliability</w:t>
      </w:r>
      <w:r w:rsidRPr="00D01638">
        <w:rPr>
          <w:rFonts w:ascii="Times New Roman" w:hAnsi="Times New Roman" w:cs="Times New Roman" w:hint="eastAsia"/>
          <w:color w:val="000000"/>
        </w:rPr>
        <w:t xml:space="preserve">. Take SCS = 15kHz as an example, According to defined PDCCH monitoring capability in Rel 15, each PDCCH monitoring occasion can have up to 6 PDCCH candidates and 8 non-overlapped CCEs. Assuming the UE receives DL </w:t>
      </w:r>
      <w:r w:rsidRPr="00D01638">
        <w:rPr>
          <w:rFonts w:ascii="Times New Roman" w:hAnsi="Times New Roman" w:cs="Times New Roman"/>
          <w:color w:val="000000"/>
        </w:rPr>
        <w:t>assignment</w:t>
      </w:r>
      <w:r w:rsidRPr="00D01638">
        <w:rPr>
          <w:rFonts w:ascii="Times New Roman" w:hAnsi="Times New Roman" w:cs="Times New Roman" w:hint="eastAsia"/>
          <w:color w:val="000000"/>
        </w:rPr>
        <w:t xml:space="preserve"> and UL grant at one time of PDCCH monitoring occasion, each PDCCH (i.e., DL assignment or UL grant) can have up to 4 CCEs, which may not meet </w:t>
      </w:r>
      <w:r w:rsidRPr="00D01638">
        <w:rPr>
          <w:rFonts w:ascii="Times New Roman" w:hAnsi="Times New Roman" w:cs="Times New Roman"/>
          <w:color w:val="000000"/>
        </w:rPr>
        <w:t>reliability</w:t>
      </w:r>
      <w:r w:rsidRPr="00D01638">
        <w:rPr>
          <w:rFonts w:ascii="Times New Roman" w:hAnsi="Times New Roman" w:cs="Times New Roman" w:hint="eastAsia"/>
          <w:color w:val="000000"/>
        </w:rPr>
        <w:t xml:space="preserve"> requirement for UEs with low SINR</w:t>
      </w:r>
    </w:p>
    <w:p w14:paraId="2DD24596" w14:textId="194F7513" w:rsidR="00D01638" w:rsidRDefault="00D01638" w:rsidP="00D231A4">
      <w:pPr>
        <w:widowControl/>
        <w:numPr>
          <w:ilvl w:val="2"/>
          <w:numId w:val="47"/>
        </w:numPr>
        <w:overflowPunct w:val="0"/>
        <w:autoSpaceDE w:val="0"/>
        <w:autoSpaceDN w:val="0"/>
        <w:adjustRightInd w:val="0"/>
        <w:spacing w:afterLines="50" w:after="120"/>
        <w:textAlignment w:val="baseline"/>
        <w:rPr>
          <w:rFonts w:ascii="Times New Roman" w:hAnsi="Times New Roman" w:cs="Times New Roman"/>
          <w:color w:val="000000"/>
          <w:lang w:eastAsia="ko-KR"/>
        </w:rPr>
      </w:pPr>
      <w:r>
        <w:rPr>
          <w:rFonts w:ascii="Times New Roman" w:hAnsi="Times New Roman" w:cs="Times New Roman"/>
          <w:color w:val="000000"/>
        </w:rPr>
        <w:t>T</w:t>
      </w:r>
      <w:r>
        <w:rPr>
          <w:rFonts w:ascii="Times New Roman" w:hAnsi="Times New Roman" w:cs="Times New Roman" w:hint="eastAsia"/>
          <w:color w:val="000000"/>
        </w:rPr>
        <w:t>he maximum number of non-overlapped CCEs per slot for channel estimation for Rel16 NR URLLC should be enhanced firstly.</w:t>
      </w:r>
    </w:p>
    <w:p w14:paraId="723ABFC7" w14:textId="3E3B2ECD" w:rsidR="00D01638" w:rsidRDefault="00D01638" w:rsidP="00D231A4">
      <w:pPr>
        <w:widowControl/>
        <w:numPr>
          <w:ilvl w:val="2"/>
          <w:numId w:val="47"/>
        </w:numPr>
        <w:overflowPunct w:val="0"/>
        <w:autoSpaceDE w:val="0"/>
        <w:autoSpaceDN w:val="0"/>
        <w:adjustRightInd w:val="0"/>
        <w:spacing w:afterLines="50" w:after="120"/>
        <w:textAlignment w:val="baseline"/>
        <w:rPr>
          <w:rFonts w:ascii="Times New Roman" w:hAnsi="Times New Roman" w:cs="Times New Roman"/>
          <w:color w:val="000000"/>
          <w:lang w:eastAsia="ko-KR"/>
        </w:rPr>
      </w:pPr>
      <w:r>
        <w:rPr>
          <w:rFonts w:ascii="Times New Roman" w:hAnsi="Times New Roman" w:cs="Times New Roman" w:hint="eastAsia"/>
          <w:color w:val="000000"/>
        </w:rPr>
        <w:t>Additional restrictions can be considered to reduce UE complexity.</w:t>
      </w:r>
    </w:p>
    <w:p w14:paraId="13E91B18" w14:textId="248BABFB" w:rsidR="00D01638" w:rsidRDefault="00D01638" w:rsidP="00D231A4">
      <w:pPr>
        <w:widowControl/>
        <w:numPr>
          <w:ilvl w:val="0"/>
          <w:numId w:val="47"/>
        </w:numPr>
        <w:overflowPunct w:val="0"/>
        <w:autoSpaceDE w:val="0"/>
        <w:autoSpaceDN w:val="0"/>
        <w:adjustRightInd w:val="0"/>
        <w:spacing w:afterLines="50" w:after="120"/>
        <w:textAlignment w:val="baseline"/>
        <w:rPr>
          <w:rFonts w:ascii="Times New Roman" w:hAnsi="Times New Roman" w:cs="Times New Roman"/>
          <w:color w:val="000000"/>
          <w:lang w:eastAsia="ko-KR"/>
        </w:rPr>
      </w:pPr>
      <w:r>
        <w:rPr>
          <w:rFonts w:ascii="Times New Roman" w:hAnsi="Times New Roman" w:cs="Times New Roman" w:hint="eastAsia"/>
          <w:color w:val="000000"/>
        </w:rPr>
        <w:t xml:space="preserve">UCI enhancement, More than one PUCCH for HARQ-ACK </w:t>
      </w:r>
      <w:r>
        <w:rPr>
          <w:rFonts w:ascii="Times New Roman" w:hAnsi="Times New Roman" w:cs="Times New Roman"/>
          <w:color w:val="000000"/>
        </w:rPr>
        <w:t>transmission</w:t>
      </w:r>
      <w:r>
        <w:rPr>
          <w:rFonts w:ascii="Times New Roman" w:hAnsi="Times New Roman" w:cs="Times New Roman" w:hint="eastAsia"/>
          <w:color w:val="000000"/>
        </w:rPr>
        <w:t xml:space="preserve"> within a slot and at least two HARQ-ACK codebooks can be simultaneously constructed are recommended to support.</w:t>
      </w:r>
    </w:p>
    <w:p w14:paraId="7AAD6E3A" w14:textId="54765C61" w:rsidR="00D01638" w:rsidRDefault="00D01638" w:rsidP="00D231A4">
      <w:pPr>
        <w:widowControl/>
        <w:numPr>
          <w:ilvl w:val="1"/>
          <w:numId w:val="47"/>
        </w:numPr>
        <w:overflowPunct w:val="0"/>
        <w:autoSpaceDE w:val="0"/>
        <w:autoSpaceDN w:val="0"/>
        <w:adjustRightInd w:val="0"/>
        <w:spacing w:afterLines="50" w:after="120"/>
        <w:textAlignment w:val="baseline"/>
        <w:rPr>
          <w:rFonts w:ascii="Times New Roman" w:hAnsi="Times New Roman" w:cs="Times New Roman"/>
          <w:color w:val="000000"/>
          <w:lang w:eastAsia="ko-KR"/>
        </w:rPr>
      </w:pPr>
      <w:r>
        <w:rPr>
          <w:rFonts w:ascii="Times New Roman" w:hAnsi="Times New Roman" w:cs="Times New Roman" w:hint="eastAsia"/>
          <w:color w:val="000000"/>
        </w:rPr>
        <w:t>More than one PUCCH for HARQ-ACK transmission within a slot is benefit to reduce latency and make HARQ retransmission more feasible. In Rel15, only one PUCCH for HARQ-ACK transmission within one slot is allowed and the maximum delay from HARQ-ACK transmission is 0.25ms-1ms for SCS 60/30/15khz, which cost much delay budget.</w:t>
      </w:r>
    </w:p>
    <w:p w14:paraId="1BD2D9A1" w14:textId="011839E6" w:rsidR="00D01638" w:rsidRDefault="00D01638" w:rsidP="00D231A4">
      <w:pPr>
        <w:widowControl/>
        <w:numPr>
          <w:ilvl w:val="2"/>
          <w:numId w:val="47"/>
        </w:numPr>
        <w:overflowPunct w:val="0"/>
        <w:autoSpaceDE w:val="0"/>
        <w:autoSpaceDN w:val="0"/>
        <w:adjustRightInd w:val="0"/>
        <w:spacing w:afterLines="50" w:after="120"/>
        <w:textAlignment w:val="baseline"/>
        <w:rPr>
          <w:rFonts w:ascii="Times New Roman" w:hAnsi="Times New Roman" w:cs="Times New Roman"/>
          <w:color w:val="000000"/>
        </w:rPr>
      </w:pPr>
      <w:r w:rsidRPr="00D01638">
        <w:rPr>
          <w:rFonts w:ascii="Times New Roman" w:hAnsi="Times New Roman" w:cs="Times New Roman"/>
          <w:color w:val="000000"/>
        </w:rPr>
        <w:t xml:space="preserve">Enhanced reporting procedure/feedback for HARQ-ACK are </w:t>
      </w:r>
      <w:r>
        <w:rPr>
          <w:rFonts w:ascii="Times New Roman" w:hAnsi="Times New Roman" w:cs="Times New Roman" w:hint="eastAsia"/>
          <w:color w:val="000000"/>
        </w:rPr>
        <w:t>considered</w:t>
      </w:r>
      <w:r w:rsidRPr="00D01638">
        <w:rPr>
          <w:rFonts w:ascii="Times New Roman" w:hAnsi="Times New Roman" w:cs="Times New Roman"/>
          <w:color w:val="000000"/>
        </w:rPr>
        <w:t xml:space="preserve"> from several aspects, including enhanced HARQ-ACK multiplexing on PUSCH and PUCCH</w:t>
      </w:r>
      <w:r>
        <w:rPr>
          <w:rFonts w:ascii="Times New Roman" w:hAnsi="Times New Roman" w:cs="Times New Roman"/>
          <w:color w:val="000000"/>
        </w:rPr>
        <w:t>。</w:t>
      </w:r>
    </w:p>
    <w:p w14:paraId="4204ADD8" w14:textId="38968159" w:rsidR="00D01638" w:rsidRPr="00D01638" w:rsidRDefault="00D01638" w:rsidP="00D231A4">
      <w:pPr>
        <w:widowControl/>
        <w:numPr>
          <w:ilvl w:val="2"/>
          <w:numId w:val="47"/>
        </w:numPr>
        <w:overflowPunct w:val="0"/>
        <w:autoSpaceDE w:val="0"/>
        <w:autoSpaceDN w:val="0"/>
        <w:adjustRightInd w:val="0"/>
        <w:spacing w:afterLines="50" w:after="120"/>
        <w:textAlignment w:val="baseline"/>
        <w:rPr>
          <w:rFonts w:ascii="Times New Roman" w:hAnsi="Times New Roman" w:cs="Times New Roman"/>
          <w:color w:val="000000"/>
        </w:rPr>
      </w:pPr>
      <w:r w:rsidRPr="00D01638">
        <w:rPr>
          <w:rFonts w:ascii="Times New Roman" w:hAnsi="Times New Roman" w:cs="Times New Roman"/>
          <w:color w:val="000000"/>
        </w:rPr>
        <w:t>Finer indication for HARQ feedback timing (e.g. symbol-level or half-slot)</w:t>
      </w:r>
      <w:r w:rsidRPr="00D01638">
        <w:rPr>
          <w:rFonts w:ascii="Times New Roman" w:hAnsi="Times New Roman" w:cs="Times New Roman" w:hint="eastAsia"/>
          <w:color w:val="000000"/>
        </w:rPr>
        <w:t xml:space="preserve">.  </w:t>
      </w:r>
    </w:p>
    <w:p w14:paraId="1FF41B7A" w14:textId="24EF303C" w:rsidR="00D01638" w:rsidRDefault="00D01638" w:rsidP="00D231A4">
      <w:pPr>
        <w:widowControl/>
        <w:numPr>
          <w:ilvl w:val="1"/>
          <w:numId w:val="47"/>
        </w:numPr>
        <w:overflowPunct w:val="0"/>
        <w:autoSpaceDE w:val="0"/>
        <w:autoSpaceDN w:val="0"/>
        <w:adjustRightInd w:val="0"/>
        <w:spacing w:afterLines="50" w:after="120"/>
        <w:textAlignment w:val="baseline"/>
        <w:rPr>
          <w:rFonts w:ascii="Times New Roman" w:hAnsi="Times New Roman" w:cs="Times New Roman"/>
          <w:color w:val="000000"/>
          <w:lang w:eastAsia="ko-KR"/>
        </w:rPr>
      </w:pPr>
      <w:r>
        <w:rPr>
          <w:rFonts w:ascii="Times New Roman" w:hAnsi="Times New Roman" w:cs="Times New Roman"/>
          <w:color w:val="000000"/>
        </w:rPr>
        <w:lastRenderedPageBreak/>
        <w:t>A</w:t>
      </w:r>
      <w:r>
        <w:rPr>
          <w:rFonts w:ascii="Times New Roman" w:hAnsi="Times New Roman" w:cs="Times New Roman" w:hint="eastAsia"/>
          <w:color w:val="000000"/>
        </w:rPr>
        <w:t xml:space="preserve">t least two HARQ-ACK codebooks can be simultaneously constructed to meet diverse </w:t>
      </w:r>
      <w:r>
        <w:rPr>
          <w:rFonts w:ascii="Times New Roman" w:hAnsi="Times New Roman" w:cs="Times New Roman"/>
          <w:color w:val="000000"/>
        </w:rPr>
        <w:t>reliability</w:t>
      </w:r>
      <w:r>
        <w:rPr>
          <w:rFonts w:ascii="Times New Roman" w:hAnsi="Times New Roman" w:cs="Times New Roman" w:hint="eastAsia"/>
          <w:color w:val="000000"/>
        </w:rPr>
        <w:t xml:space="preserve"> and low latency requirement.</w:t>
      </w:r>
    </w:p>
    <w:p w14:paraId="2B05D793" w14:textId="5D3163B7" w:rsidR="00D01638" w:rsidRPr="00D01638" w:rsidRDefault="00D01638" w:rsidP="00D231A4">
      <w:pPr>
        <w:widowControl/>
        <w:numPr>
          <w:ilvl w:val="2"/>
          <w:numId w:val="47"/>
        </w:numPr>
        <w:overflowPunct w:val="0"/>
        <w:autoSpaceDE w:val="0"/>
        <w:autoSpaceDN w:val="0"/>
        <w:adjustRightInd w:val="0"/>
        <w:spacing w:afterLines="50" w:after="120"/>
        <w:textAlignment w:val="baseline"/>
        <w:rPr>
          <w:rFonts w:ascii="Times New Roman" w:hAnsi="Times New Roman" w:cs="Times New Roman"/>
          <w:color w:val="000000"/>
        </w:rPr>
      </w:pPr>
      <w:r w:rsidRPr="00D01638">
        <w:rPr>
          <w:rFonts w:ascii="Times New Roman" w:hAnsi="Times New Roman" w:cs="Times New Roman"/>
          <w:color w:val="000000"/>
        </w:rPr>
        <w:t xml:space="preserve">Rules for the two HARQ-ACK codebooks for supporting different service types should be specified in R16, if the two HARQ-ACK codebooks are due to be transmitted in resources overlapping in time. </w:t>
      </w:r>
    </w:p>
    <w:p w14:paraId="1A88D5BC" w14:textId="1A2BE4CB" w:rsidR="00D01638" w:rsidRDefault="00D01638" w:rsidP="00D231A4">
      <w:pPr>
        <w:widowControl/>
        <w:numPr>
          <w:ilvl w:val="2"/>
          <w:numId w:val="47"/>
        </w:numPr>
        <w:overflowPunct w:val="0"/>
        <w:autoSpaceDE w:val="0"/>
        <w:autoSpaceDN w:val="0"/>
        <w:adjustRightInd w:val="0"/>
        <w:spacing w:afterLines="50" w:after="120"/>
        <w:textAlignment w:val="baseline"/>
        <w:rPr>
          <w:rFonts w:ascii="Times New Roman" w:hAnsi="Times New Roman" w:cs="Times New Roman"/>
          <w:color w:val="000000"/>
        </w:rPr>
      </w:pPr>
      <w:r w:rsidRPr="00D01638">
        <w:rPr>
          <w:rFonts w:ascii="Times New Roman" w:hAnsi="Times New Roman" w:cs="Times New Roman"/>
          <w:color w:val="000000"/>
        </w:rPr>
        <w:t>When at least two</w:t>
      </w:r>
      <w:r w:rsidRPr="00D01638">
        <w:rPr>
          <w:rFonts w:ascii="Times New Roman" w:hAnsi="Times New Roman" w:cs="Times New Roman" w:hint="eastAsia"/>
          <w:color w:val="000000"/>
        </w:rPr>
        <w:t xml:space="preserve"> HARQ-ACK codebooks are simultaneously </w:t>
      </w:r>
      <w:r w:rsidRPr="00D01638">
        <w:rPr>
          <w:rFonts w:ascii="Times New Roman" w:hAnsi="Times New Roman" w:cs="Times New Roman"/>
          <w:color w:val="000000"/>
        </w:rPr>
        <w:t>constructed for supporting different service types for a UE</w:t>
      </w:r>
      <w:r w:rsidRPr="00D01638">
        <w:rPr>
          <w:rFonts w:ascii="Times New Roman" w:hAnsi="Times New Roman" w:cs="Times New Roman" w:hint="eastAsia"/>
          <w:color w:val="000000"/>
        </w:rPr>
        <w:t>, a HARQ-ACK codebook can be identified based on some PHY indications/properties</w:t>
      </w:r>
      <w:r w:rsidRPr="00D01638">
        <w:rPr>
          <w:rFonts w:ascii="Times New Roman" w:hAnsi="Times New Roman" w:cs="Times New Roman"/>
          <w:color w:val="000000"/>
        </w:rPr>
        <w:t>.</w:t>
      </w:r>
    </w:p>
    <w:p w14:paraId="6D4F8DD7" w14:textId="2929E65B" w:rsidR="00D01638" w:rsidRDefault="00D01638" w:rsidP="00D231A4">
      <w:pPr>
        <w:widowControl/>
        <w:numPr>
          <w:ilvl w:val="0"/>
          <w:numId w:val="47"/>
        </w:numPr>
        <w:overflowPunct w:val="0"/>
        <w:autoSpaceDE w:val="0"/>
        <w:autoSpaceDN w:val="0"/>
        <w:adjustRightInd w:val="0"/>
        <w:spacing w:afterLines="50" w:after="120"/>
        <w:textAlignment w:val="baseline"/>
        <w:rPr>
          <w:rFonts w:ascii="Times New Roman" w:hAnsi="Times New Roman" w:cs="Times New Roman"/>
          <w:color w:val="000000"/>
        </w:rPr>
      </w:pPr>
      <w:r>
        <w:rPr>
          <w:rFonts w:ascii="Times New Roman" w:hAnsi="Times New Roman" w:cs="Times New Roman" w:hint="eastAsia"/>
          <w:color w:val="000000"/>
        </w:rPr>
        <w:t>On PUSCH enhancements,</w:t>
      </w:r>
      <w:r w:rsidRPr="00D01638">
        <w:rPr>
          <w:rFonts w:ascii="Times New Roman" w:hAnsi="Times New Roman" w:cs="Times New Roman"/>
          <w:color w:val="000000"/>
        </w:rPr>
        <w:t xml:space="preserve"> to enable one UL grant scheduling two or more PUSCH repetitions that can be in one slot, or across slot boundary in consecutive available slots</w:t>
      </w:r>
      <w:r>
        <w:rPr>
          <w:rFonts w:ascii="Times New Roman" w:hAnsi="Times New Roman" w:cs="Times New Roman" w:hint="eastAsia"/>
          <w:color w:val="000000"/>
        </w:rPr>
        <w:t xml:space="preserve"> for both grant-based PUSCH and configured grant based PUSCH in Rel-16. PUSCH enhancement is benefit to reduce latency by allowing cross-slot transmission</w:t>
      </w:r>
    </w:p>
    <w:p w14:paraId="28B37F79" w14:textId="49660986" w:rsidR="00D01638" w:rsidRDefault="00D01638" w:rsidP="00D231A4">
      <w:pPr>
        <w:widowControl/>
        <w:numPr>
          <w:ilvl w:val="2"/>
          <w:numId w:val="47"/>
        </w:numPr>
        <w:overflowPunct w:val="0"/>
        <w:autoSpaceDE w:val="0"/>
        <w:autoSpaceDN w:val="0"/>
        <w:adjustRightInd w:val="0"/>
        <w:spacing w:afterLines="50" w:after="120"/>
        <w:textAlignment w:val="baseline"/>
        <w:rPr>
          <w:rFonts w:ascii="Times New Roman" w:hAnsi="Times New Roman" w:cs="Times New Roman"/>
          <w:color w:val="000000"/>
        </w:rPr>
      </w:pPr>
      <w:r>
        <w:rPr>
          <w:rFonts w:ascii="Times New Roman" w:hAnsi="Times New Roman" w:cs="Times New Roman" w:hint="eastAsia"/>
          <w:color w:val="000000"/>
        </w:rPr>
        <w:t>Mini-slot repetition and multi-segments can be starting point</w:t>
      </w:r>
    </w:p>
    <w:p w14:paraId="71829BBC" w14:textId="07A0FCDD" w:rsidR="00D01638" w:rsidRDefault="00D01638" w:rsidP="00D231A4">
      <w:pPr>
        <w:widowControl/>
        <w:numPr>
          <w:ilvl w:val="0"/>
          <w:numId w:val="47"/>
        </w:numPr>
        <w:overflowPunct w:val="0"/>
        <w:autoSpaceDE w:val="0"/>
        <w:autoSpaceDN w:val="0"/>
        <w:adjustRightInd w:val="0"/>
        <w:spacing w:afterLines="50" w:after="120"/>
        <w:textAlignment w:val="baseline"/>
        <w:rPr>
          <w:rFonts w:ascii="Times New Roman" w:hAnsi="Times New Roman" w:cs="Times New Roman"/>
          <w:color w:val="000000"/>
        </w:rPr>
      </w:pPr>
      <w:r>
        <w:rPr>
          <w:rFonts w:ascii="Times New Roman" w:hAnsi="Times New Roman" w:cs="Times New Roman" w:hint="eastAsia"/>
          <w:color w:val="000000"/>
        </w:rPr>
        <w:t>On enhancements to scheduling/HARQ/CSI processing timeline, Out-of-order HARQ-ACK and out-of-order PUSCH is recommended to support to reduce latency.In scenario of eMBB and URLLC co-exist, out-of-order scheduling/HARQ issue is usual and it is major bottleneck for low latency</w:t>
      </w:r>
    </w:p>
    <w:p w14:paraId="0943C31E" w14:textId="444D9DE7" w:rsidR="00D01638" w:rsidRDefault="00D01638" w:rsidP="00D231A4">
      <w:pPr>
        <w:widowControl/>
        <w:numPr>
          <w:ilvl w:val="2"/>
          <w:numId w:val="47"/>
        </w:numPr>
        <w:overflowPunct w:val="0"/>
        <w:autoSpaceDE w:val="0"/>
        <w:autoSpaceDN w:val="0"/>
        <w:adjustRightInd w:val="0"/>
        <w:spacing w:afterLines="50" w:after="120"/>
        <w:textAlignment w:val="baseline"/>
        <w:rPr>
          <w:rFonts w:ascii="Times New Roman" w:hAnsi="Times New Roman" w:cs="Times New Roman"/>
          <w:color w:val="000000"/>
        </w:rPr>
      </w:pPr>
      <w:r>
        <w:rPr>
          <w:rFonts w:ascii="Times New Roman" w:hAnsi="Times New Roman" w:cs="Times New Roman" w:hint="eastAsia"/>
          <w:color w:val="000000"/>
        </w:rPr>
        <w:t>O</w:t>
      </w:r>
      <w:r w:rsidRPr="00D01638">
        <w:rPr>
          <w:rFonts w:ascii="Times New Roman" w:hAnsi="Times New Roman" w:cs="Times New Roman"/>
          <w:color w:val="000000"/>
        </w:rPr>
        <w:t>ut-of-order HARQ-ACK and out-of-order PUSCH scheduling</w:t>
      </w:r>
      <w:r>
        <w:rPr>
          <w:rFonts w:ascii="Times New Roman" w:hAnsi="Times New Roman" w:cs="Times New Roman" w:hint="eastAsia"/>
          <w:color w:val="000000"/>
        </w:rPr>
        <w:t xml:space="preserve"> should be supported</w:t>
      </w:r>
    </w:p>
    <w:p w14:paraId="1800C191" w14:textId="4BE5ACEF" w:rsidR="00D01638" w:rsidRDefault="00D01638" w:rsidP="00D231A4">
      <w:pPr>
        <w:widowControl/>
        <w:numPr>
          <w:ilvl w:val="0"/>
          <w:numId w:val="47"/>
        </w:numPr>
        <w:overflowPunct w:val="0"/>
        <w:autoSpaceDE w:val="0"/>
        <w:autoSpaceDN w:val="0"/>
        <w:adjustRightInd w:val="0"/>
        <w:spacing w:afterLines="50" w:after="120"/>
        <w:textAlignment w:val="baseline"/>
        <w:rPr>
          <w:rFonts w:ascii="Times New Roman" w:hAnsi="Times New Roman" w:cs="Times New Roman"/>
          <w:color w:val="000000"/>
        </w:rPr>
      </w:pPr>
      <w:r>
        <w:rPr>
          <w:rFonts w:ascii="Times New Roman" w:hAnsi="Times New Roman" w:cs="Times New Roman" w:hint="eastAsia"/>
          <w:color w:val="000000"/>
        </w:rPr>
        <w:t>On inter UE Tx prioritization/multiplexing,</w:t>
      </w:r>
      <w:r w:rsidRPr="00D01638">
        <w:rPr>
          <w:rFonts w:ascii="Times New Roman" w:hAnsi="Times New Roman" w:cs="Times New Roman" w:hint="eastAsia"/>
          <w:color w:val="000000"/>
        </w:rPr>
        <w:t xml:space="preserve"> </w:t>
      </w:r>
      <w:r>
        <w:rPr>
          <w:rFonts w:ascii="Times New Roman" w:hAnsi="Times New Roman" w:cs="Times New Roman" w:hint="eastAsia"/>
          <w:color w:val="000000"/>
        </w:rPr>
        <w:t>In scenario of eMBB and URLLC co-exist, inter UE Tx prioritization/multiplexing is neccessy to reduce latency.</w:t>
      </w:r>
      <w:r w:rsidR="00D231A4">
        <w:rPr>
          <w:rFonts w:ascii="Times New Roman" w:hAnsi="Times New Roman" w:cs="Times New Roman" w:hint="eastAsia"/>
          <w:color w:val="000000"/>
        </w:rPr>
        <w:t xml:space="preserve"> </w:t>
      </w:r>
      <w:r>
        <w:rPr>
          <w:rFonts w:ascii="Times New Roman" w:hAnsi="Times New Roman" w:cs="Times New Roman" w:hint="eastAsia"/>
          <w:color w:val="000000"/>
        </w:rPr>
        <w:t xml:space="preserve">Both </w:t>
      </w:r>
      <w:r w:rsidRPr="00D01638">
        <w:rPr>
          <w:rFonts w:ascii="Times New Roman" w:hAnsi="Times New Roman" w:cs="Times New Roman"/>
          <w:color w:val="000000"/>
        </w:rPr>
        <w:t>UL cancelation scheme and enhanced UL power control scheme</w:t>
      </w:r>
      <w:r>
        <w:rPr>
          <w:rFonts w:ascii="Times New Roman" w:hAnsi="Times New Roman" w:cs="Times New Roman" w:hint="eastAsia"/>
          <w:color w:val="000000"/>
        </w:rPr>
        <w:t xml:space="preserve"> are suggested to support due to time limit. However, both solutions maybe overdesigned for inter UE Tx prioritiza</w:t>
      </w:r>
      <w:r w:rsidR="00D231A4">
        <w:rPr>
          <w:rFonts w:ascii="Times New Roman" w:hAnsi="Times New Roman" w:cs="Times New Roman" w:hint="eastAsia"/>
          <w:color w:val="000000"/>
        </w:rPr>
        <w:t>tion/multiplexing. So downselection between</w:t>
      </w:r>
      <w:bookmarkStart w:id="3" w:name="_GoBack"/>
      <w:bookmarkEnd w:id="3"/>
      <w:r>
        <w:rPr>
          <w:rFonts w:ascii="Times New Roman" w:hAnsi="Times New Roman" w:cs="Times New Roman" w:hint="eastAsia"/>
          <w:color w:val="000000"/>
        </w:rPr>
        <w:t xml:space="preserve"> </w:t>
      </w:r>
      <w:r w:rsidRPr="00D01638">
        <w:rPr>
          <w:rFonts w:ascii="Times New Roman" w:hAnsi="Times New Roman" w:cs="Times New Roman"/>
          <w:color w:val="000000"/>
        </w:rPr>
        <w:t>UL cancelation scheme and enhanced UL power control scheme</w:t>
      </w:r>
      <w:r>
        <w:rPr>
          <w:rFonts w:ascii="Times New Roman" w:hAnsi="Times New Roman" w:cs="Times New Roman" w:hint="eastAsia"/>
          <w:color w:val="000000"/>
        </w:rPr>
        <w:t xml:space="preserve"> should be considered in work item in terms of performance and feasibility.</w:t>
      </w:r>
    </w:p>
    <w:p w14:paraId="61DC8873" w14:textId="2B11A068" w:rsidR="00D01638" w:rsidRDefault="00D01638" w:rsidP="00D231A4">
      <w:pPr>
        <w:widowControl/>
        <w:numPr>
          <w:ilvl w:val="2"/>
          <w:numId w:val="47"/>
        </w:numPr>
        <w:overflowPunct w:val="0"/>
        <w:autoSpaceDE w:val="0"/>
        <w:autoSpaceDN w:val="0"/>
        <w:adjustRightInd w:val="0"/>
        <w:spacing w:afterLines="50" w:after="120"/>
        <w:textAlignment w:val="baseline"/>
        <w:rPr>
          <w:rFonts w:ascii="Times New Roman" w:hAnsi="Times New Roman" w:cs="Times New Roman"/>
          <w:color w:val="000000"/>
        </w:rPr>
      </w:pPr>
      <w:r>
        <w:rPr>
          <w:rFonts w:ascii="Times New Roman" w:hAnsi="Times New Roman" w:cs="Times New Roman" w:hint="eastAsia"/>
          <w:color w:val="000000"/>
        </w:rPr>
        <w:t xml:space="preserve">Either </w:t>
      </w:r>
      <w:r w:rsidRPr="00D01638">
        <w:rPr>
          <w:rFonts w:ascii="Times New Roman" w:hAnsi="Times New Roman" w:cs="Times New Roman"/>
          <w:color w:val="000000"/>
        </w:rPr>
        <w:t>UL cancelation scheme</w:t>
      </w:r>
      <w:r>
        <w:rPr>
          <w:rFonts w:ascii="Times New Roman" w:hAnsi="Times New Roman" w:cs="Times New Roman" w:hint="eastAsia"/>
          <w:color w:val="000000"/>
        </w:rPr>
        <w:t xml:space="preserve"> or</w:t>
      </w:r>
      <w:r w:rsidRPr="00D01638">
        <w:rPr>
          <w:rFonts w:ascii="Times New Roman" w:hAnsi="Times New Roman" w:cs="Times New Roman"/>
          <w:color w:val="000000"/>
        </w:rPr>
        <w:t xml:space="preserve"> enhanced UL power control scheme</w:t>
      </w:r>
      <w:r>
        <w:rPr>
          <w:rFonts w:ascii="Times New Roman" w:hAnsi="Times New Roman" w:cs="Times New Roman" w:hint="eastAsia"/>
          <w:color w:val="000000"/>
        </w:rPr>
        <w:t xml:space="preserve"> should be supported.</w:t>
      </w:r>
    </w:p>
    <w:p w14:paraId="3B9445A9" w14:textId="144234E9" w:rsidR="00D01638" w:rsidRDefault="00D01638" w:rsidP="00D231A4">
      <w:pPr>
        <w:widowControl/>
        <w:numPr>
          <w:ilvl w:val="0"/>
          <w:numId w:val="47"/>
        </w:numPr>
        <w:overflowPunct w:val="0"/>
        <w:autoSpaceDE w:val="0"/>
        <w:autoSpaceDN w:val="0"/>
        <w:adjustRightInd w:val="0"/>
        <w:spacing w:afterLines="50" w:after="120"/>
        <w:textAlignment w:val="baseline"/>
        <w:rPr>
          <w:rFonts w:ascii="Times New Roman" w:hAnsi="Times New Roman" w:cs="Times New Roman"/>
          <w:color w:val="000000"/>
        </w:rPr>
      </w:pPr>
      <w:r>
        <w:rPr>
          <w:rFonts w:ascii="Times New Roman" w:hAnsi="Times New Roman" w:cs="Times New Roman" w:hint="eastAsia"/>
          <w:color w:val="000000"/>
        </w:rPr>
        <w:t xml:space="preserve">On configured grant </w:t>
      </w:r>
      <w:r>
        <w:rPr>
          <w:rFonts w:ascii="Times New Roman" w:hAnsi="Times New Roman" w:cs="Times New Roman"/>
          <w:color w:val="000000"/>
        </w:rPr>
        <w:t>transmission</w:t>
      </w:r>
      <w:r>
        <w:rPr>
          <w:rFonts w:ascii="Times New Roman" w:hAnsi="Times New Roman" w:cs="Times New Roman" w:hint="eastAsia"/>
          <w:color w:val="000000"/>
        </w:rPr>
        <w:t>,</w:t>
      </w:r>
      <w:r w:rsidRPr="00D01638">
        <w:rPr>
          <w:rFonts w:ascii="Times New Roman" w:hAnsi="Times New Roman" w:cs="Times New Roman"/>
          <w:color w:val="000000"/>
        </w:rPr>
        <w:t xml:space="preserve"> Multiple active configured grants for a BWP of a serving cell</w:t>
      </w:r>
      <w:r w:rsidRPr="00D01638">
        <w:rPr>
          <w:rFonts w:ascii="Times New Roman" w:hAnsi="Times New Roman" w:cs="Times New Roman" w:hint="eastAsia"/>
          <w:color w:val="000000"/>
        </w:rPr>
        <w:t xml:space="preserve"> is </w:t>
      </w:r>
      <w:r w:rsidRPr="00D01638">
        <w:rPr>
          <w:rFonts w:ascii="Times New Roman" w:hAnsi="Times New Roman" w:cs="Times New Roman"/>
          <w:color w:val="000000"/>
        </w:rPr>
        <w:t>beneficial</w:t>
      </w:r>
      <w:r>
        <w:rPr>
          <w:rFonts w:ascii="Times New Roman" w:hAnsi="Times New Roman" w:cs="Times New Roman" w:hint="eastAsia"/>
          <w:color w:val="000000"/>
        </w:rPr>
        <w:t xml:space="preserve"> to support multiple services and reduce latency. </w:t>
      </w:r>
    </w:p>
    <w:p w14:paraId="4AF47981" w14:textId="7AC1ECC1" w:rsidR="00D01638" w:rsidRDefault="00D01638" w:rsidP="00D231A4">
      <w:pPr>
        <w:widowControl/>
        <w:numPr>
          <w:ilvl w:val="2"/>
          <w:numId w:val="47"/>
        </w:numPr>
        <w:overflowPunct w:val="0"/>
        <w:autoSpaceDE w:val="0"/>
        <w:autoSpaceDN w:val="0"/>
        <w:adjustRightInd w:val="0"/>
        <w:spacing w:afterLines="50" w:after="120"/>
        <w:textAlignment w:val="baseline"/>
        <w:rPr>
          <w:rFonts w:ascii="Times New Roman" w:hAnsi="Times New Roman" w:cs="Times New Roman"/>
          <w:color w:val="000000"/>
        </w:rPr>
      </w:pPr>
      <w:r w:rsidRPr="00D01638">
        <w:rPr>
          <w:rFonts w:ascii="Times New Roman" w:hAnsi="Times New Roman" w:cs="Times New Roman"/>
          <w:color w:val="000000"/>
        </w:rPr>
        <w:t>Multiple active configured grants for a BWP of a serving cell</w:t>
      </w:r>
      <w:r>
        <w:rPr>
          <w:rFonts w:ascii="Times New Roman" w:hAnsi="Times New Roman" w:cs="Times New Roman" w:hint="eastAsia"/>
          <w:color w:val="000000"/>
        </w:rPr>
        <w:t xml:space="preserve"> should be supported</w:t>
      </w:r>
    </w:p>
    <w:p w14:paraId="3831F12C" w14:textId="01BA916A" w:rsidR="0034111C" w:rsidRPr="00257B3B" w:rsidRDefault="00EE7FA7" w:rsidP="00D231A4">
      <w:pPr>
        <w:pStyle w:val="1"/>
        <w:numPr>
          <w:ilvl w:val="0"/>
          <w:numId w:val="48"/>
        </w:numPr>
        <w:jc w:val="both"/>
        <w:rPr>
          <w:color w:val="000000"/>
        </w:rPr>
      </w:pPr>
      <w:r w:rsidRPr="00257B3B">
        <w:rPr>
          <w:color w:val="000000"/>
        </w:rPr>
        <w:t>Conclusion</w:t>
      </w:r>
    </w:p>
    <w:p w14:paraId="1687D1EB" w14:textId="754C5CD3" w:rsidR="00B81276" w:rsidRDefault="008A703D" w:rsidP="00D231A4">
      <w:pPr>
        <w:rPr>
          <w:rFonts w:ascii="Times New Roman" w:hAnsi="Times New Roman" w:cs="Times New Roman"/>
          <w:bCs/>
        </w:rPr>
      </w:pPr>
      <w:r>
        <w:rPr>
          <w:rFonts w:ascii="Times New Roman" w:hAnsi="Times New Roman" w:cs="Times New Roman" w:hint="eastAsia"/>
        </w:rPr>
        <w:t xml:space="preserve">This contribution </w:t>
      </w:r>
      <w:r w:rsidR="00B81276">
        <w:rPr>
          <w:rFonts w:ascii="Times New Roman" w:hAnsi="Times New Roman" w:cs="Times New Roman" w:hint="eastAsia"/>
        </w:rPr>
        <w:t>analyzes neccessarity of URLLC enhancement</w:t>
      </w:r>
      <w:r w:rsidR="00D01638">
        <w:rPr>
          <w:rFonts w:ascii="Times New Roman" w:hAnsi="Times New Roman" w:cs="Times New Roman" w:hint="eastAsia"/>
        </w:rPr>
        <w:t xml:space="preserve"> recommended in[1] and suggest that the </w:t>
      </w:r>
      <w:r w:rsidR="00D01638">
        <w:rPr>
          <w:rFonts w:ascii="Times New Roman" w:hAnsi="Times New Roman" w:cs="Times New Roman" w:hint="eastAsia"/>
          <w:bCs/>
        </w:rPr>
        <w:t xml:space="preserve">scope of </w:t>
      </w:r>
      <w:r w:rsidR="00D01638">
        <w:rPr>
          <w:rFonts w:ascii="Times New Roman" w:hAnsi="Times New Roman" w:cs="Times New Roman"/>
          <w:bCs/>
        </w:rPr>
        <w:t>physical</w:t>
      </w:r>
      <w:r w:rsidR="00D01638">
        <w:rPr>
          <w:rFonts w:ascii="Times New Roman" w:hAnsi="Times New Roman" w:cs="Times New Roman" w:hint="eastAsia"/>
          <w:bCs/>
        </w:rPr>
        <w:t xml:space="preserve"> layer enhancements for NR URLLC WID should follow the recommendation in TR38.824[1] completely.</w:t>
      </w:r>
    </w:p>
    <w:p w14:paraId="1623BDB1" w14:textId="77777777" w:rsidR="00D01638" w:rsidRPr="00D01638" w:rsidRDefault="00D01638" w:rsidP="00D231A4">
      <w:pPr>
        <w:pStyle w:val="1"/>
        <w:numPr>
          <w:ilvl w:val="0"/>
          <w:numId w:val="48"/>
        </w:numPr>
        <w:tabs>
          <w:tab w:val="num" w:pos="612"/>
        </w:tabs>
        <w:jc w:val="both"/>
        <w:rPr>
          <w:color w:val="000000"/>
        </w:rPr>
      </w:pPr>
      <w:r w:rsidRPr="00D01638">
        <w:rPr>
          <w:color w:val="000000"/>
        </w:rPr>
        <w:t>References</w:t>
      </w:r>
    </w:p>
    <w:p w14:paraId="6DB2D97F" w14:textId="00533FB6" w:rsidR="00D01638" w:rsidRPr="00D01638" w:rsidRDefault="00D01638" w:rsidP="00D231A4">
      <w:pPr>
        <w:rPr>
          <w:rFonts w:ascii="Times New Roman" w:hAnsi="Times New Roman" w:cs="Times New Roman"/>
        </w:rPr>
      </w:pPr>
      <w:r>
        <w:rPr>
          <w:rFonts w:ascii="Times New Roman" w:hAnsi="Times New Roman" w:cs="Times New Roman" w:hint="eastAsia"/>
        </w:rPr>
        <w:t xml:space="preserve">[1] </w:t>
      </w:r>
      <w:r w:rsidRPr="00D01638">
        <w:rPr>
          <w:rFonts w:ascii="Times New Roman" w:hAnsi="Times New Roman" w:cs="Times New Roman" w:hint="eastAsia"/>
        </w:rPr>
        <w:t>TR38.</w:t>
      </w:r>
      <w:r w:rsidRPr="00D01638">
        <w:rPr>
          <w:rFonts w:ascii="Times New Roman" w:hAnsi="Times New Roman" w:cs="Times New Roman"/>
        </w:rPr>
        <w:t xml:space="preserve"> </w:t>
      </w:r>
      <w:r w:rsidRPr="00D01638">
        <w:rPr>
          <w:rFonts w:ascii="Times New Roman" w:hAnsi="Times New Roman" w:cs="Times New Roman" w:hint="eastAsia"/>
        </w:rPr>
        <w:t xml:space="preserve">824  </w:t>
      </w:r>
      <w:r w:rsidRPr="00D01638">
        <w:rPr>
          <w:rFonts w:ascii="Times New Roman" w:hAnsi="Times New Roman" w:cs="Times New Roman"/>
        </w:rPr>
        <w:t xml:space="preserve">Study on </w:t>
      </w:r>
      <w:r w:rsidRPr="00D01638">
        <w:rPr>
          <w:rFonts w:ascii="Times New Roman" w:hAnsi="Times New Roman" w:cs="Times New Roman" w:hint="eastAsia"/>
        </w:rPr>
        <w:t xml:space="preserve">physical layer </w:t>
      </w:r>
      <w:r w:rsidRPr="00D01638">
        <w:rPr>
          <w:rFonts w:ascii="Times New Roman" w:hAnsi="Times New Roman" w:cs="Times New Roman"/>
        </w:rPr>
        <w:t>enhancements</w:t>
      </w:r>
      <w:r w:rsidRPr="00D01638">
        <w:rPr>
          <w:rFonts w:ascii="Times New Roman" w:hAnsi="Times New Roman" w:cs="Times New Roman" w:hint="eastAsia"/>
        </w:rPr>
        <w:t xml:space="preserve"> for NR u</w:t>
      </w:r>
      <w:r w:rsidRPr="00D01638">
        <w:rPr>
          <w:rFonts w:ascii="Times New Roman" w:hAnsi="Times New Roman" w:cs="Times New Roman"/>
        </w:rPr>
        <w:t>ltra</w:t>
      </w:r>
      <w:r w:rsidRPr="00D01638">
        <w:rPr>
          <w:rFonts w:ascii="Times New Roman" w:hAnsi="Times New Roman" w:cs="Times New Roman" w:hint="eastAsia"/>
        </w:rPr>
        <w:t>-r</w:t>
      </w:r>
      <w:r w:rsidRPr="00D01638">
        <w:rPr>
          <w:rFonts w:ascii="Times New Roman" w:hAnsi="Times New Roman" w:cs="Times New Roman"/>
        </w:rPr>
        <w:t xml:space="preserve">eliable and low latency </w:t>
      </w:r>
      <w:r w:rsidRPr="00D01638">
        <w:rPr>
          <w:rFonts w:ascii="Times New Roman" w:hAnsi="Times New Roman" w:cs="Times New Roman" w:hint="eastAsia"/>
        </w:rPr>
        <w:t>c</w:t>
      </w:r>
      <w:r w:rsidRPr="00D01638">
        <w:rPr>
          <w:rFonts w:ascii="Times New Roman" w:hAnsi="Times New Roman" w:cs="Times New Roman"/>
        </w:rPr>
        <w:t>ase</w:t>
      </w:r>
      <w:r w:rsidRPr="00D01638">
        <w:rPr>
          <w:rFonts w:ascii="Times New Roman" w:hAnsi="Times New Roman" w:cs="Times New Roman" w:hint="eastAsia"/>
        </w:rPr>
        <w:t xml:space="preserve"> </w:t>
      </w:r>
      <w:r w:rsidRPr="00D01638">
        <w:rPr>
          <w:rFonts w:ascii="Times New Roman" w:hAnsi="Times New Roman" w:cs="Times New Roman"/>
        </w:rPr>
        <w:t>(URLLC)</w:t>
      </w:r>
      <w:r w:rsidRPr="00D01638">
        <w:rPr>
          <w:rFonts w:ascii="Times New Roman" w:hAnsi="Times New Roman" w:cs="Times New Roman" w:hint="eastAsia"/>
        </w:rPr>
        <w:t xml:space="preserve"> </w:t>
      </w:r>
      <w:r w:rsidRPr="00D01638">
        <w:rPr>
          <w:rFonts w:ascii="Times New Roman" w:hAnsi="Times New Roman" w:cs="Times New Roman"/>
        </w:rPr>
        <w:t>(Release 16)</w:t>
      </w:r>
    </w:p>
    <w:p w14:paraId="7430DAE8" w14:textId="2CEF77F9" w:rsidR="00D01638" w:rsidRPr="00D01638" w:rsidRDefault="00D01638" w:rsidP="00D231A4">
      <w:pPr>
        <w:widowControl/>
        <w:spacing w:after="120"/>
        <w:ind w:left="420"/>
        <w:rPr>
          <w:rFonts w:eastAsia="宋体"/>
          <w:color w:val="000000"/>
        </w:rPr>
      </w:pPr>
    </w:p>
    <w:p w14:paraId="28F5B5CE" w14:textId="77777777" w:rsidR="00D01638" w:rsidRPr="00D01638" w:rsidRDefault="00D01638" w:rsidP="00D231A4">
      <w:pPr>
        <w:rPr>
          <w:rFonts w:ascii="Times New Roman" w:eastAsia="宋体" w:hAnsi="Times New Roman" w:cs="Times New Roman"/>
          <w:szCs w:val="21"/>
        </w:rPr>
      </w:pPr>
    </w:p>
    <w:p w14:paraId="16072404" w14:textId="133FEE88" w:rsidR="00B81276" w:rsidRPr="00B81276" w:rsidRDefault="00B81276" w:rsidP="00D231A4">
      <w:pPr>
        <w:widowControl/>
        <w:overflowPunct w:val="0"/>
        <w:autoSpaceDE w:val="0"/>
        <w:autoSpaceDN w:val="0"/>
        <w:adjustRightInd w:val="0"/>
        <w:spacing w:afterLines="50" w:after="120"/>
        <w:ind w:left="420"/>
        <w:textAlignment w:val="baseline"/>
        <w:rPr>
          <w:rFonts w:ascii="Times New Roman" w:eastAsia="宋体" w:hAnsi="Times New Roman" w:cs="Times New Roman"/>
          <w:szCs w:val="21"/>
        </w:rPr>
      </w:pPr>
      <w:r>
        <w:rPr>
          <w:rFonts w:ascii="Times New Roman" w:eastAsia="宋体" w:hAnsi="Times New Roman" w:cs="Times New Roman" w:hint="eastAsia"/>
          <w:szCs w:val="21"/>
        </w:rPr>
        <w:t xml:space="preserve"> </w:t>
      </w:r>
    </w:p>
    <w:sectPr w:rsidR="00B81276" w:rsidRPr="00B81276" w:rsidSect="00047D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3E43C" w14:textId="77777777" w:rsidR="00D26300" w:rsidRDefault="00D26300">
      <w:r>
        <w:separator/>
      </w:r>
    </w:p>
  </w:endnote>
  <w:endnote w:type="continuationSeparator" w:id="0">
    <w:p w14:paraId="388C557F" w14:textId="77777777" w:rsidR="00D26300" w:rsidRDefault="00D2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Ericsson Capital TT">
    <w:altName w:val="Myriad Pro"/>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AE1DF" w14:textId="77777777" w:rsidR="00D26300" w:rsidRDefault="00D26300">
      <w:r>
        <w:separator/>
      </w:r>
    </w:p>
  </w:footnote>
  <w:footnote w:type="continuationSeparator" w:id="0">
    <w:p w14:paraId="24502479" w14:textId="77777777" w:rsidR="00D26300" w:rsidRDefault="00D26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A940EF"/>
    <w:multiLevelType w:val="hybridMultilevel"/>
    <w:tmpl w:val="8F3A0564"/>
    <w:lvl w:ilvl="0" w:tplc="9182A4BA">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783B5B"/>
    <w:multiLevelType w:val="hybridMultilevel"/>
    <w:tmpl w:val="CC544C28"/>
    <w:lvl w:ilvl="0" w:tplc="281051D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8A57BF"/>
    <w:multiLevelType w:val="hybridMultilevel"/>
    <w:tmpl w:val="84BCBCAC"/>
    <w:lvl w:ilvl="0" w:tplc="FC0CEA9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nsid w:val="1B624710"/>
    <w:multiLevelType w:val="hybridMultilevel"/>
    <w:tmpl w:val="83A27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9C29BB"/>
    <w:multiLevelType w:val="hybridMultilevel"/>
    <w:tmpl w:val="4A5E8F74"/>
    <w:lvl w:ilvl="0" w:tplc="20DC1D3E">
      <w:start w:val="1204"/>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1CA4FEF"/>
    <w:multiLevelType w:val="hybridMultilevel"/>
    <w:tmpl w:val="A54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1">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2">
    <w:nsid w:val="38CF2DEF"/>
    <w:multiLevelType w:val="hybridMultilevel"/>
    <w:tmpl w:val="39028B1E"/>
    <w:lvl w:ilvl="0" w:tplc="6B9CD844">
      <w:start w:val="2"/>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3AA46647"/>
    <w:multiLevelType w:val="hybridMultilevel"/>
    <w:tmpl w:val="ECAE7ED4"/>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298"/>
        </w:tabs>
        <w:ind w:left="1298" w:hanging="360"/>
      </w:pPr>
    </w:lvl>
    <w:lvl w:ilvl="2" w:tplc="0409001B">
      <w:start w:val="1"/>
      <w:numFmt w:val="lowerRoman"/>
      <w:lvlText w:val="%3."/>
      <w:lvlJc w:val="right"/>
      <w:pPr>
        <w:tabs>
          <w:tab w:val="num" w:pos="2018"/>
        </w:tabs>
        <w:ind w:left="2018" w:hanging="180"/>
      </w:pPr>
    </w:lvl>
    <w:lvl w:ilvl="3" w:tplc="04090001">
      <w:start w:val="1"/>
      <w:numFmt w:val="bullet"/>
      <w:lvlText w:val=""/>
      <w:lvlJc w:val="left"/>
      <w:pPr>
        <w:tabs>
          <w:tab w:val="num" w:pos="2738"/>
        </w:tabs>
        <w:ind w:left="2738" w:hanging="360"/>
      </w:pPr>
      <w:rPr>
        <w:rFonts w:ascii="Symbol" w:hAnsi="Symbol" w:hint="default"/>
      </w:r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24">
    <w:nsid w:val="3B197178"/>
    <w:multiLevelType w:val="hybridMultilevel"/>
    <w:tmpl w:val="C2745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3DFF0F90"/>
    <w:multiLevelType w:val="hybridMultilevel"/>
    <w:tmpl w:val="CEE4C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9">
    <w:nsid w:val="42EB6626"/>
    <w:multiLevelType w:val="hybridMultilevel"/>
    <w:tmpl w:val="1610D688"/>
    <w:lvl w:ilvl="0" w:tplc="281051D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80787E"/>
    <w:multiLevelType w:val="hybridMultilevel"/>
    <w:tmpl w:val="87B0C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E8C0662"/>
    <w:multiLevelType w:val="hybridMultilevel"/>
    <w:tmpl w:val="C1043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7">
    <w:nsid w:val="56FA7AC6"/>
    <w:multiLevelType w:val="hybridMultilevel"/>
    <w:tmpl w:val="BB2AD3B0"/>
    <w:lvl w:ilvl="0" w:tplc="281051D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2">
    <w:nsid w:val="6D687BAD"/>
    <w:multiLevelType w:val="hybridMultilevel"/>
    <w:tmpl w:val="D0B8B166"/>
    <w:lvl w:ilvl="0" w:tplc="C06EAD3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F3A4A4F"/>
    <w:multiLevelType w:val="hybridMultilevel"/>
    <w:tmpl w:val="06D46B6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5">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6">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7">
    <w:nsid w:val="7A1A1C4E"/>
    <w:multiLevelType w:val="hybridMultilevel"/>
    <w:tmpl w:val="3F02A91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F30F31"/>
    <w:multiLevelType w:val="hybridMultilevel"/>
    <w:tmpl w:val="A5D2E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18"/>
  </w:num>
  <w:num w:numId="4">
    <w:abstractNumId w:val="14"/>
  </w:num>
  <w:num w:numId="5">
    <w:abstractNumId w:val="44"/>
  </w:num>
  <w:num w:numId="6">
    <w:abstractNumId w:val="11"/>
  </w:num>
  <w:num w:numId="7">
    <w:abstractNumId w:val="40"/>
  </w:num>
  <w:num w:numId="8">
    <w:abstractNumId w:val="31"/>
  </w:num>
  <w:num w:numId="9">
    <w:abstractNumId w:val="41"/>
  </w:num>
  <w:num w:numId="10">
    <w:abstractNumId w:val="21"/>
  </w:num>
  <w:num w:numId="11">
    <w:abstractNumId w:val="0"/>
  </w:num>
  <w:num w:numId="12">
    <w:abstractNumId w:val="16"/>
  </w:num>
  <w:num w:numId="13">
    <w:abstractNumId w:val="25"/>
  </w:num>
  <w:num w:numId="14">
    <w:abstractNumId w:val="8"/>
  </w:num>
  <w:num w:numId="15">
    <w:abstractNumId w:val="36"/>
  </w:num>
  <w:num w:numId="16">
    <w:abstractNumId w:val="28"/>
  </w:num>
  <w:num w:numId="17">
    <w:abstractNumId w:val="20"/>
  </w:num>
  <w:num w:numId="18">
    <w:abstractNumId w:val="46"/>
  </w:num>
  <w:num w:numId="19">
    <w:abstractNumId w:val="10"/>
  </w:num>
  <w:num w:numId="20">
    <w:abstractNumId w:val="33"/>
  </w:num>
  <w:num w:numId="21">
    <w:abstractNumId w:val="9"/>
  </w:num>
  <w:num w:numId="22">
    <w:abstractNumId w:val="30"/>
  </w:num>
  <w:num w:numId="23">
    <w:abstractNumId w:val="27"/>
  </w:num>
  <w:num w:numId="24">
    <w:abstractNumId w:val="1"/>
  </w:num>
  <w:num w:numId="25">
    <w:abstractNumId w:val="39"/>
  </w:num>
  <w:num w:numId="26">
    <w:abstractNumId w:val="13"/>
  </w:num>
  <w:num w:numId="27">
    <w:abstractNumId w:val="5"/>
  </w:num>
  <w:num w:numId="28">
    <w:abstractNumId w:val="6"/>
  </w:num>
  <w:num w:numId="29">
    <w:abstractNumId w:val="45"/>
  </w:num>
  <w:num w:numId="30">
    <w:abstractNumId w:val="34"/>
  </w:num>
  <w:num w:numId="31">
    <w:abstractNumId w:val="12"/>
  </w:num>
  <w:num w:numId="32">
    <w:abstractNumId w:val="48"/>
  </w:num>
  <w:num w:numId="33">
    <w:abstractNumId w:val="4"/>
  </w:num>
  <w:num w:numId="34">
    <w:abstractNumId w:val="26"/>
  </w:num>
  <w:num w:numId="35">
    <w:abstractNumId w:val="43"/>
  </w:num>
  <w:num w:numId="36">
    <w:abstractNumId w:val="35"/>
  </w:num>
  <w:num w:numId="37">
    <w:abstractNumId w:val="22"/>
  </w:num>
  <w:num w:numId="38">
    <w:abstractNumId w:val="24"/>
  </w:num>
  <w:num w:numId="39">
    <w:abstractNumId w:val="17"/>
  </w:num>
  <w:num w:numId="40">
    <w:abstractNumId w:val="32"/>
  </w:num>
  <w:num w:numId="41">
    <w:abstractNumId w:val="47"/>
  </w:num>
  <w:num w:numId="42">
    <w:abstractNumId w:val="23"/>
  </w:num>
  <w:num w:numId="43">
    <w:abstractNumId w:val="3"/>
  </w:num>
  <w:num w:numId="44">
    <w:abstractNumId w:val="15"/>
  </w:num>
  <w:num w:numId="45">
    <w:abstractNumId w:val="37"/>
  </w:num>
  <w:num w:numId="46">
    <w:abstractNumId w:val="29"/>
  </w:num>
  <w:num w:numId="47">
    <w:abstractNumId w:val="2"/>
  </w:num>
  <w:num w:numId="48">
    <w:abstractNumId w:val="42"/>
  </w:num>
  <w:num w:numId="49">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9AE"/>
    <w:rsid w:val="0002300E"/>
    <w:rsid w:val="00024490"/>
    <w:rsid w:val="00024AEF"/>
    <w:rsid w:val="000251C9"/>
    <w:rsid w:val="00025C90"/>
    <w:rsid w:val="00026C65"/>
    <w:rsid w:val="00027755"/>
    <w:rsid w:val="00030048"/>
    <w:rsid w:val="0003072D"/>
    <w:rsid w:val="000314CD"/>
    <w:rsid w:val="000317D2"/>
    <w:rsid w:val="00033544"/>
    <w:rsid w:val="0003479E"/>
    <w:rsid w:val="00035691"/>
    <w:rsid w:val="000356B9"/>
    <w:rsid w:val="0004132D"/>
    <w:rsid w:val="0004189A"/>
    <w:rsid w:val="00041E2F"/>
    <w:rsid w:val="00042312"/>
    <w:rsid w:val="000433EA"/>
    <w:rsid w:val="00044CFA"/>
    <w:rsid w:val="000459C7"/>
    <w:rsid w:val="00046630"/>
    <w:rsid w:val="00046C80"/>
    <w:rsid w:val="0004718B"/>
    <w:rsid w:val="00047DF5"/>
    <w:rsid w:val="00050112"/>
    <w:rsid w:val="000505CC"/>
    <w:rsid w:val="000511F9"/>
    <w:rsid w:val="00052591"/>
    <w:rsid w:val="00052850"/>
    <w:rsid w:val="000528A2"/>
    <w:rsid w:val="00052BBA"/>
    <w:rsid w:val="0005482F"/>
    <w:rsid w:val="00054D9D"/>
    <w:rsid w:val="00055676"/>
    <w:rsid w:val="00056544"/>
    <w:rsid w:val="00060D8E"/>
    <w:rsid w:val="000610E7"/>
    <w:rsid w:val="00061CDD"/>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0AC0"/>
    <w:rsid w:val="00091A92"/>
    <w:rsid w:val="00092927"/>
    <w:rsid w:val="0009293F"/>
    <w:rsid w:val="00093AAD"/>
    <w:rsid w:val="00093C49"/>
    <w:rsid w:val="00095A80"/>
    <w:rsid w:val="000973E1"/>
    <w:rsid w:val="000A0B11"/>
    <w:rsid w:val="000A0D39"/>
    <w:rsid w:val="000A1402"/>
    <w:rsid w:val="000A20BA"/>
    <w:rsid w:val="000A21D7"/>
    <w:rsid w:val="000A262C"/>
    <w:rsid w:val="000A2E0C"/>
    <w:rsid w:val="000A3C8D"/>
    <w:rsid w:val="000A40EC"/>
    <w:rsid w:val="000A54EE"/>
    <w:rsid w:val="000A6A23"/>
    <w:rsid w:val="000A7BC5"/>
    <w:rsid w:val="000B16DB"/>
    <w:rsid w:val="000B1C5E"/>
    <w:rsid w:val="000B2282"/>
    <w:rsid w:val="000B2A11"/>
    <w:rsid w:val="000B2A5B"/>
    <w:rsid w:val="000B3B91"/>
    <w:rsid w:val="000B4641"/>
    <w:rsid w:val="000B5F0A"/>
    <w:rsid w:val="000B6BE0"/>
    <w:rsid w:val="000C56B1"/>
    <w:rsid w:val="000C6E23"/>
    <w:rsid w:val="000C74BA"/>
    <w:rsid w:val="000C7531"/>
    <w:rsid w:val="000C7592"/>
    <w:rsid w:val="000C7C3F"/>
    <w:rsid w:val="000D0BD6"/>
    <w:rsid w:val="000D0C61"/>
    <w:rsid w:val="000D10C2"/>
    <w:rsid w:val="000D27AD"/>
    <w:rsid w:val="000D29D1"/>
    <w:rsid w:val="000D2B0A"/>
    <w:rsid w:val="000D2C6E"/>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2FA2"/>
    <w:rsid w:val="000F37B0"/>
    <w:rsid w:val="000F4595"/>
    <w:rsid w:val="000F4CB2"/>
    <w:rsid w:val="000F568D"/>
    <w:rsid w:val="000F77A6"/>
    <w:rsid w:val="00100486"/>
    <w:rsid w:val="00101975"/>
    <w:rsid w:val="00101C4F"/>
    <w:rsid w:val="00102C9F"/>
    <w:rsid w:val="00103B5B"/>
    <w:rsid w:val="001068D2"/>
    <w:rsid w:val="001103BD"/>
    <w:rsid w:val="00111208"/>
    <w:rsid w:val="00111808"/>
    <w:rsid w:val="0011339F"/>
    <w:rsid w:val="00114E96"/>
    <w:rsid w:val="001166D6"/>
    <w:rsid w:val="001204DD"/>
    <w:rsid w:val="00122839"/>
    <w:rsid w:val="00122FF2"/>
    <w:rsid w:val="00123204"/>
    <w:rsid w:val="001237AC"/>
    <w:rsid w:val="00124E12"/>
    <w:rsid w:val="0012673D"/>
    <w:rsid w:val="001269B8"/>
    <w:rsid w:val="00127099"/>
    <w:rsid w:val="001302BB"/>
    <w:rsid w:val="00130854"/>
    <w:rsid w:val="00132421"/>
    <w:rsid w:val="00132B71"/>
    <w:rsid w:val="0013427A"/>
    <w:rsid w:val="001362C2"/>
    <w:rsid w:val="00136955"/>
    <w:rsid w:val="001371B2"/>
    <w:rsid w:val="00137D78"/>
    <w:rsid w:val="00137F53"/>
    <w:rsid w:val="001409A0"/>
    <w:rsid w:val="00141580"/>
    <w:rsid w:val="00141F08"/>
    <w:rsid w:val="00141FF2"/>
    <w:rsid w:val="00142DE2"/>
    <w:rsid w:val="00144C87"/>
    <w:rsid w:val="001467B1"/>
    <w:rsid w:val="0014736B"/>
    <w:rsid w:val="00150175"/>
    <w:rsid w:val="001502C8"/>
    <w:rsid w:val="0015130F"/>
    <w:rsid w:val="001522AE"/>
    <w:rsid w:val="00155BFD"/>
    <w:rsid w:val="00157390"/>
    <w:rsid w:val="00160998"/>
    <w:rsid w:val="00160CD6"/>
    <w:rsid w:val="0016316A"/>
    <w:rsid w:val="00164171"/>
    <w:rsid w:val="00164E58"/>
    <w:rsid w:val="00165033"/>
    <w:rsid w:val="001670EA"/>
    <w:rsid w:val="00167401"/>
    <w:rsid w:val="001674A0"/>
    <w:rsid w:val="00170389"/>
    <w:rsid w:val="00170A50"/>
    <w:rsid w:val="0017198E"/>
    <w:rsid w:val="00174FFD"/>
    <w:rsid w:val="001759CA"/>
    <w:rsid w:val="0017726A"/>
    <w:rsid w:val="00180278"/>
    <w:rsid w:val="001818A7"/>
    <w:rsid w:val="00181DCF"/>
    <w:rsid w:val="00182725"/>
    <w:rsid w:val="001829C8"/>
    <w:rsid w:val="00182C3D"/>
    <w:rsid w:val="00182FDB"/>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18A7"/>
    <w:rsid w:val="001B36FC"/>
    <w:rsid w:val="001B41ED"/>
    <w:rsid w:val="001B4607"/>
    <w:rsid w:val="001B4F61"/>
    <w:rsid w:val="001B7E0C"/>
    <w:rsid w:val="001C0674"/>
    <w:rsid w:val="001C226F"/>
    <w:rsid w:val="001C66AC"/>
    <w:rsid w:val="001C6754"/>
    <w:rsid w:val="001C6FD1"/>
    <w:rsid w:val="001C77F0"/>
    <w:rsid w:val="001D1BD6"/>
    <w:rsid w:val="001D3A41"/>
    <w:rsid w:val="001D3E49"/>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4CD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7587"/>
    <w:rsid w:val="00270CA7"/>
    <w:rsid w:val="00270F6F"/>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E17"/>
    <w:rsid w:val="002A2F5E"/>
    <w:rsid w:val="002A352A"/>
    <w:rsid w:val="002A371A"/>
    <w:rsid w:val="002A607D"/>
    <w:rsid w:val="002B132E"/>
    <w:rsid w:val="002B2813"/>
    <w:rsid w:val="002B2D29"/>
    <w:rsid w:val="002C1A02"/>
    <w:rsid w:val="002C1EEA"/>
    <w:rsid w:val="002C3EAA"/>
    <w:rsid w:val="002C6034"/>
    <w:rsid w:val="002C635B"/>
    <w:rsid w:val="002C64F5"/>
    <w:rsid w:val="002C6F5D"/>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67E"/>
    <w:rsid w:val="002E6B21"/>
    <w:rsid w:val="002E74AF"/>
    <w:rsid w:val="002E7581"/>
    <w:rsid w:val="002E7980"/>
    <w:rsid w:val="002F04AE"/>
    <w:rsid w:val="002F1038"/>
    <w:rsid w:val="002F1B64"/>
    <w:rsid w:val="002F22FF"/>
    <w:rsid w:val="002F2D8F"/>
    <w:rsid w:val="002F455F"/>
    <w:rsid w:val="002F695B"/>
    <w:rsid w:val="002F7207"/>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42A6"/>
    <w:rsid w:val="00367337"/>
    <w:rsid w:val="00367FD8"/>
    <w:rsid w:val="00370B63"/>
    <w:rsid w:val="00370F9D"/>
    <w:rsid w:val="00370FCC"/>
    <w:rsid w:val="003711AF"/>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5AA7"/>
    <w:rsid w:val="003A71A8"/>
    <w:rsid w:val="003B00CA"/>
    <w:rsid w:val="003B030B"/>
    <w:rsid w:val="003B0432"/>
    <w:rsid w:val="003B04B2"/>
    <w:rsid w:val="003B0821"/>
    <w:rsid w:val="003B0BE9"/>
    <w:rsid w:val="003B0E00"/>
    <w:rsid w:val="003B28C8"/>
    <w:rsid w:val="003B2E9B"/>
    <w:rsid w:val="003B2F8D"/>
    <w:rsid w:val="003B3DD0"/>
    <w:rsid w:val="003B4FAA"/>
    <w:rsid w:val="003B547A"/>
    <w:rsid w:val="003B68D7"/>
    <w:rsid w:val="003B75B9"/>
    <w:rsid w:val="003B77E4"/>
    <w:rsid w:val="003C1A18"/>
    <w:rsid w:val="003C50E8"/>
    <w:rsid w:val="003C5C41"/>
    <w:rsid w:val="003C7461"/>
    <w:rsid w:val="003D0788"/>
    <w:rsid w:val="003D132A"/>
    <w:rsid w:val="003D1517"/>
    <w:rsid w:val="003D2938"/>
    <w:rsid w:val="003D3FBA"/>
    <w:rsid w:val="003D402B"/>
    <w:rsid w:val="003D71CD"/>
    <w:rsid w:val="003D764F"/>
    <w:rsid w:val="003E0667"/>
    <w:rsid w:val="003E0BCE"/>
    <w:rsid w:val="003E13E0"/>
    <w:rsid w:val="003E1660"/>
    <w:rsid w:val="003E1CD1"/>
    <w:rsid w:val="003E2A2D"/>
    <w:rsid w:val="003E64A9"/>
    <w:rsid w:val="003E7905"/>
    <w:rsid w:val="003F0336"/>
    <w:rsid w:val="003F0CBC"/>
    <w:rsid w:val="003F5547"/>
    <w:rsid w:val="003F5C40"/>
    <w:rsid w:val="003F673E"/>
    <w:rsid w:val="003F6E12"/>
    <w:rsid w:val="003F75ED"/>
    <w:rsid w:val="004002B7"/>
    <w:rsid w:val="00400AD0"/>
    <w:rsid w:val="00400F31"/>
    <w:rsid w:val="004034E3"/>
    <w:rsid w:val="00406B4D"/>
    <w:rsid w:val="0041443C"/>
    <w:rsid w:val="004154F7"/>
    <w:rsid w:val="004176FF"/>
    <w:rsid w:val="004241C5"/>
    <w:rsid w:val="00424FA7"/>
    <w:rsid w:val="00426A87"/>
    <w:rsid w:val="004309D8"/>
    <w:rsid w:val="004313D1"/>
    <w:rsid w:val="00432110"/>
    <w:rsid w:val="00433EBE"/>
    <w:rsid w:val="00434406"/>
    <w:rsid w:val="00441B92"/>
    <w:rsid w:val="00442C3E"/>
    <w:rsid w:val="0044321F"/>
    <w:rsid w:val="0044474B"/>
    <w:rsid w:val="00444F93"/>
    <w:rsid w:val="00445FF7"/>
    <w:rsid w:val="00447249"/>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6F22"/>
    <w:rsid w:val="004874E4"/>
    <w:rsid w:val="0049070D"/>
    <w:rsid w:val="00491DB2"/>
    <w:rsid w:val="00492877"/>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14B3"/>
    <w:rsid w:val="004C183D"/>
    <w:rsid w:val="004C3EEE"/>
    <w:rsid w:val="004C483D"/>
    <w:rsid w:val="004C7948"/>
    <w:rsid w:val="004C795A"/>
    <w:rsid w:val="004C7F93"/>
    <w:rsid w:val="004D0BAD"/>
    <w:rsid w:val="004D201D"/>
    <w:rsid w:val="004D26B8"/>
    <w:rsid w:val="004D38C2"/>
    <w:rsid w:val="004D4FBD"/>
    <w:rsid w:val="004D4FC0"/>
    <w:rsid w:val="004D5FDD"/>
    <w:rsid w:val="004D7DA8"/>
    <w:rsid w:val="004E2892"/>
    <w:rsid w:val="004E28DC"/>
    <w:rsid w:val="004E362B"/>
    <w:rsid w:val="004E3681"/>
    <w:rsid w:val="004E3D74"/>
    <w:rsid w:val="004E784B"/>
    <w:rsid w:val="004F0224"/>
    <w:rsid w:val="004F0DB4"/>
    <w:rsid w:val="004F0E04"/>
    <w:rsid w:val="004F1EBC"/>
    <w:rsid w:val="004F3304"/>
    <w:rsid w:val="004F3659"/>
    <w:rsid w:val="004F3B71"/>
    <w:rsid w:val="004F5154"/>
    <w:rsid w:val="004F5835"/>
    <w:rsid w:val="004F661C"/>
    <w:rsid w:val="004F6D99"/>
    <w:rsid w:val="00500572"/>
    <w:rsid w:val="00500F3D"/>
    <w:rsid w:val="00501304"/>
    <w:rsid w:val="00501425"/>
    <w:rsid w:val="00502A9C"/>
    <w:rsid w:val="0050304F"/>
    <w:rsid w:val="005030E7"/>
    <w:rsid w:val="0050425D"/>
    <w:rsid w:val="00504311"/>
    <w:rsid w:val="0050485C"/>
    <w:rsid w:val="00504AC6"/>
    <w:rsid w:val="00506FCA"/>
    <w:rsid w:val="00510278"/>
    <w:rsid w:val="00511079"/>
    <w:rsid w:val="00511580"/>
    <w:rsid w:val="00512829"/>
    <w:rsid w:val="00513449"/>
    <w:rsid w:val="0051423C"/>
    <w:rsid w:val="00514C91"/>
    <w:rsid w:val="00515BCB"/>
    <w:rsid w:val="00516241"/>
    <w:rsid w:val="00516FD9"/>
    <w:rsid w:val="0051791D"/>
    <w:rsid w:val="00520727"/>
    <w:rsid w:val="00520BB5"/>
    <w:rsid w:val="00523E75"/>
    <w:rsid w:val="005243E0"/>
    <w:rsid w:val="00524793"/>
    <w:rsid w:val="005256F3"/>
    <w:rsid w:val="005265A3"/>
    <w:rsid w:val="00526783"/>
    <w:rsid w:val="005277B9"/>
    <w:rsid w:val="00527FB1"/>
    <w:rsid w:val="005308FE"/>
    <w:rsid w:val="005310E0"/>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568E5"/>
    <w:rsid w:val="005606A4"/>
    <w:rsid w:val="005607B8"/>
    <w:rsid w:val="00560CF5"/>
    <w:rsid w:val="0056113A"/>
    <w:rsid w:val="00561513"/>
    <w:rsid w:val="00561792"/>
    <w:rsid w:val="005621E6"/>
    <w:rsid w:val="0056272D"/>
    <w:rsid w:val="0056308E"/>
    <w:rsid w:val="005649BF"/>
    <w:rsid w:val="005650ED"/>
    <w:rsid w:val="00565869"/>
    <w:rsid w:val="00567415"/>
    <w:rsid w:val="00567610"/>
    <w:rsid w:val="00570D9F"/>
    <w:rsid w:val="00571CA8"/>
    <w:rsid w:val="00580793"/>
    <w:rsid w:val="00581470"/>
    <w:rsid w:val="00582087"/>
    <w:rsid w:val="00582997"/>
    <w:rsid w:val="005831DD"/>
    <w:rsid w:val="00584320"/>
    <w:rsid w:val="00587229"/>
    <w:rsid w:val="00587503"/>
    <w:rsid w:val="00590E8D"/>
    <w:rsid w:val="00591511"/>
    <w:rsid w:val="0059331A"/>
    <w:rsid w:val="00594F94"/>
    <w:rsid w:val="00596BBA"/>
    <w:rsid w:val="005975C4"/>
    <w:rsid w:val="00597ED8"/>
    <w:rsid w:val="005A063D"/>
    <w:rsid w:val="005A2E77"/>
    <w:rsid w:val="005A34D5"/>
    <w:rsid w:val="005A3A3E"/>
    <w:rsid w:val="005A4904"/>
    <w:rsid w:val="005A515A"/>
    <w:rsid w:val="005A54C9"/>
    <w:rsid w:val="005A67E4"/>
    <w:rsid w:val="005A704D"/>
    <w:rsid w:val="005B1049"/>
    <w:rsid w:val="005B3C6D"/>
    <w:rsid w:val="005B609E"/>
    <w:rsid w:val="005B6DF6"/>
    <w:rsid w:val="005B72EF"/>
    <w:rsid w:val="005B7B7D"/>
    <w:rsid w:val="005C1948"/>
    <w:rsid w:val="005C263C"/>
    <w:rsid w:val="005C2679"/>
    <w:rsid w:val="005C6BB7"/>
    <w:rsid w:val="005C70DD"/>
    <w:rsid w:val="005D07C5"/>
    <w:rsid w:val="005D12B7"/>
    <w:rsid w:val="005D3892"/>
    <w:rsid w:val="005D4302"/>
    <w:rsid w:val="005D5A20"/>
    <w:rsid w:val="005D5F19"/>
    <w:rsid w:val="005D6C09"/>
    <w:rsid w:val="005D786C"/>
    <w:rsid w:val="005E049F"/>
    <w:rsid w:val="005E130A"/>
    <w:rsid w:val="005E288C"/>
    <w:rsid w:val="005E3073"/>
    <w:rsid w:val="005E316A"/>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4367"/>
    <w:rsid w:val="006044BE"/>
    <w:rsid w:val="006044E2"/>
    <w:rsid w:val="0060475F"/>
    <w:rsid w:val="00606A26"/>
    <w:rsid w:val="00607D37"/>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6F6F"/>
    <w:rsid w:val="00690E2E"/>
    <w:rsid w:val="006932E7"/>
    <w:rsid w:val="00693347"/>
    <w:rsid w:val="0069334C"/>
    <w:rsid w:val="006942D4"/>
    <w:rsid w:val="00694F7D"/>
    <w:rsid w:val="00695559"/>
    <w:rsid w:val="00696D63"/>
    <w:rsid w:val="006A032F"/>
    <w:rsid w:val="006A1D91"/>
    <w:rsid w:val="006A346C"/>
    <w:rsid w:val="006A41AE"/>
    <w:rsid w:val="006A4856"/>
    <w:rsid w:val="006A4BCE"/>
    <w:rsid w:val="006A564B"/>
    <w:rsid w:val="006B0B4C"/>
    <w:rsid w:val="006B1545"/>
    <w:rsid w:val="006B2DA7"/>
    <w:rsid w:val="006B2F4D"/>
    <w:rsid w:val="006B3682"/>
    <w:rsid w:val="006B4498"/>
    <w:rsid w:val="006B48CB"/>
    <w:rsid w:val="006B51A8"/>
    <w:rsid w:val="006B740C"/>
    <w:rsid w:val="006C1445"/>
    <w:rsid w:val="006C4FC1"/>
    <w:rsid w:val="006C529D"/>
    <w:rsid w:val="006C7F1E"/>
    <w:rsid w:val="006D0E6B"/>
    <w:rsid w:val="006D2146"/>
    <w:rsid w:val="006D5BCA"/>
    <w:rsid w:val="006E08DD"/>
    <w:rsid w:val="006E094A"/>
    <w:rsid w:val="006E12B1"/>
    <w:rsid w:val="006E13D1"/>
    <w:rsid w:val="006E4D0C"/>
    <w:rsid w:val="006E5B78"/>
    <w:rsid w:val="006E6BA3"/>
    <w:rsid w:val="006F0914"/>
    <w:rsid w:val="006F0A50"/>
    <w:rsid w:val="006F1116"/>
    <w:rsid w:val="006F3196"/>
    <w:rsid w:val="006F3C54"/>
    <w:rsid w:val="006F5E64"/>
    <w:rsid w:val="006F60DE"/>
    <w:rsid w:val="006F6A35"/>
    <w:rsid w:val="006F7914"/>
    <w:rsid w:val="006F7E46"/>
    <w:rsid w:val="00700AB4"/>
    <w:rsid w:val="00700FCA"/>
    <w:rsid w:val="00701645"/>
    <w:rsid w:val="00702D5A"/>
    <w:rsid w:val="00702EF7"/>
    <w:rsid w:val="00703989"/>
    <w:rsid w:val="007042E9"/>
    <w:rsid w:val="00704E43"/>
    <w:rsid w:val="00705A22"/>
    <w:rsid w:val="007069BE"/>
    <w:rsid w:val="007070E5"/>
    <w:rsid w:val="0071118B"/>
    <w:rsid w:val="00711E13"/>
    <w:rsid w:val="00712EDA"/>
    <w:rsid w:val="007136D0"/>
    <w:rsid w:val="0071417B"/>
    <w:rsid w:val="00714F88"/>
    <w:rsid w:val="007155A9"/>
    <w:rsid w:val="007158E1"/>
    <w:rsid w:val="00715D07"/>
    <w:rsid w:val="0071705B"/>
    <w:rsid w:val="00720505"/>
    <w:rsid w:val="007236A3"/>
    <w:rsid w:val="007239B6"/>
    <w:rsid w:val="0072490A"/>
    <w:rsid w:val="00724A02"/>
    <w:rsid w:val="0072517D"/>
    <w:rsid w:val="007253D2"/>
    <w:rsid w:val="00726878"/>
    <w:rsid w:val="0073124A"/>
    <w:rsid w:val="00733893"/>
    <w:rsid w:val="00734A05"/>
    <w:rsid w:val="00735C6F"/>
    <w:rsid w:val="00753BB5"/>
    <w:rsid w:val="00756832"/>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586"/>
    <w:rsid w:val="007826C8"/>
    <w:rsid w:val="00782B20"/>
    <w:rsid w:val="00784190"/>
    <w:rsid w:val="0078457B"/>
    <w:rsid w:val="00784756"/>
    <w:rsid w:val="00784C55"/>
    <w:rsid w:val="0078539D"/>
    <w:rsid w:val="007856C1"/>
    <w:rsid w:val="007860A6"/>
    <w:rsid w:val="00787051"/>
    <w:rsid w:val="0079018D"/>
    <w:rsid w:val="00790338"/>
    <w:rsid w:val="00791A00"/>
    <w:rsid w:val="007923C3"/>
    <w:rsid w:val="00792A4D"/>
    <w:rsid w:val="00792CEE"/>
    <w:rsid w:val="007A138F"/>
    <w:rsid w:val="007A1640"/>
    <w:rsid w:val="007A39DF"/>
    <w:rsid w:val="007A43ED"/>
    <w:rsid w:val="007A4BDD"/>
    <w:rsid w:val="007A5193"/>
    <w:rsid w:val="007A5DE4"/>
    <w:rsid w:val="007A72EE"/>
    <w:rsid w:val="007B0397"/>
    <w:rsid w:val="007B128D"/>
    <w:rsid w:val="007B177B"/>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D05B2"/>
    <w:rsid w:val="007D0C44"/>
    <w:rsid w:val="007D1972"/>
    <w:rsid w:val="007D1F33"/>
    <w:rsid w:val="007D2417"/>
    <w:rsid w:val="007D3307"/>
    <w:rsid w:val="007D3C3B"/>
    <w:rsid w:val="007D5ABC"/>
    <w:rsid w:val="007D5E27"/>
    <w:rsid w:val="007D6F64"/>
    <w:rsid w:val="007D7418"/>
    <w:rsid w:val="007E0258"/>
    <w:rsid w:val="007E3ADA"/>
    <w:rsid w:val="007E79C5"/>
    <w:rsid w:val="007F1355"/>
    <w:rsid w:val="007F2635"/>
    <w:rsid w:val="007F43BC"/>
    <w:rsid w:val="007F4740"/>
    <w:rsid w:val="008006C6"/>
    <w:rsid w:val="0080153E"/>
    <w:rsid w:val="008028ED"/>
    <w:rsid w:val="0080742D"/>
    <w:rsid w:val="0081151E"/>
    <w:rsid w:val="00812498"/>
    <w:rsid w:val="008127E6"/>
    <w:rsid w:val="0081336E"/>
    <w:rsid w:val="00813928"/>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7F5"/>
    <w:rsid w:val="00846292"/>
    <w:rsid w:val="008506E1"/>
    <w:rsid w:val="008515EE"/>
    <w:rsid w:val="008528D3"/>
    <w:rsid w:val="00854553"/>
    <w:rsid w:val="008545E6"/>
    <w:rsid w:val="008551AC"/>
    <w:rsid w:val="00855B86"/>
    <w:rsid w:val="00856CAA"/>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766F1"/>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03D"/>
    <w:rsid w:val="008A7A69"/>
    <w:rsid w:val="008B185F"/>
    <w:rsid w:val="008B3B51"/>
    <w:rsid w:val="008B4057"/>
    <w:rsid w:val="008B4145"/>
    <w:rsid w:val="008B5290"/>
    <w:rsid w:val="008B71B8"/>
    <w:rsid w:val="008C2CFD"/>
    <w:rsid w:val="008C386E"/>
    <w:rsid w:val="008C603A"/>
    <w:rsid w:val="008C71C8"/>
    <w:rsid w:val="008D167D"/>
    <w:rsid w:val="008D457E"/>
    <w:rsid w:val="008D4B58"/>
    <w:rsid w:val="008D4B8A"/>
    <w:rsid w:val="008D4C64"/>
    <w:rsid w:val="008D7D7B"/>
    <w:rsid w:val="008E0F52"/>
    <w:rsid w:val="008E2316"/>
    <w:rsid w:val="008E34BE"/>
    <w:rsid w:val="008E42F4"/>
    <w:rsid w:val="008E5434"/>
    <w:rsid w:val="008E5657"/>
    <w:rsid w:val="008E5E51"/>
    <w:rsid w:val="008F00DB"/>
    <w:rsid w:val="008F1264"/>
    <w:rsid w:val="008F43EA"/>
    <w:rsid w:val="008F47C6"/>
    <w:rsid w:val="009006A2"/>
    <w:rsid w:val="0090102B"/>
    <w:rsid w:val="00901326"/>
    <w:rsid w:val="00901448"/>
    <w:rsid w:val="0090223F"/>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4CA9"/>
    <w:rsid w:val="00935D15"/>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2F78"/>
    <w:rsid w:val="00983D46"/>
    <w:rsid w:val="00983DCA"/>
    <w:rsid w:val="00985EF7"/>
    <w:rsid w:val="00986CF9"/>
    <w:rsid w:val="00990C0E"/>
    <w:rsid w:val="00990D75"/>
    <w:rsid w:val="00991093"/>
    <w:rsid w:val="0099134F"/>
    <w:rsid w:val="0099163B"/>
    <w:rsid w:val="00992343"/>
    <w:rsid w:val="00993617"/>
    <w:rsid w:val="0099493B"/>
    <w:rsid w:val="00996306"/>
    <w:rsid w:val="00996744"/>
    <w:rsid w:val="00997CF4"/>
    <w:rsid w:val="009A1169"/>
    <w:rsid w:val="009A3789"/>
    <w:rsid w:val="009A3F1F"/>
    <w:rsid w:val="009A5D2A"/>
    <w:rsid w:val="009A6919"/>
    <w:rsid w:val="009A6AC7"/>
    <w:rsid w:val="009B0408"/>
    <w:rsid w:val="009B0843"/>
    <w:rsid w:val="009B1E47"/>
    <w:rsid w:val="009B2CED"/>
    <w:rsid w:val="009B3016"/>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557F"/>
    <w:rsid w:val="009F7867"/>
    <w:rsid w:val="009F7D66"/>
    <w:rsid w:val="00A00BD2"/>
    <w:rsid w:val="00A00E56"/>
    <w:rsid w:val="00A027F3"/>
    <w:rsid w:val="00A03978"/>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1FD1"/>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978C4"/>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320"/>
    <w:rsid w:val="00AE3D5B"/>
    <w:rsid w:val="00AE3DE1"/>
    <w:rsid w:val="00AE79D3"/>
    <w:rsid w:val="00AF0F8C"/>
    <w:rsid w:val="00AF1D4B"/>
    <w:rsid w:val="00AF2D54"/>
    <w:rsid w:val="00AF3458"/>
    <w:rsid w:val="00AF3F7B"/>
    <w:rsid w:val="00AF42B4"/>
    <w:rsid w:val="00AF4B8A"/>
    <w:rsid w:val="00AF4F1B"/>
    <w:rsid w:val="00AF5EC6"/>
    <w:rsid w:val="00AF6E8A"/>
    <w:rsid w:val="00AF7213"/>
    <w:rsid w:val="00AF7D92"/>
    <w:rsid w:val="00AF7F9C"/>
    <w:rsid w:val="00B011CC"/>
    <w:rsid w:val="00B04048"/>
    <w:rsid w:val="00B04F3D"/>
    <w:rsid w:val="00B05702"/>
    <w:rsid w:val="00B06DD9"/>
    <w:rsid w:val="00B07CD6"/>
    <w:rsid w:val="00B07E52"/>
    <w:rsid w:val="00B10010"/>
    <w:rsid w:val="00B11775"/>
    <w:rsid w:val="00B129BC"/>
    <w:rsid w:val="00B1302D"/>
    <w:rsid w:val="00B1513F"/>
    <w:rsid w:val="00B161C6"/>
    <w:rsid w:val="00B1746F"/>
    <w:rsid w:val="00B1797F"/>
    <w:rsid w:val="00B20725"/>
    <w:rsid w:val="00B2175F"/>
    <w:rsid w:val="00B245DA"/>
    <w:rsid w:val="00B2628E"/>
    <w:rsid w:val="00B266B0"/>
    <w:rsid w:val="00B27072"/>
    <w:rsid w:val="00B27921"/>
    <w:rsid w:val="00B3000E"/>
    <w:rsid w:val="00B326A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24E7"/>
    <w:rsid w:val="00B53893"/>
    <w:rsid w:val="00B548C2"/>
    <w:rsid w:val="00B54E73"/>
    <w:rsid w:val="00B55428"/>
    <w:rsid w:val="00B570BF"/>
    <w:rsid w:val="00B62707"/>
    <w:rsid w:val="00B63337"/>
    <w:rsid w:val="00B6369F"/>
    <w:rsid w:val="00B639D7"/>
    <w:rsid w:val="00B64898"/>
    <w:rsid w:val="00B67805"/>
    <w:rsid w:val="00B7267A"/>
    <w:rsid w:val="00B726FF"/>
    <w:rsid w:val="00B728AF"/>
    <w:rsid w:val="00B72AA4"/>
    <w:rsid w:val="00B73739"/>
    <w:rsid w:val="00B74014"/>
    <w:rsid w:val="00B76BCD"/>
    <w:rsid w:val="00B76EE9"/>
    <w:rsid w:val="00B77880"/>
    <w:rsid w:val="00B80D90"/>
    <w:rsid w:val="00B81276"/>
    <w:rsid w:val="00B82613"/>
    <w:rsid w:val="00B828B5"/>
    <w:rsid w:val="00B84E9C"/>
    <w:rsid w:val="00B85522"/>
    <w:rsid w:val="00B865C2"/>
    <w:rsid w:val="00B90E2A"/>
    <w:rsid w:val="00B90F2A"/>
    <w:rsid w:val="00B9198D"/>
    <w:rsid w:val="00B93008"/>
    <w:rsid w:val="00B9406D"/>
    <w:rsid w:val="00B94BA7"/>
    <w:rsid w:val="00B94E0E"/>
    <w:rsid w:val="00B97CA3"/>
    <w:rsid w:val="00BA1AB0"/>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C6BEC"/>
    <w:rsid w:val="00BD0ED7"/>
    <w:rsid w:val="00BD3E68"/>
    <w:rsid w:val="00BD598A"/>
    <w:rsid w:val="00BD6A0D"/>
    <w:rsid w:val="00BD75B4"/>
    <w:rsid w:val="00BD7D14"/>
    <w:rsid w:val="00BE02B4"/>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D63"/>
    <w:rsid w:val="00C05E4F"/>
    <w:rsid w:val="00C072FE"/>
    <w:rsid w:val="00C12E39"/>
    <w:rsid w:val="00C14164"/>
    <w:rsid w:val="00C14851"/>
    <w:rsid w:val="00C15D8E"/>
    <w:rsid w:val="00C17012"/>
    <w:rsid w:val="00C178FB"/>
    <w:rsid w:val="00C257B7"/>
    <w:rsid w:val="00C25A16"/>
    <w:rsid w:val="00C272E8"/>
    <w:rsid w:val="00C307F3"/>
    <w:rsid w:val="00C32035"/>
    <w:rsid w:val="00C32928"/>
    <w:rsid w:val="00C33359"/>
    <w:rsid w:val="00C348D6"/>
    <w:rsid w:val="00C35F73"/>
    <w:rsid w:val="00C36E34"/>
    <w:rsid w:val="00C404EE"/>
    <w:rsid w:val="00C4061A"/>
    <w:rsid w:val="00C406C6"/>
    <w:rsid w:val="00C4171B"/>
    <w:rsid w:val="00C42689"/>
    <w:rsid w:val="00C42988"/>
    <w:rsid w:val="00C42BD4"/>
    <w:rsid w:val="00C43FF0"/>
    <w:rsid w:val="00C44641"/>
    <w:rsid w:val="00C44B83"/>
    <w:rsid w:val="00C45EF5"/>
    <w:rsid w:val="00C46B7E"/>
    <w:rsid w:val="00C50A4E"/>
    <w:rsid w:val="00C520B1"/>
    <w:rsid w:val="00C522D6"/>
    <w:rsid w:val="00C5316B"/>
    <w:rsid w:val="00C54020"/>
    <w:rsid w:val="00C545C5"/>
    <w:rsid w:val="00C54CEA"/>
    <w:rsid w:val="00C54E0E"/>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2BBB"/>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497D"/>
    <w:rsid w:val="00CB6EDF"/>
    <w:rsid w:val="00CB71F8"/>
    <w:rsid w:val="00CC118D"/>
    <w:rsid w:val="00CC26DB"/>
    <w:rsid w:val="00CC3DAA"/>
    <w:rsid w:val="00CC4C2C"/>
    <w:rsid w:val="00CC5057"/>
    <w:rsid w:val="00CD078F"/>
    <w:rsid w:val="00CD121E"/>
    <w:rsid w:val="00CD2DB6"/>
    <w:rsid w:val="00CD3ED8"/>
    <w:rsid w:val="00CD464F"/>
    <w:rsid w:val="00CD53DE"/>
    <w:rsid w:val="00CD761D"/>
    <w:rsid w:val="00CD76B5"/>
    <w:rsid w:val="00CD7E3B"/>
    <w:rsid w:val="00CE19F7"/>
    <w:rsid w:val="00CE234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638"/>
    <w:rsid w:val="00D01E3E"/>
    <w:rsid w:val="00D01EAD"/>
    <w:rsid w:val="00D035B9"/>
    <w:rsid w:val="00D0518B"/>
    <w:rsid w:val="00D060FF"/>
    <w:rsid w:val="00D064E8"/>
    <w:rsid w:val="00D06572"/>
    <w:rsid w:val="00D065CD"/>
    <w:rsid w:val="00D1074E"/>
    <w:rsid w:val="00D12325"/>
    <w:rsid w:val="00D14487"/>
    <w:rsid w:val="00D15E7E"/>
    <w:rsid w:val="00D20016"/>
    <w:rsid w:val="00D2093A"/>
    <w:rsid w:val="00D2279F"/>
    <w:rsid w:val="00D22AF1"/>
    <w:rsid w:val="00D22E93"/>
    <w:rsid w:val="00D231A4"/>
    <w:rsid w:val="00D242DA"/>
    <w:rsid w:val="00D26300"/>
    <w:rsid w:val="00D26448"/>
    <w:rsid w:val="00D264CE"/>
    <w:rsid w:val="00D26670"/>
    <w:rsid w:val="00D27B8B"/>
    <w:rsid w:val="00D31B6E"/>
    <w:rsid w:val="00D3232B"/>
    <w:rsid w:val="00D3239F"/>
    <w:rsid w:val="00D324A4"/>
    <w:rsid w:val="00D328F6"/>
    <w:rsid w:val="00D3462C"/>
    <w:rsid w:val="00D35198"/>
    <w:rsid w:val="00D3584B"/>
    <w:rsid w:val="00D35AB2"/>
    <w:rsid w:val="00D36519"/>
    <w:rsid w:val="00D3688C"/>
    <w:rsid w:val="00D37000"/>
    <w:rsid w:val="00D412E8"/>
    <w:rsid w:val="00D42240"/>
    <w:rsid w:val="00D427C3"/>
    <w:rsid w:val="00D42C03"/>
    <w:rsid w:val="00D42EB8"/>
    <w:rsid w:val="00D44932"/>
    <w:rsid w:val="00D46111"/>
    <w:rsid w:val="00D47C16"/>
    <w:rsid w:val="00D502AF"/>
    <w:rsid w:val="00D50764"/>
    <w:rsid w:val="00D50C12"/>
    <w:rsid w:val="00D51A77"/>
    <w:rsid w:val="00D52498"/>
    <w:rsid w:val="00D52EEA"/>
    <w:rsid w:val="00D53830"/>
    <w:rsid w:val="00D55889"/>
    <w:rsid w:val="00D5626D"/>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0EF0"/>
    <w:rsid w:val="00DA180C"/>
    <w:rsid w:val="00DA451D"/>
    <w:rsid w:val="00DA50BE"/>
    <w:rsid w:val="00DA56DB"/>
    <w:rsid w:val="00DA57A9"/>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AF7"/>
    <w:rsid w:val="00DC4EC1"/>
    <w:rsid w:val="00DC51EB"/>
    <w:rsid w:val="00DC5EB9"/>
    <w:rsid w:val="00DC6C1E"/>
    <w:rsid w:val="00DC7951"/>
    <w:rsid w:val="00DD1C4B"/>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6181"/>
    <w:rsid w:val="00DF6625"/>
    <w:rsid w:val="00E03A76"/>
    <w:rsid w:val="00E04951"/>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35B9"/>
    <w:rsid w:val="00E65D15"/>
    <w:rsid w:val="00E67EE5"/>
    <w:rsid w:val="00E67FF6"/>
    <w:rsid w:val="00E7013A"/>
    <w:rsid w:val="00E74F5D"/>
    <w:rsid w:val="00E74F79"/>
    <w:rsid w:val="00E74FD0"/>
    <w:rsid w:val="00E7602A"/>
    <w:rsid w:val="00E76034"/>
    <w:rsid w:val="00E80440"/>
    <w:rsid w:val="00E817E0"/>
    <w:rsid w:val="00E82EE4"/>
    <w:rsid w:val="00E831E7"/>
    <w:rsid w:val="00E843B5"/>
    <w:rsid w:val="00E84A3B"/>
    <w:rsid w:val="00E85307"/>
    <w:rsid w:val="00E907E4"/>
    <w:rsid w:val="00E90A24"/>
    <w:rsid w:val="00E90C34"/>
    <w:rsid w:val="00E919AC"/>
    <w:rsid w:val="00E9432B"/>
    <w:rsid w:val="00E946A6"/>
    <w:rsid w:val="00E947E4"/>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CD1"/>
    <w:rsid w:val="00F01E6B"/>
    <w:rsid w:val="00F0241C"/>
    <w:rsid w:val="00F04393"/>
    <w:rsid w:val="00F05759"/>
    <w:rsid w:val="00F1054A"/>
    <w:rsid w:val="00F10CB9"/>
    <w:rsid w:val="00F110D5"/>
    <w:rsid w:val="00F12351"/>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455FB"/>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775FD"/>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CB9"/>
    <w:rsid w:val="00F91DDA"/>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2653"/>
    <w:rsid w:val="00FE386B"/>
    <w:rsid w:val="00FE3DC6"/>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BA5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1A4"/>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rsid w:val="00D231A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231A4"/>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val="0"/>
    </w:rPr>
  </w:style>
  <w:style w:type="paragraph" w:styleId="10">
    <w:name w:val="toc 1"/>
    <w:basedOn w:val="Proposal"/>
    <w:next w:val="Proposal"/>
    <w:link w:val="1Char"/>
    <w:uiPriority w:val="39"/>
    <w:rsid w:val="008D457E"/>
    <w:pPr>
      <w:keepNext/>
      <w:keepLines/>
      <w:tabs>
        <w:tab w:val="right" w:leader="dot" w:pos="9639"/>
      </w:tabs>
      <w:overflowPunct w:val="0"/>
      <w:autoSpaceDE w:val="0"/>
      <w:autoSpaceDN w:val="0"/>
      <w:adjustRightInd w:val="0"/>
      <w:spacing w:before="120"/>
      <w:ind w:left="567" w:right="425" w:hanging="567"/>
      <w:textAlignment w:val="baseline"/>
    </w:pPr>
    <w:rPr>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style>
  <w:style w:type="paragraph" w:styleId="21">
    <w:name w:val="index 2"/>
    <w:basedOn w:val="11"/>
    <w:semiHidden/>
    <w:rsid w:val="005831DD"/>
    <w:pPr>
      <w:ind w:left="284"/>
    </w:pPr>
  </w:style>
  <w:style w:type="paragraph" w:styleId="11">
    <w:name w:val="index 1"/>
    <w:basedOn w:val="a"/>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pPr>
    <w:rPr>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pPr>
    <w:rPr>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semiHidden/>
    <w:rsid w:val="005831DD"/>
    <w:rPr>
      <w:sz w:val="16"/>
    </w:rPr>
  </w:style>
  <w:style w:type="paragraph" w:styleId="ab">
    <w:name w:val="annotation text"/>
    <w:basedOn w:val="a"/>
    <w:link w:val="Char1"/>
    <w:semiHidden/>
    <w:rsid w:val="005831DD"/>
    <w:rPr>
      <w:rFonts w:eastAsia="MS Mincho"/>
      <w:lang w:eastAsia="x-none"/>
    </w:rPr>
  </w:style>
  <w:style w:type="paragraph" w:styleId="25">
    <w:name w:val="Body Text 2"/>
    <w:basedOn w:val="a"/>
    <w:rsid w:val="005831DD"/>
    <w:rPr>
      <w:rFonts w:eastAsia="MS Mincho"/>
      <w:color w:val="FFFF00"/>
      <w:lang w:eastAsia="ja-JP"/>
    </w:rPr>
  </w:style>
  <w:style w:type="paragraph" w:customStyle="1" w:styleId="00BodyText">
    <w:name w:val="00 BodyText"/>
    <w:basedOn w:val="a"/>
    <w:rsid w:val="005831DD"/>
    <w:pPr>
      <w:spacing w:after="220"/>
    </w:pPr>
  </w:style>
  <w:style w:type="paragraph" w:customStyle="1" w:styleId="11BodyText">
    <w:name w:val="11 BodyText"/>
    <w:basedOn w:val="a"/>
    <w:rsid w:val="005831DD"/>
    <w:pPr>
      <w:spacing w:after="220"/>
      <w:ind w:left="1298"/>
    </w:p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lang w:val="x-none" w:eastAsia="x-none"/>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ind w:left="1622" w:hanging="363"/>
    </w:pPr>
    <w:rPr>
      <w:rFonts w:eastAsia="MS Mincho"/>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basedOn w:val="a"/>
    <w:link w:val="Char3"/>
    <w:uiPriority w:val="34"/>
    <w:qFormat/>
    <w:rsid w:val="007651CA"/>
    <w:pPr>
      <w:ind w:left="720"/>
      <w:contextualSpacing/>
    </w:pPr>
    <w:rPr>
      <w:sz w:val="24"/>
      <w:szCs w:val="24"/>
      <w:lang w:val="fi-FI"/>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rPr>
      <w:rFonts w:eastAsia="Calibri"/>
      <w:sz w:val="24"/>
      <w:szCs w:val="24"/>
    </w:rPr>
  </w:style>
  <w:style w:type="paragraph" w:styleId="af3">
    <w:name w:val="Body Text"/>
    <w:basedOn w:val="a"/>
    <w:link w:val="Char4"/>
    <w:rsid w:val="00C72E18"/>
    <w:pPr>
      <w:spacing w:after="120"/>
    </w:pPr>
    <w:rPr>
      <w:lang w:eastAsia="x-none"/>
    </w:r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snapToGrid w:val="0"/>
      <w:spacing w:afterLines="50" w:line="264" w:lineRule="auto"/>
    </w:pPr>
    <w:rPr>
      <w:rFonts w:eastAsia="Batang"/>
      <w:szCs w:val="24"/>
      <w:lang w:eastAsia="ko-KR"/>
    </w:rPr>
  </w:style>
  <w:style w:type="paragraph" w:styleId="af6">
    <w:name w:val="Normal (Web)"/>
    <w:basedOn w:val="a"/>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rPr>
  </w:style>
  <w:style w:type="paragraph" w:customStyle="1" w:styleId="Proposal">
    <w:name w:val="Proposal"/>
    <w:basedOn w:val="a"/>
    <w:link w:val="ProposalChar"/>
    <w:rsid w:val="005B1049"/>
    <w:pPr>
      <w:numPr>
        <w:numId w:val="42"/>
      </w:numPr>
      <w:tabs>
        <w:tab w:val="left" w:pos="1701"/>
      </w:tabs>
    </w:pPr>
    <w:rPr>
      <w:b/>
      <w:bCs/>
    </w:rPr>
  </w:style>
  <w:style w:type="character" w:customStyle="1" w:styleId="ProposalChar">
    <w:name w:val="Proposal Char"/>
    <w:basedOn w:val="a0"/>
    <w:link w:val="Proposal"/>
    <w:rsid w:val="008D457E"/>
    <w:rPr>
      <w:rFonts w:ascii="Arial" w:eastAsiaTheme="minorHAnsi" w:hAnsi="Arial" w:cstheme="minorBidi"/>
      <w:b/>
      <w:bCs/>
      <w:szCs w:val="22"/>
    </w:rPr>
  </w:style>
  <w:style w:type="character" w:customStyle="1" w:styleId="1Char">
    <w:name w:val="目录 1 Char"/>
    <w:basedOn w:val="ProposalChar"/>
    <w:link w:val="10"/>
    <w:uiPriority w:val="39"/>
    <w:rsid w:val="008D457E"/>
    <w:rPr>
      <w:rFonts w:ascii="Arial" w:eastAsiaTheme="minorHAnsi" w:hAnsi="Arial" w:cstheme="minorBidi"/>
      <w:b/>
      <w:bCs/>
      <w:noProof/>
      <w:szCs w:val="22"/>
    </w:rPr>
  </w:style>
  <w:style w:type="paragraph" w:customStyle="1" w:styleId="CharCharCharCharCharChar">
    <w:name w:val="Char Char Char Char Char Char"/>
    <w:semiHidden/>
    <w:rsid w:val="000929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1A4"/>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rsid w:val="00D231A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231A4"/>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val="0"/>
    </w:rPr>
  </w:style>
  <w:style w:type="paragraph" w:styleId="10">
    <w:name w:val="toc 1"/>
    <w:basedOn w:val="Proposal"/>
    <w:next w:val="Proposal"/>
    <w:link w:val="1Char"/>
    <w:uiPriority w:val="39"/>
    <w:rsid w:val="008D457E"/>
    <w:pPr>
      <w:keepNext/>
      <w:keepLines/>
      <w:tabs>
        <w:tab w:val="right" w:leader="dot" w:pos="9639"/>
      </w:tabs>
      <w:overflowPunct w:val="0"/>
      <w:autoSpaceDE w:val="0"/>
      <w:autoSpaceDN w:val="0"/>
      <w:adjustRightInd w:val="0"/>
      <w:spacing w:before="120"/>
      <w:ind w:left="567" w:right="425" w:hanging="567"/>
      <w:textAlignment w:val="baseline"/>
    </w:pPr>
    <w:rPr>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style>
  <w:style w:type="paragraph" w:styleId="21">
    <w:name w:val="index 2"/>
    <w:basedOn w:val="11"/>
    <w:semiHidden/>
    <w:rsid w:val="005831DD"/>
    <w:pPr>
      <w:ind w:left="284"/>
    </w:pPr>
  </w:style>
  <w:style w:type="paragraph" w:styleId="11">
    <w:name w:val="index 1"/>
    <w:basedOn w:val="a"/>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pPr>
    <w:rPr>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pPr>
    <w:rPr>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semiHidden/>
    <w:rsid w:val="005831DD"/>
    <w:rPr>
      <w:sz w:val="16"/>
    </w:rPr>
  </w:style>
  <w:style w:type="paragraph" w:styleId="ab">
    <w:name w:val="annotation text"/>
    <w:basedOn w:val="a"/>
    <w:link w:val="Char1"/>
    <w:semiHidden/>
    <w:rsid w:val="005831DD"/>
    <w:rPr>
      <w:rFonts w:eastAsia="MS Mincho"/>
      <w:lang w:eastAsia="x-none"/>
    </w:rPr>
  </w:style>
  <w:style w:type="paragraph" w:styleId="25">
    <w:name w:val="Body Text 2"/>
    <w:basedOn w:val="a"/>
    <w:rsid w:val="005831DD"/>
    <w:rPr>
      <w:rFonts w:eastAsia="MS Mincho"/>
      <w:color w:val="FFFF00"/>
      <w:lang w:eastAsia="ja-JP"/>
    </w:rPr>
  </w:style>
  <w:style w:type="paragraph" w:customStyle="1" w:styleId="00BodyText">
    <w:name w:val="00 BodyText"/>
    <w:basedOn w:val="a"/>
    <w:rsid w:val="005831DD"/>
    <w:pPr>
      <w:spacing w:after="220"/>
    </w:pPr>
  </w:style>
  <w:style w:type="paragraph" w:customStyle="1" w:styleId="11BodyText">
    <w:name w:val="11 BodyText"/>
    <w:basedOn w:val="a"/>
    <w:rsid w:val="005831DD"/>
    <w:pPr>
      <w:spacing w:after="220"/>
      <w:ind w:left="1298"/>
    </w:p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lang w:val="x-none" w:eastAsia="x-none"/>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ind w:left="1622" w:hanging="363"/>
    </w:pPr>
    <w:rPr>
      <w:rFonts w:eastAsia="MS Mincho"/>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basedOn w:val="a"/>
    <w:link w:val="Char3"/>
    <w:uiPriority w:val="34"/>
    <w:qFormat/>
    <w:rsid w:val="007651CA"/>
    <w:pPr>
      <w:ind w:left="720"/>
      <w:contextualSpacing/>
    </w:pPr>
    <w:rPr>
      <w:sz w:val="24"/>
      <w:szCs w:val="24"/>
      <w:lang w:val="fi-FI"/>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rPr>
      <w:rFonts w:eastAsia="Calibri"/>
      <w:sz w:val="24"/>
      <w:szCs w:val="24"/>
    </w:rPr>
  </w:style>
  <w:style w:type="paragraph" w:styleId="af3">
    <w:name w:val="Body Text"/>
    <w:basedOn w:val="a"/>
    <w:link w:val="Char4"/>
    <w:rsid w:val="00C72E18"/>
    <w:pPr>
      <w:spacing w:after="120"/>
    </w:pPr>
    <w:rPr>
      <w:lang w:eastAsia="x-none"/>
    </w:r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snapToGrid w:val="0"/>
      <w:spacing w:afterLines="50" w:line="264" w:lineRule="auto"/>
    </w:pPr>
    <w:rPr>
      <w:rFonts w:eastAsia="Batang"/>
      <w:szCs w:val="24"/>
      <w:lang w:eastAsia="ko-KR"/>
    </w:rPr>
  </w:style>
  <w:style w:type="paragraph" w:styleId="af6">
    <w:name w:val="Normal (Web)"/>
    <w:basedOn w:val="a"/>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rPr>
  </w:style>
  <w:style w:type="paragraph" w:customStyle="1" w:styleId="Proposal">
    <w:name w:val="Proposal"/>
    <w:basedOn w:val="a"/>
    <w:link w:val="ProposalChar"/>
    <w:rsid w:val="005B1049"/>
    <w:pPr>
      <w:numPr>
        <w:numId w:val="42"/>
      </w:numPr>
      <w:tabs>
        <w:tab w:val="left" w:pos="1701"/>
      </w:tabs>
    </w:pPr>
    <w:rPr>
      <w:b/>
      <w:bCs/>
    </w:rPr>
  </w:style>
  <w:style w:type="character" w:customStyle="1" w:styleId="ProposalChar">
    <w:name w:val="Proposal Char"/>
    <w:basedOn w:val="a0"/>
    <w:link w:val="Proposal"/>
    <w:rsid w:val="008D457E"/>
    <w:rPr>
      <w:rFonts w:ascii="Arial" w:eastAsiaTheme="minorHAnsi" w:hAnsi="Arial" w:cstheme="minorBidi"/>
      <w:b/>
      <w:bCs/>
      <w:szCs w:val="22"/>
    </w:rPr>
  </w:style>
  <w:style w:type="character" w:customStyle="1" w:styleId="1Char">
    <w:name w:val="目录 1 Char"/>
    <w:basedOn w:val="ProposalChar"/>
    <w:link w:val="10"/>
    <w:uiPriority w:val="39"/>
    <w:rsid w:val="008D457E"/>
    <w:rPr>
      <w:rFonts w:ascii="Arial" w:eastAsiaTheme="minorHAnsi" w:hAnsi="Arial" w:cstheme="minorBidi"/>
      <w:b/>
      <w:bCs/>
      <w:noProof/>
      <w:szCs w:val="22"/>
    </w:rPr>
  </w:style>
  <w:style w:type="paragraph" w:customStyle="1" w:styleId="CharCharCharCharCharChar">
    <w:name w:val="Char Char Char Char Char Char"/>
    <w:semiHidden/>
    <w:rsid w:val="000929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6515595">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690360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0480963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67">
          <w:marLeft w:val="547"/>
          <w:marRight w:val="0"/>
          <w:marTop w:val="86"/>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263391826">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25410513">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ACB5A-E9C5-4EE5-9714-19A254D7F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2019-03-08T10:41:00Z</dcterms:created>
  <dcterms:modified xsi:type="dcterms:W3CDTF">2019-03-11T09:25:00Z</dcterms:modified>
</cp:coreProperties>
</file>