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2EC5" w:rsidRPr="00AA2EC5" w:rsidRDefault="00AA2EC5" w:rsidP="00AA2EC5">
      <w:pPr>
        <w:tabs>
          <w:tab w:val="left" w:pos="567"/>
        </w:tabs>
        <w:adjustRightInd w:val="0"/>
        <w:snapToGrid w:val="0"/>
        <w:spacing w:after="0" w:line="240" w:lineRule="auto"/>
        <w:rPr>
          <w:rFonts w:ascii="Arial" w:eastAsia="MS Mincho" w:hAnsi="Arial" w:cs="Arial"/>
          <w:b/>
          <w:sz w:val="28"/>
          <w:szCs w:val="28"/>
          <w:lang w:val="en-GB"/>
        </w:rPr>
      </w:pPr>
      <w:r w:rsidRPr="00AA2EC5">
        <w:rPr>
          <w:rFonts w:ascii="Arial" w:eastAsia="Times New Roman" w:hAnsi="Arial" w:cs="Arial"/>
          <w:b/>
          <w:sz w:val="28"/>
          <w:szCs w:val="28"/>
          <w:lang w:val="en-GB"/>
        </w:rPr>
        <w:t>3GPP TSG RAN Meeting #79</w:t>
      </w:r>
      <w:r w:rsidRPr="00AA2EC5">
        <w:rPr>
          <w:rFonts w:ascii="Arial" w:eastAsia="Times New Roman" w:hAnsi="Arial" w:cs="Arial"/>
          <w:b/>
          <w:sz w:val="28"/>
          <w:szCs w:val="28"/>
          <w:lang w:val="en-GB"/>
        </w:rPr>
        <w:tab/>
      </w:r>
      <w:r w:rsidRPr="00AA2EC5">
        <w:rPr>
          <w:rFonts w:ascii="Arial" w:eastAsia="Times New Roman" w:hAnsi="Arial" w:cs="Arial"/>
          <w:b/>
          <w:sz w:val="28"/>
          <w:szCs w:val="28"/>
          <w:lang w:val="en-GB"/>
        </w:rPr>
        <w:tab/>
      </w:r>
      <w:r w:rsidRPr="00AA2EC5">
        <w:rPr>
          <w:rFonts w:ascii="Arial" w:eastAsia="Times New Roman" w:hAnsi="Arial" w:cs="Arial"/>
          <w:b/>
          <w:sz w:val="28"/>
          <w:szCs w:val="28"/>
          <w:lang w:val="en-GB"/>
        </w:rPr>
        <w:tab/>
      </w:r>
      <w:r w:rsidRPr="00AA2EC5">
        <w:rPr>
          <w:rFonts w:ascii="Arial" w:eastAsia="Times New Roman" w:hAnsi="Arial" w:cs="Arial"/>
          <w:b/>
          <w:sz w:val="28"/>
          <w:szCs w:val="28"/>
          <w:lang w:val="en-GB"/>
        </w:rPr>
        <w:tab/>
      </w:r>
      <w:r w:rsidRPr="00AA2EC5">
        <w:rPr>
          <w:rFonts w:ascii="Arial" w:eastAsia="MS Mincho" w:hAnsi="Arial" w:cs="Arial"/>
          <w:b/>
          <w:sz w:val="28"/>
          <w:szCs w:val="28"/>
          <w:lang w:val="en-GB"/>
        </w:rPr>
        <w:tab/>
      </w:r>
      <w:r>
        <w:rPr>
          <w:rFonts w:ascii="Arial" w:eastAsia="MS Mincho" w:hAnsi="Arial" w:cs="Arial" w:hint="eastAsia"/>
          <w:b/>
          <w:sz w:val="28"/>
          <w:szCs w:val="28"/>
          <w:lang w:val="en-GB"/>
        </w:rPr>
        <w:t xml:space="preserve">        </w:t>
      </w:r>
      <w:r w:rsidRPr="006F6963">
        <w:rPr>
          <w:rFonts w:ascii="Arial" w:eastAsia="Times New Roman" w:hAnsi="Arial" w:cs="Arial"/>
          <w:b/>
          <w:sz w:val="28"/>
          <w:szCs w:val="28"/>
          <w:lang w:val="en-GB"/>
        </w:rPr>
        <w:t>RP-18</w:t>
      </w:r>
      <w:r w:rsidR="00595EDD" w:rsidRPr="006F6963">
        <w:rPr>
          <w:rFonts w:ascii="Arial" w:eastAsia="Times New Roman" w:hAnsi="Arial" w:cs="Arial"/>
          <w:b/>
          <w:sz w:val="28"/>
          <w:szCs w:val="28"/>
          <w:lang w:val="en-GB"/>
        </w:rPr>
        <w:t>0</w:t>
      </w:r>
      <w:r w:rsidR="006F6963" w:rsidRPr="006F6963">
        <w:rPr>
          <w:rFonts w:ascii="Arial" w:eastAsia="Times New Roman" w:hAnsi="Arial" w:cs="Arial"/>
          <w:b/>
          <w:sz w:val="28"/>
          <w:szCs w:val="28"/>
          <w:lang w:val="en-GB"/>
        </w:rPr>
        <w:t>219</w:t>
      </w:r>
    </w:p>
    <w:p w:rsidR="00AA2EC5" w:rsidRPr="00AA2EC5" w:rsidRDefault="00AA2EC5" w:rsidP="00AA2EC5">
      <w:pPr>
        <w:tabs>
          <w:tab w:val="left" w:pos="567"/>
        </w:tabs>
        <w:overflowPunct w:val="0"/>
        <w:autoSpaceDE w:val="0"/>
        <w:autoSpaceDN w:val="0"/>
        <w:adjustRightInd w:val="0"/>
        <w:spacing w:after="180" w:line="240" w:lineRule="auto"/>
        <w:textAlignment w:val="baseline"/>
        <w:rPr>
          <w:rFonts w:ascii="Arial" w:eastAsia="Times New Roman" w:hAnsi="Arial" w:cs="Arial"/>
          <w:b/>
          <w:sz w:val="28"/>
          <w:szCs w:val="28"/>
          <w:lang w:val="en-GB"/>
        </w:rPr>
      </w:pPr>
      <w:r w:rsidRPr="00AA2EC5">
        <w:rPr>
          <w:rFonts w:ascii="Arial" w:eastAsia="Times New Roman" w:hAnsi="Arial" w:cs="Arial"/>
          <w:b/>
          <w:sz w:val="28"/>
          <w:szCs w:val="28"/>
          <w:lang w:val="en-GB"/>
        </w:rPr>
        <w:t>Chennai, India, March 19 - 22, 2018</w:t>
      </w:r>
    </w:p>
    <w:p w:rsidR="00AA2EC5" w:rsidRPr="00AA2EC5" w:rsidRDefault="00AA2EC5" w:rsidP="00AA2EC5">
      <w:pPr>
        <w:tabs>
          <w:tab w:val="left" w:pos="567"/>
        </w:tabs>
        <w:overflowPunct w:val="0"/>
        <w:autoSpaceDE w:val="0"/>
        <w:autoSpaceDN w:val="0"/>
        <w:adjustRightInd w:val="0"/>
        <w:spacing w:after="180" w:line="240" w:lineRule="auto"/>
        <w:textAlignment w:val="baseline"/>
        <w:rPr>
          <w:rFonts w:ascii="Arial" w:eastAsia="Times New Roman" w:hAnsi="Arial" w:cs="Arial"/>
          <w:sz w:val="17"/>
          <w:szCs w:val="17"/>
          <w:lang w:val="en-GB"/>
        </w:rPr>
      </w:pPr>
    </w:p>
    <w:p w:rsidR="00AA2EC5" w:rsidRPr="00AA2EC5" w:rsidRDefault="00AA2EC5" w:rsidP="00AA2EC5">
      <w:pPr>
        <w:tabs>
          <w:tab w:val="left" w:pos="567"/>
        </w:tabs>
        <w:overflowPunct w:val="0"/>
        <w:autoSpaceDE w:val="0"/>
        <w:autoSpaceDN w:val="0"/>
        <w:adjustRightInd w:val="0"/>
        <w:spacing w:after="180" w:line="240" w:lineRule="auto"/>
        <w:textAlignment w:val="baseline"/>
        <w:rPr>
          <w:rFonts w:ascii="Arial" w:eastAsia="Times New Roman" w:hAnsi="Arial" w:cs="Times New Roman"/>
          <w:b/>
          <w:sz w:val="20"/>
          <w:szCs w:val="20"/>
        </w:rPr>
      </w:pPr>
      <w:r w:rsidRPr="00AA2EC5">
        <w:rPr>
          <w:rFonts w:ascii="Arial" w:eastAsia="Times New Roman" w:hAnsi="Arial" w:cs="Times New Roman"/>
          <w:b/>
          <w:sz w:val="20"/>
          <w:szCs w:val="20"/>
        </w:rPr>
        <w:t>Agenda Item:</w:t>
      </w:r>
      <w:r w:rsidRPr="00AA2EC5">
        <w:rPr>
          <w:rFonts w:ascii="Arial" w:eastAsia="Times New Roman" w:hAnsi="Arial" w:cs="Times New Roman"/>
          <w:sz w:val="20"/>
          <w:szCs w:val="20"/>
        </w:rPr>
        <w:tab/>
      </w:r>
      <w:bookmarkStart w:id="0" w:name="Source"/>
      <w:bookmarkEnd w:id="0"/>
      <w:r w:rsidRPr="00AA2EC5">
        <w:rPr>
          <w:rFonts w:ascii="Arial" w:eastAsia="Times New Roman" w:hAnsi="Arial" w:cs="Times New Roman"/>
          <w:b/>
          <w:sz w:val="20"/>
          <w:szCs w:val="20"/>
        </w:rPr>
        <w:tab/>
      </w:r>
      <w:r w:rsidRPr="006F6963">
        <w:rPr>
          <w:rFonts w:ascii="Arial" w:eastAsia="Times New Roman" w:hAnsi="Arial" w:cs="Times New Roman"/>
          <w:b/>
          <w:sz w:val="20"/>
          <w:szCs w:val="20"/>
        </w:rPr>
        <w:t>9.</w:t>
      </w:r>
      <w:r w:rsidR="00060E03" w:rsidRPr="006F6963">
        <w:rPr>
          <w:rFonts w:ascii="Arial" w:eastAsia="Times New Roman" w:hAnsi="Arial" w:cs="Times New Roman"/>
          <w:b/>
          <w:sz w:val="20"/>
          <w:szCs w:val="20"/>
        </w:rPr>
        <w:t>2</w:t>
      </w:r>
      <w:r w:rsidRPr="006F6963">
        <w:rPr>
          <w:rFonts w:ascii="Arial" w:eastAsia="Times New Roman" w:hAnsi="Arial" w:cs="Times New Roman"/>
          <w:b/>
          <w:sz w:val="20"/>
          <w:szCs w:val="20"/>
        </w:rPr>
        <w:t>.1</w:t>
      </w:r>
    </w:p>
    <w:p w:rsidR="00AA2EC5" w:rsidRPr="00AA2EC5" w:rsidRDefault="00AA2EC5" w:rsidP="00AA2EC5">
      <w:pPr>
        <w:tabs>
          <w:tab w:val="left" w:pos="567"/>
        </w:tabs>
        <w:overflowPunct w:val="0"/>
        <w:autoSpaceDE w:val="0"/>
        <w:autoSpaceDN w:val="0"/>
        <w:adjustRightInd w:val="0"/>
        <w:spacing w:after="180" w:line="240" w:lineRule="auto"/>
        <w:textAlignment w:val="baseline"/>
        <w:rPr>
          <w:rFonts w:ascii="Arial" w:eastAsia="Times New Roman" w:hAnsi="Arial" w:cs="Times New Roman"/>
          <w:sz w:val="20"/>
          <w:szCs w:val="20"/>
          <w:lang w:val="en-GB"/>
        </w:rPr>
      </w:pPr>
      <w:r w:rsidRPr="00AA2EC5">
        <w:rPr>
          <w:rFonts w:ascii="Arial" w:eastAsia="Times New Roman" w:hAnsi="Arial" w:cs="Times New Roman"/>
          <w:b/>
          <w:sz w:val="20"/>
          <w:szCs w:val="20"/>
          <w:lang w:val="en-GB"/>
        </w:rPr>
        <w:t>Source:</w:t>
      </w:r>
      <w:r w:rsidRPr="00AA2EC5">
        <w:rPr>
          <w:rFonts w:ascii="Arial" w:eastAsia="Times New Roman" w:hAnsi="Arial" w:cs="Times New Roman"/>
          <w:b/>
          <w:sz w:val="20"/>
          <w:szCs w:val="20"/>
          <w:lang w:val="en-GB"/>
        </w:rPr>
        <w:tab/>
      </w:r>
      <w:r>
        <w:rPr>
          <w:rFonts w:ascii="Arial" w:eastAsia="Times New Roman" w:hAnsi="Arial" w:cs="Times New Roman"/>
          <w:b/>
          <w:sz w:val="20"/>
          <w:szCs w:val="20"/>
          <w:lang w:val="en-GB"/>
        </w:rPr>
        <w:tab/>
        <w:t>AT&amp;T</w:t>
      </w:r>
      <w:r w:rsidR="003930BB">
        <w:rPr>
          <w:rFonts w:ascii="Arial" w:eastAsia="Times New Roman" w:hAnsi="Arial" w:cs="Times New Roman"/>
          <w:b/>
          <w:sz w:val="20"/>
          <w:szCs w:val="20"/>
          <w:lang w:val="en-GB"/>
        </w:rPr>
        <w:t xml:space="preserve">, BT, </w:t>
      </w:r>
      <w:r w:rsidR="001E2BA7">
        <w:rPr>
          <w:rFonts w:ascii="Arial" w:eastAsia="Times New Roman" w:hAnsi="Arial" w:cs="Times New Roman"/>
          <w:b/>
          <w:sz w:val="20"/>
          <w:szCs w:val="20"/>
          <w:lang w:val="en-GB"/>
        </w:rPr>
        <w:t>KDDI, Orange</w:t>
      </w:r>
      <w:r w:rsidR="008A1D9B">
        <w:rPr>
          <w:rFonts w:ascii="Arial" w:eastAsia="Times New Roman" w:hAnsi="Arial" w:cs="Times New Roman"/>
          <w:b/>
          <w:sz w:val="20"/>
          <w:szCs w:val="20"/>
          <w:lang w:val="en-GB"/>
        </w:rPr>
        <w:t xml:space="preserve">, </w:t>
      </w:r>
      <w:r w:rsidR="006F6963" w:rsidRPr="006F6963">
        <w:rPr>
          <w:rFonts w:ascii="Arial" w:eastAsia="Times New Roman" w:hAnsi="Arial" w:cs="Times New Roman"/>
          <w:b/>
          <w:sz w:val="20"/>
          <w:szCs w:val="20"/>
          <w:lang w:val="en-GB"/>
        </w:rPr>
        <w:t>Telecom Italia</w:t>
      </w:r>
      <w:r w:rsidR="00463892">
        <w:rPr>
          <w:rFonts w:ascii="Arial" w:eastAsia="Times New Roman" w:hAnsi="Arial" w:cs="Times New Roman"/>
          <w:b/>
          <w:sz w:val="20"/>
          <w:szCs w:val="20"/>
          <w:lang w:val="en-GB"/>
        </w:rPr>
        <w:t xml:space="preserve">, </w:t>
      </w:r>
      <w:r w:rsidR="001E2BA7">
        <w:rPr>
          <w:rFonts w:ascii="Arial" w:eastAsia="Times New Roman" w:hAnsi="Arial" w:cs="Times New Roman"/>
          <w:b/>
          <w:sz w:val="20"/>
          <w:szCs w:val="20"/>
          <w:lang w:val="en-GB"/>
        </w:rPr>
        <w:t xml:space="preserve">Telefonica </w:t>
      </w:r>
    </w:p>
    <w:p w:rsidR="00AA2EC5" w:rsidRPr="00AA2EC5" w:rsidRDefault="00AA2EC5" w:rsidP="00AA2EC5">
      <w:pPr>
        <w:ind w:left="2160" w:hanging="2160"/>
        <w:rPr>
          <w:b/>
        </w:rPr>
      </w:pPr>
      <w:r w:rsidRPr="00AA2EC5">
        <w:rPr>
          <w:rFonts w:ascii="Arial" w:eastAsia="Times New Roman" w:hAnsi="Arial" w:cs="Times New Roman"/>
          <w:b/>
          <w:sz w:val="20"/>
          <w:szCs w:val="20"/>
          <w:lang w:val="en-GB"/>
        </w:rPr>
        <w:t>Title:</w:t>
      </w:r>
      <w:r>
        <w:rPr>
          <w:rFonts w:ascii="Arial" w:eastAsia="Times New Roman" w:hAnsi="Arial" w:cs="Times New Roman"/>
          <w:sz w:val="20"/>
          <w:szCs w:val="20"/>
          <w:lang w:val="en-GB"/>
        </w:rPr>
        <w:tab/>
      </w:r>
      <w:r>
        <w:rPr>
          <w:b/>
        </w:rPr>
        <w:t>Reaffirming the Need for Architecture Option 4 and Option 7 to Complete as Part of Release 15</w:t>
      </w:r>
    </w:p>
    <w:p w:rsidR="00AA2EC5" w:rsidRPr="00AA2EC5" w:rsidRDefault="00AA2EC5" w:rsidP="00AA2EC5">
      <w:pPr>
        <w:tabs>
          <w:tab w:val="left" w:pos="567"/>
        </w:tabs>
        <w:overflowPunct w:val="0"/>
        <w:autoSpaceDE w:val="0"/>
        <w:autoSpaceDN w:val="0"/>
        <w:adjustRightInd w:val="0"/>
        <w:spacing w:after="180" w:line="240" w:lineRule="auto"/>
        <w:textAlignment w:val="baseline"/>
        <w:rPr>
          <w:rFonts w:ascii="Arial" w:eastAsia="Times New Roman" w:hAnsi="Arial" w:cs="Times New Roman"/>
          <w:b/>
          <w:sz w:val="20"/>
          <w:szCs w:val="20"/>
          <w:lang w:val="en-GB"/>
        </w:rPr>
      </w:pPr>
      <w:r w:rsidRPr="00AA2EC5">
        <w:rPr>
          <w:rFonts w:ascii="Arial" w:eastAsia="Times New Roman" w:hAnsi="Arial" w:cs="Times New Roman"/>
          <w:b/>
          <w:sz w:val="20"/>
          <w:szCs w:val="20"/>
          <w:lang w:val="en-GB"/>
        </w:rPr>
        <w:t>Document for:</w:t>
      </w:r>
      <w:r w:rsidRPr="00AA2EC5">
        <w:rPr>
          <w:rFonts w:ascii="Arial" w:eastAsia="Times New Roman" w:hAnsi="Arial" w:cs="Times New Roman"/>
          <w:sz w:val="20"/>
          <w:szCs w:val="20"/>
          <w:lang w:val="en-GB"/>
        </w:rPr>
        <w:tab/>
      </w:r>
      <w:bookmarkStart w:id="1" w:name="DocumentFor"/>
      <w:bookmarkEnd w:id="1"/>
      <w:r w:rsidRPr="00AA2EC5">
        <w:rPr>
          <w:rFonts w:ascii="Arial" w:eastAsia="Times New Roman" w:hAnsi="Arial" w:cs="Times New Roman"/>
          <w:sz w:val="20"/>
          <w:szCs w:val="20"/>
          <w:lang w:val="en-GB"/>
        </w:rPr>
        <w:tab/>
      </w:r>
      <w:r>
        <w:rPr>
          <w:rFonts w:ascii="Arial" w:eastAsia="Times New Roman" w:hAnsi="Arial" w:cs="Times New Roman"/>
          <w:b/>
          <w:sz w:val="20"/>
          <w:szCs w:val="20"/>
          <w:lang w:val="en-GB"/>
        </w:rPr>
        <w:t>Discussion &amp; Decision</w:t>
      </w:r>
    </w:p>
    <w:p w:rsidR="00AA2EC5" w:rsidRPr="00515253" w:rsidRDefault="00AA2EC5" w:rsidP="00AA2EC5">
      <w:pPr>
        <w:pStyle w:val="Heading1"/>
      </w:pPr>
      <w:r w:rsidRPr="00515253">
        <w:t>1</w:t>
      </w:r>
      <w:r w:rsidRPr="00515253">
        <w:tab/>
        <w:t>Introduction</w:t>
      </w:r>
    </w:p>
    <w:p w:rsidR="00AA2EC5" w:rsidRPr="00515253" w:rsidRDefault="00AA2EC5" w:rsidP="00AA2EC5">
      <w:r>
        <w:t xml:space="preserve">This contribution discusses the </w:t>
      </w:r>
      <w:r w:rsidR="00220582">
        <w:t>need</w:t>
      </w:r>
      <w:r>
        <w:t xml:space="preserve"> for </w:t>
      </w:r>
      <w:r w:rsidR="00220582">
        <w:t xml:space="preserve">both </w:t>
      </w:r>
      <w:r>
        <w:t xml:space="preserve">the </w:t>
      </w:r>
      <w:r w:rsidR="00220582">
        <w:t>a</w:t>
      </w:r>
      <w:r>
        <w:t xml:space="preserve">rchitecture </w:t>
      </w:r>
      <w:r w:rsidR="00220582">
        <w:t>O</w:t>
      </w:r>
      <w:r>
        <w:t>ption 4</w:t>
      </w:r>
      <w:r w:rsidR="00220582">
        <w:t xml:space="preserve"> and Option 7 </w:t>
      </w:r>
      <w:r w:rsidR="002C13C5">
        <w:t xml:space="preserve">Families </w:t>
      </w:r>
      <w:r w:rsidR="00220582">
        <w:t>to be completed in Release 15.</w:t>
      </w:r>
    </w:p>
    <w:p w:rsidR="00AA2EC5" w:rsidRDefault="00AA2EC5" w:rsidP="00AA2EC5">
      <w:pPr>
        <w:pStyle w:val="Heading1"/>
      </w:pPr>
      <w:r w:rsidRPr="00515253">
        <w:t>2</w:t>
      </w:r>
      <w:r w:rsidRPr="00515253">
        <w:tab/>
      </w:r>
      <w:r w:rsidR="00220582">
        <w:t xml:space="preserve">Background on Need for Option 4 and Option 7 </w:t>
      </w:r>
      <w:r w:rsidR="008A0D2D">
        <w:t>Families</w:t>
      </w:r>
      <w:r w:rsidR="002C13C5">
        <w:rPr>
          <w:rStyle w:val="FootnoteReference"/>
        </w:rPr>
        <w:footnoteReference w:id="1"/>
      </w:r>
      <w:r w:rsidR="008A0D2D">
        <w:t xml:space="preserve"> </w:t>
      </w:r>
      <w:r w:rsidR="00220582">
        <w:t xml:space="preserve">– And Concerns on the Work </w:t>
      </w:r>
    </w:p>
    <w:p w:rsidR="00AA2EC5" w:rsidRDefault="00AA2EC5" w:rsidP="00AA2EC5">
      <w:r>
        <w:t xml:space="preserve">In the RAN Chairman Summary presentation from RAN Plenary #78, Slide 7 gives </w:t>
      </w:r>
      <w:r w:rsidR="00595EDD">
        <w:t>a</w:t>
      </w:r>
      <w:r>
        <w:t xml:space="preserve"> view on the work on the Architecture options. </w:t>
      </w:r>
      <w:r w:rsidR="00595EDD">
        <w:t xml:space="preserve"> </w:t>
      </w:r>
      <w:r>
        <w:t>See Annex 1</w:t>
      </w:r>
      <w:r w:rsidR="00595EDD">
        <w:t xml:space="preserve"> below</w:t>
      </w:r>
      <w:r>
        <w:t>.   In the Release 15 program management, it was understood</w:t>
      </w:r>
      <w:r w:rsidR="00595EDD">
        <w:t>,</w:t>
      </w:r>
      <w:r>
        <w:t xml:space="preserve"> as noted on the slide</w:t>
      </w:r>
      <w:r w:rsidR="00595EDD">
        <w:t>,</w:t>
      </w:r>
      <w:r>
        <w:t xml:space="preserve"> that all architecture options remain within the scope of Release 15 (June 2018).  We also note that the </w:t>
      </w:r>
      <w:r w:rsidR="00595EDD">
        <w:t xml:space="preserve">current </w:t>
      </w:r>
      <w:r>
        <w:t>sequencing is to address within Release 15</w:t>
      </w:r>
      <w:r w:rsidR="00595EDD">
        <w:t xml:space="preserve">, the </w:t>
      </w:r>
      <w:r>
        <w:t xml:space="preserve">Option 4 and Option 7 </w:t>
      </w:r>
      <w:r w:rsidR="002C13C5">
        <w:t xml:space="preserve">families </w:t>
      </w:r>
      <w:r>
        <w:t xml:space="preserve">in </w:t>
      </w:r>
      <w:r w:rsidR="00595EDD">
        <w:t xml:space="preserve">an </w:t>
      </w:r>
      <w:r>
        <w:t xml:space="preserve">earnest </w:t>
      </w:r>
      <w:r w:rsidR="00595EDD">
        <w:t xml:space="preserve">manner </w:t>
      </w:r>
      <w:r>
        <w:t xml:space="preserve">once Option 2 and </w:t>
      </w:r>
      <w:r w:rsidR="002C13C5">
        <w:t xml:space="preserve">Option </w:t>
      </w:r>
      <w:r>
        <w:t xml:space="preserve">3 </w:t>
      </w:r>
      <w:r w:rsidR="002C13C5">
        <w:t xml:space="preserve">families </w:t>
      </w:r>
      <w:r>
        <w:t xml:space="preserve">are stabilized.  </w:t>
      </w:r>
    </w:p>
    <w:p w:rsidR="00AA2EC5" w:rsidRPr="00BC0CD7" w:rsidRDefault="00AA2EC5" w:rsidP="00AA2EC5">
      <w:pPr>
        <w:rPr>
          <w:u w:val="single"/>
        </w:rPr>
      </w:pPr>
      <w:r>
        <w:t>In recent conversations about the work on Option 4 and Option 7, it has been noted that the sequencing of the work is Option 7 (leveraging the Option 3</w:t>
      </w:r>
      <w:r w:rsidR="00B601DD">
        <w:t xml:space="preserve"> and Option 5</w:t>
      </w:r>
      <w:r>
        <w:t xml:space="preserve">) and then to address Option 4 (leveraging the Option 2).  </w:t>
      </w:r>
      <w:r w:rsidRPr="00BC0CD7">
        <w:rPr>
          <w:u w:val="single"/>
        </w:rPr>
        <w:t xml:space="preserve">Additionally, and most concerning is an undercurrent that Option 4 </w:t>
      </w:r>
      <w:r w:rsidR="00B601DD">
        <w:rPr>
          <w:u w:val="single"/>
        </w:rPr>
        <w:t xml:space="preserve">and/or Option 7 </w:t>
      </w:r>
      <w:r w:rsidRPr="00BC0CD7">
        <w:rPr>
          <w:u w:val="single"/>
        </w:rPr>
        <w:t>would not be finalized under the scope of Release 15 and might even be moved to Release 16.</w:t>
      </w:r>
    </w:p>
    <w:p w:rsidR="00AA2EC5" w:rsidRDefault="00AA2EC5" w:rsidP="00AA2EC5">
      <w:r>
        <w:t>We are extremely concerned about the sentiment that Option 4</w:t>
      </w:r>
      <w:r w:rsidR="00B601DD">
        <w:t xml:space="preserve"> and Option 7 work </w:t>
      </w:r>
      <w:r>
        <w:t xml:space="preserve">is not </w:t>
      </w:r>
      <w:r w:rsidR="006A017E">
        <w:t>being accorded</w:t>
      </w:r>
      <w:r w:rsidR="00595EDD">
        <w:t xml:space="preserve"> time units/resources </w:t>
      </w:r>
      <w:r w:rsidR="00B601DD">
        <w:t xml:space="preserve">and meeting time </w:t>
      </w:r>
      <w:r w:rsidR="00595EDD">
        <w:t>and could be slipped in completion</w:t>
      </w:r>
      <w:r>
        <w:t xml:space="preserve">.  </w:t>
      </w:r>
    </w:p>
    <w:p w:rsidR="00AA2EC5" w:rsidRDefault="00AA2EC5" w:rsidP="00AA2EC5">
      <w:r>
        <w:t xml:space="preserve">The pace of 5G deployments is ever quickening with a desire by many operators to move to more mainstream deployments in both above and below 6 GHz frequency ranges as stand-alone </w:t>
      </w:r>
      <w:r w:rsidR="00595EDD">
        <w:t xml:space="preserve">NR </w:t>
      </w:r>
      <w:r>
        <w:t xml:space="preserve">and </w:t>
      </w:r>
      <w:r w:rsidR="00595EDD">
        <w:t xml:space="preserve">as NR in </w:t>
      </w:r>
      <w:r>
        <w:t xml:space="preserve">combination with LTE.  The </w:t>
      </w:r>
      <w:r w:rsidR="00595EDD">
        <w:t xml:space="preserve">first </w:t>
      </w:r>
      <w:r>
        <w:t>architecture Option</w:t>
      </w:r>
      <w:r w:rsidR="00595EDD">
        <w:t>s</w:t>
      </w:r>
      <w:r>
        <w:t xml:space="preserve"> 2 and 3 being utilized in targeted initial and early deployments starting even this year and into 2019 are not </w:t>
      </w:r>
      <w:r w:rsidR="00595EDD">
        <w:t xml:space="preserve">necessarily the desired final target architecture </w:t>
      </w:r>
      <w:r>
        <w:t>for many planned follow-on mass 5G roll-outs.</w:t>
      </w:r>
    </w:p>
    <w:p w:rsidR="00AA2EC5" w:rsidRDefault="00595EDD" w:rsidP="00AA2EC5">
      <w:r>
        <w:t>Even now, o</w:t>
      </w:r>
      <w:r w:rsidR="00AA2EC5">
        <w:t>perators are looking at much more significant and wide spread deployment of 5G over wider areas of coverage utilizing Release 15 based radio infrastructure, core, and user equipment</w:t>
      </w:r>
      <w:r>
        <w:t xml:space="preserve">.  In some cases this is a dynamic shift in prior planning in response to market needs.  </w:t>
      </w:r>
      <w:r w:rsidR="00AA2EC5">
        <w:t xml:space="preserve"> Where possible, </w:t>
      </w:r>
      <w:r w:rsidR="00AA2EC5">
        <w:lastRenderedPageBreak/>
        <w:t>operators are taking advantage of virtualization to be able to realize at a faster pace than previously anticipated the deployment of the much more 5G capable NG core.</w:t>
      </w:r>
    </w:p>
    <w:p w:rsidR="00AA2EC5" w:rsidRDefault="00AA2EC5" w:rsidP="00AA2EC5">
      <w:r>
        <w:t xml:space="preserve">Consequently, the architecture options (i.e., 2 &amp; 3) that support the NSA and SA </w:t>
      </w:r>
      <w:r w:rsidR="00595EDD">
        <w:t xml:space="preserve">variants of </w:t>
      </w:r>
      <w:r w:rsidR="007658A6">
        <w:t xml:space="preserve">5G on either NR or LTE, </w:t>
      </w:r>
      <w:r w:rsidR="00B601DD">
        <w:t xml:space="preserve">Option 5, </w:t>
      </w:r>
      <w:r w:rsidR="00595EDD">
        <w:t>and</w:t>
      </w:r>
      <w:r>
        <w:t xml:space="preserve"> also the architectures (i.e., 4 &amp;</w:t>
      </w:r>
      <w:r w:rsidR="00595EDD">
        <w:t xml:space="preserve"> </w:t>
      </w:r>
      <w:r>
        <w:t xml:space="preserve">7) that more tightly integrate </w:t>
      </w:r>
      <w:r w:rsidR="00595EDD">
        <w:t xml:space="preserve">the </w:t>
      </w:r>
      <w:r>
        <w:t xml:space="preserve">NR and LTE </w:t>
      </w:r>
      <w:r w:rsidR="00595EDD">
        <w:t xml:space="preserve">variant of </w:t>
      </w:r>
      <w:r>
        <w:t xml:space="preserve">5G deployments with </w:t>
      </w:r>
      <w:r w:rsidR="00595EDD">
        <w:t xml:space="preserve">dual connectivity and spectrum </w:t>
      </w:r>
      <w:r>
        <w:t xml:space="preserve">co-existence are </w:t>
      </w:r>
      <w:r w:rsidR="00595EDD" w:rsidRPr="00595EDD">
        <w:rPr>
          <w:i/>
        </w:rPr>
        <w:t>ALL</w:t>
      </w:r>
      <w:r w:rsidR="00595EDD">
        <w:t xml:space="preserve"> </w:t>
      </w:r>
      <w:r>
        <w:t xml:space="preserve">critical to the </w:t>
      </w:r>
      <w:r w:rsidR="00595EDD">
        <w:t xml:space="preserve">5G evolution and to </w:t>
      </w:r>
      <w:r>
        <w:t xml:space="preserve">wider scale and larger coverage area deployments.  </w:t>
      </w:r>
    </w:p>
    <w:p w:rsidR="00AA2EC5" w:rsidRPr="006E2700" w:rsidRDefault="00AA2EC5" w:rsidP="00AA2EC5">
      <w:pPr>
        <w:rPr>
          <w:i/>
        </w:rPr>
      </w:pPr>
      <w:r w:rsidRPr="006E2700">
        <w:rPr>
          <w:i/>
        </w:rPr>
        <w:t xml:space="preserve">It is very important that the Option 4 and Option 7 </w:t>
      </w:r>
      <w:r w:rsidR="00185E91">
        <w:rPr>
          <w:i/>
        </w:rPr>
        <w:t xml:space="preserve">families </w:t>
      </w:r>
      <w:r w:rsidRPr="006E2700">
        <w:rPr>
          <w:i/>
        </w:rPr>
        <w:t>are both available in Release 15 to support the broad portfolio of 5G deployments that will commence from late 2019 onwards.</w:t>
      </w:r>
    </w:p>
    <w:p w:rsidR="00AA2EC5" w:rsidRDefault="00AA2EC5" w:rsidP="00AA2EC5">
      <w:r>
        <w:t>Operators are facing increasing capital expenditure and operating expense pressures and as such being able to move to a final preferred 5G ecosystem deployment under Release 15 in as few steps as possible has become a new driver and trigger point.  Next generation core coupled with the Option 4 and Option 7 architectures starting from Release 15 product offers a solution.  Then</w:t>
      </w:r>
      <w:r w:rsidR="008E66CF">
        <w:t xml:space="preserve"> </w:t>
      </w:r>
      <w:r>
        <w:t xml:space="preserve">as the 5G Release 16 enhancements come to the fore they can more easily </w:t>
      </w:r>
      <w:r w:rsidR="00595EDD">
        <w:t>be</w:t>
      </w:r>
      <w:r>
        <w:t xml:space="preserve"> layered into the already deployed 5G Release 15 underpinnings</w:t>
      </w:r>
      <w:r w:rsidR="00595EDD">
        <w:t xml:space="preserve"> and expansion of those underpinnings can be managed in a more orderly manner</w:t>
      </w:r>
      <w:r>
        <w:t>.</w:t>
      </w:r>
    </w:p>
    <w:p w:rsidR="00AA2EC5" w:rsidRDefault="00AA2EC5" w:rsidP="00AA2EC5">
      <w:r>
        <w:t xml:space="preserve">Release 15 was intended to be the first functional 5G ecosystem from 3GPP.  That Release 15 ecosystem must include the envisaged NR, enhanced LTE, Next Generation Core and the relevant portfolio of all the  agreed </w:t>
      </w:r>
      <w:r w:rsidR="00DA1067">
        <w:t>a</w:t>
      </w:r>
      <w:r>
        <w:t>rchitecture Options (e,g,,  2,</w:t>
      </w:r>
      <w:r w:rsidR="00DA1067">
        <w:t xml:space="preserve"> </w:t>
      </w:r>
      <w:r>
        <w:t>3,</w:t>
      </w:r>
      <w:r w:rsidR="00DA1067">
        <w:t xml:space="preserve"> </w:t>
      </w:r>
      <w:r>
        <w:t>4,</w:t>
      </w:r>
      <w:r w:rsidR="00DA1067">
        <w:t xml:space="preserve"> </w:t>
      </w:r>
      <w:r w:rsidR="00B601DD">
        <w:t xml:space="preserve">5, &amp; </w:t>
      </w:r>
      <w:r>
        <w:t xml:space="preserve">7)  – else 3GPP will  not have met its goals. </w:t>
      </w:r>
    </w:p>
    <w:p w:rsidR="00AA2EC5" w:rsidRPr="00515253" w:rsidRDefault="00AA2EC5" w:rsidP="00AA2EC5">
      <w:pPr>
        <w:pStyle w:val="Heading1"/>
        <w:ind w:left="0" w:firstLine="0"/>
      </w:pPr>
      <w:r w:rsidRPr="00515253">
        <w:t xml:space="preserve"> </w:t>
      </w:r>
    </w:p>
    <w:p w:rsidR="00AA2EC5" w:rsidRPr="00515253" w:rsidRDefault="00AA2EC5" w:rsidP="00AA2EC5">
      <w:pPr>
        <w:pStyle w:val="Heading1"/>
      </w:pPr>
      <w:r>
        <w:t>3</w:t>
      </w:r>
      <w:r w:rsidRPr="00515253">
        <w:tab/>
      </w:r>
      <w:r>
        <w:t>Conclusion</w:t>
      </w:r>
    </w:p>
    <w:p w:rsidR="009A6EAF" w:rsidRDefault="00220582" w:rsidP="00220582">
      <w:r>
        <w:t xml:space="preserve">As an industry we have “sold” </w:t>
      </w:r>
      <w:r w:rsidR="0042689B">
        <w:t xml:space="preserve">a rapidly paced </w:t>
      </w:r>
      <w:r>
        <w:t xml:space="preserve">5G to the public and to regulators offering significant promise of new and innovate performance and capability.   Previous planned islands of 5G deployment may no longer be the preferred early </w:t>
      </w:r>
      <w:r w:rsidR="0042689B">
        <w:t xml:space="preserve">and on-going </w:t>
      </w:r>
      <w:r>
        <w:t>deployment model/situation.  Analysts and potentially even regulators are closely watching these 5G roll-outs</w:t>
      </w:r>
      <w:r w:rsidR="0042689B">
        <w:t xml:space="preserve"> – seeking critical mass and scale</w:t>
      </w:r>
      <w:r>
        <w:t xml:space="preserve">.  </w:t>
      </w:r>
    </w:p>
    <w:p w:rsidR="009A6EAF" w:rsidRDefault="00220582" w:rsidP="00220582">
      <w:r>
        <w:t xml:space="preserve">Operators need the full 5G toolkit consistent with the expectations of Release 15 in order to have the flexibility to react in this new more dynamic marketplace.  The Release 15 architecture </w:t>
      </w:r>
      <w:r w:rsidR="0042689B">
        <w:t>O</w:t>
      </w:r>
      <w:r>
        <w:t xml:space="preserve">ptions are </w:t>
      </w:r>
      <w:r w:rsidR="009A6EAF">
        <w:t xml:space="preserve">also </w:t>
      </w:r>
      <w:r>
        <w:t xml:space="preserve">delineated in the </w:t>
      </w:r>
      <w:r w:rsidR="0042689B">
        <w:t xml:space="preserve">aspirational </w:t>
      </w:r>
      <w:r>
        <w:t xml:space="preserve">Dec 22, 2017 3GPP 5G NR </w:t>
      </w:r>
      <w:hyperlink r:id="rId8" w:history="1">
        <w:r w:rsidRPr="009E0A2D">
          <w:rPr>
            <w:rStyle w:val="Hyperlink"/>
          </w:rPr>
          <w:t>press release</w:t>
        </w:r>
      </w:hyperlink>
      <w:r>
        <w:t xml:space="preserve">.  </w:t>
      </w:r>
      <w:r w:rsidR="009A6EAF">
        <w:t xml:space="preserve"> </w:t>
      </w:r>
    </w:p>
    <w:p w:rsidR="00220582" w:rsidRDefault="00220582" w:rsidP="00220582">
      <w:r>
        <w:t xml:space="preserve">Ability to utilize the operator’s current and emerging spectrum portfolios </w:t>
      </w:r>
      <w:r w:rsidR="009A6EAF">
        <w:t xml:space="preserve">in various combinations with 5G LTE and NR dual connectivity and co-existence </w:t>
      </w:r>
      <w:r>
        <w:t xml:space="preserve">along with a range of Core and architecture </w:t>
      </w:r>
      <w:r w:rsidR="0042689B">
        <w:t>O</w:t>
      </w:r>
      <w:r>
        <w:t xml:space="preserve">ption choices is critical. </w:t>
      </w:r>
    </w:p>
    <w:p w:rsidR="00220582" w:rsidRPr="00220582" w:rsidRDefault="00220582" w:rsidP="00220582">
      <w:pPr>
        <w:rPr>
          <w:b/>
          <w:u w:val="single"/>
        </w:rPr>
      </w:pPr>
      <w:r w:rsidRPr="00220582">
        <w:rPr>
          <w:b/>
          <w:u w:val="single"/>
        </w:rPr>
        <w:t>Proposal:</w:t>
      </w:r>
    </w:p>
    <w:p w:rsidR="00220582" w:rsidRDefault="00220582" w:rsidP="00220582">
      <w:pPr>
        <w:pStyle w:val="ListParagraph"/>
        <w:numPr>
          <w:ilvl w:val="0"/>
          <w:numId w:val="1"/>
        </w:numPr>
      </w:pPr>
      <w:r w:rsidRPr="006A7B30">
        <w:rPr>
          <w:i/>
        </w:rPr>
        <w:t>ALL</w:t>
      </w:r>
      <w:r>
        <w:t xml:space="preserve"> of the agreed architecture Options must complete in Release 15.</w:t>
      </w:r>
    </w:p>
    <w:p w:rsidR="00220582" w:rsidRDefault="00220582" w:rsidP="00220582">
      <w:pPr>
        <w:pStyle w:val="ListParagraph"/>
        <w:numPr>
          <w:ilvl w:val="0"/>
          <w:numId w:val="1"/>
        </w:numPr>
      </w:pPr>
      <w:r>
        <w:t xml:space="preserve">Option 2 and Option 3 </w:t>
      </w:r>
      <w:r w:rsidR="00B601DD">
        <w:t xml:space="preserve">as well as Option 5 </w:t>
      </w:r>
      <w:r>
        <w:t>must be finalized in due time in Release 15 – as agreed</w:t>
      </w:r>
    </w:p>
    <w:p w:rsidR="00220582" w:rsidRPr="00EB631E" w:rsidRDefault="00220582" w:rsidP="00220582">
      <w:pPr>
        <w:pStyle w:val="ListParagraph"/>
        <w:numPr>
          <w:ilvl w:val="0"/>
          <w:numId w:val="1"/>
        </w:numPr>
        <w:rPr>
          <w:i/>
        </w:rPr>
      </w:pPr>
      <w:r w:rsidRPr="00EB631E">
        <w:rPr>
          <w:i/>
        </w:rPr>
        <w:t xml:space="preserve">Both Option 4 and Option 7 </w:t>
      </w:r>
      <w:r w:rsidR="008E66CF">
        <w:rPr>
          <w:i/>
        </w:rPr>
        <w:t xml:space="preserve">families </w:t>
      </w:r>
      <w:r w:rsidRPr="00EB631E">
        <w:rPr>
          <w:i/>
        </w:rPr>
        <w:t>must remain and be completed with</w:t>
      </w:r>
      <w:r w:rsidR="00032169" w:rsidRPr="00EB631E">
        <w:rPr>
          <w:i/>
        </w:rPr>
        <w:t>in</w:t>
      </w:r>
      <w:r w:rsidRPr="00EB631E">
        <w:rPr>
          <w:i/>
        </w:rPr>
        <w:t xml:space="preserve"> the scope of Release 15 </w:t>
      </w:r>
    </w:p>
    <w:p w:rsidR="00220582" w:rsidRDefault="00220582" w:rsidP="00220582">
      <w:pPr>
        <w:pStyle w:val="ListParagraph"/>
        <w:numPr>
          <w:ilvl w:val="1"/>
          <w:numId w:val="1"/>
        </w:numPr>
      </w:pPr>
      <w:r>
        <w:t xml:space="preserve"> It is not acceptable to not complete either of these in Rel 15, and</w:t>
      </w:r>
    </w:p>
    <w:p w:rsidR="00220582" w:rsidRDefault="00220582" w:rsidP="00220582">
      <w:pPr>
        <w:pStyle w:val="ListParagraph"/>
        <w:numPr>
          <w:ilvl w:val="1"/>
          <w:numId w:val="1"/>
        </w:numPr>
      </w:pPr>
      <w:r>
        <w:lastRenderedPageBreak/>
        <w:t xml:space="preserve">Specifically deferring or significantly delaying </w:t>
      </w:r>
      <w:r w:rsidR="00F74CAB">
        <w:t xml:space="preserve">either </w:t>
      </w:r>
      <w:r>
        <w:t xml:space="preserve">Option 4 </w:t>
      </w:r>
      <w:r w:rsidR="00F74CAB">
        <w:t xml:space="preserve">or Option 7 </w:t>
      </w:r>
      <w:r>
        <w:t xml:space="preserve">is also not acceptable.    </w:t>
      </w:r>
    </w:p>
    <w:p w:rsidR="00220582" w:rsidRDefault="00220582" w:rsidP="00220582">
      <w:pPr>
        <w:pStyle w:val="ListParagraph"/>
        <w:numPr>
          <w:ilvl w:val="0"/>
          <w:numId w:val="1"/>
        </w:numPr>
      </w:pPr>
      <w:r>
        <w:t>RAN</w:t>
      </w:r>
      <w:r w:rsidR="0042689B">
        <w:t xml:space="preserve"> </w:t>
      </w:r>
      <w:r>
        <w:t xml:space="preserve">#79  needs to address and ensure resources are available for completing Option 4 </w:t>
      </w:r>
      <w:r w:rsidR="00F74CAB">
        <w:t xml:space="preserve">and Option 7 </w:t>
      </w:r>
      <w:r w:rsidR="008E66CF">
        <w:t xml:space="preserve">families </w:t>
      </w:r>
      <w:bookmarkStart w:id="2" w:name="_GoBack"/>
      <w:bookmarkEnd w:id="2"/>
      <w:r>
        <w:t>in due time</w:t>
      </w:r>
      <w:r w:rsidR="003B734D">
        <w:t xml:space="preserve"> under Rel 15</w:t>
      </w:r>
    </w:p>
    <w:p w:rsidR="00220582" w:rsidRDefault="00220582" w:rsidP="00EB631E">
      <w:pPr>
        <w:pStyle w:val="ListParagraph"/>
        <w:ind w:left="2160"/>
      </w:pPr>
    </w:p>
    <w:p w:rsidR="00220582" w:rsidRDefault="00220582" w:rsidP="00220582">
      <w:pPr>
        <w:pStyle w:val="ListParagraph"/>
        <w:numPr>
          <w:ilvl w:val="0"/>
          <w:numId w:val="1"/>
        </w:numPr>
      </w:pPr>
      <w:r>
        <w:t xml:space="preserve">3GPP </w:t>
      </w:r>
      <w:r w:rsidR="00D76567">
        <w:t xml:space="preserve">shall </w:t>
      </w:r>
      <w:r>
        <w:t xml:space="preserve">commit to finishing Option 4 </w:t>
      </w:r>
      <w:r w:rsidR="00F74CAB">
        <w:t xml:space="preserve">and Option 7 </w:t>
      </w:r>
      <w:r w:rsidR="008E66CF">
        <w:t xml:space="preserve">families </w:t>
      </w:r>
      <w:r>
        <w:t>in Release 15</w:t>
      </w:r>
      <w:r w:rsidR="0042689B">
        <w:t xml:space="preserve"> </w:t>
      </w:r>
      <w:r w:rsidR="009E1AED">
        <w:t xml:space="preserve">by </w:t>
      </w:r>
      <w:r w:rsidR="0042689B">
        <w:t>June 2018</w:t>
      </w:r>
      <w:r>
        <w:t xml:space="preserve">.  </w:t>
      </w:r>
    </w:p>
    <w:p w:rsidR="00220582" w:rsidRDefault="00D76567" w:rsidP="00220582">
      <w:pPr>
        <w:pStyle w:val="ListParagraph"/>
        <w:numPr>
          <w:ilvl w:val="1"/>
          <w:numId w:val="1"/>
        </w:numPr>
      </w:pPr>
      <w:r w:rsidRPr="00156666">
        <w:rPr>
          <w:color w:val="000000" w:themeColor="text1"/>
        </w:rPr>
        <w:t>A check will be done in June and based on the status, an extension of the work on these options could be agreed</w:t>
      </w:r>
      <w:r w:rsidR="00976408">
        <w:t xml:space="preserve">, </w:t>
      </w:r>
      <w:r w:rsidR="00220582">
        <w:t xml:space="preserve">within </w:t>
      </w:r>
      <w:r w:rsidR="009A6EAF">
        <w:t xml:space="preserve">the </w:t>
      </w:r>
      <w:r w:rsidR="00220582">
        <w:t xml:space="preserve">Release 15 ASN.1 interval and </w:t>
      </w:r>
      <w:r w:rsidR="00220582" w:rsidRPr="009A6EAF">
        <w:rPr>
          <w:i/>
        </w:rPr>
        <w:t>as such complete no later than September 2018 under that extension</w:t>
      </w:r>
      <w:r w:rsidR="009A6EAF" w:rsidRPr="009A6EAF">
        <w:rPr>
          <w:i/>
        </w:rPr>
        <w:t xml:space="preserve"> – and remaining in Release 15</w:t>
      </w:r>
      <w:r w:rsidR="00220582" w:rsidRPr="009A6EAF">
        <w:rPr>
          <w:i/>
        </w:rPr>
        <w:t>.</w:t>
      </w:r>
    </w:p>
    <w:p w:rsidR="00220582" w:rsidRPr="00515253" w:rsidRDefault="00220582" w:rsidP="00220582">
      <w:pPr>
        <w:pStyle w:val="Heading1"/>
        <w:ind w:left="0" w:firstLine="0"/>
      </w:pPr>
    </w:p>
    <w:p w:rsidR="00220582" w:rsidRPr="00515253" w:rsidRDefault="004E724F" w:rsidP="00220582">
      <w:pPr>
        <w:pStyle w:val="Heading1"/>
      </w:pPr>
      <w:r>
        <w:t>4</w:t>
      </w:r>
      <w:r w:rsidR="00220582" w:rsidRPr="00515253">
        <w:tab/>
      </w:r>
      <w:r w:rsidR="00220582">
        <w:t>References</w:t>
      </w:r>
    </w:p>
    <w:p w:rsidR="00220582" w:rsidRDefault="00220582" w:rsidP="00220582"/>
    <w:p w:rsidR="00220582" w:rsidRPr="009A6EAF" w:rsidRDefault="00220582" w:rsidP="00220582">
      <w:pPr>
        <w:spacing w:after="0"/>
        <w:rPr>
          <w:b/>
          <w:sz w:val="28"/>
        </w:rPr>
      </w:pPr>
      <w:r w:rsidRPr="009A6EAF">
        <w:rPr>
          <w:b/>
          <w:sz w:val="28"/>
        </w:rPr>
        <w:t>References</w:t>
      </w:r>
    </w:p>
    <w:p w:rsidR="00220582" w:rsidRPr="009A6EAF" w:rsidRDefault="007A6BB8" w:rsidP="00220582">
      <w:pPr>
        <w:spacing w:after="0"/>
        <w:rPr>
          <w:i/>
        </w:rPr>
      </w:pPr>
      <w:hyperlink r:id="rId9" w:history="1">
        <w:r w:rsidR="00220582" w:rsidRPr="009A6EAF">
          <w:rPr>
            <w:rStyle w:val="Hyperlink"/>
            <w:rFonts w:cs="Arial"/>
          </w:rPr>
          <w:t>RP-172422</w:t>
        </w:r>
      </w:hyperlink>
      <w:r w:rsidR="00220582" w:rsidRPr="009A6EAF">
        <w:tab/>
      </w:r>
      <w:r w:rsidR="00220582" w:rsidRPr="009A6EAF">
        <w:tab/>
      </w:r>
      <w:r w:rsidR="00220582" w:rsidRPr="009A6EAF">
        <w:tab/>
        <w:t>WF for Remaining 5G Architecture Options in Rel-15</w:t>
      </w:r>
      <w:r w:rsidR="00220582" w:rsidRPr="009A6EAF">
        <w:br/>
      </w:r>
      <w:r w:rsidR="00220582" w:rsidRPr="009A6EAF">
        <w:rPr>
          <w:i/>
        </w:rPr>
        <w:tab/>
      </w:r>
      <w:r w:rsidR="00220582" w:rsidRPr="009A6EAF">
        <w:rPr>
          <w:i/>
        </w:rPr>
        <w:tab/>
      </w:r>
      <w:r w:rsidR="00220582" w:rsidRPr="009A6EAF">
        <w:rPr>
          <w:i/>
        </w:rPr>
        <w:tab/>
      </w:r>
      <w:r w:rsidR="00220582" w:rsidRPr="009A6EAF">
        <w:rPr>
          <w:i/>
        </w:rPr>
        <w:tab/>
      </w:r>
      <w:r w:rsidR="00220582" w:rsidRPr="009A6EAF">
        <w:rPr>
          <w:i/>
        </w:rPr>
        <w:tab/>
        <w:t>Source: KT Corp.</w:t>
      </w:r>
    </w:p>
    <w:p w:rsidR="00220582" w:rsidRPr="009A6EAF" w:rsidRDefault="007A6BB8" w:rsidP="00220582">
      <w:pPr>
        <w:spacing w:after="0"/>
        <w:rPr>
          <w:i/>
        </w:rPr>
      </w:pPr>
      <w:hyperlink r:id="rId10" w:history="1">
        <w:r w:rsidR="00220582" w:rsidRPr="009A6EAF">
          <w:rPr>
            <w:rStyle w:val="Hyperlink"/>
            <w:rFonts w:cs="Arial"/>
          </w:rPr>
          <w:t>RP-172627</w:t>
        </w:r>
      </w:hyperlink>
      <w:r w:rsidR="00220582" w:rsidRPr="009A6EAF">
        <w:tab/>
      </w:r>
      <w:r w:rsidR="00220582" w:rsidRPr="009A6EAF">
        <w:tab/>
      </w:r>
      <w:r w:rsidR="00220582" w:rsidRPr="009A6EAF">
        <w:tab/>
        <w:t>Architecture Options in Rel-15</w:t>
      </w:r>
      <w:r w:rsidR="00220582" w:rsidRPr="009A6EAF">
        <w:br/>
      </w:r>
      <w:r w:rsidR="00220582" w:rsidRPr="009A6EAF">
        <w:rPr>
          <w:i/>
        </w:rPr>
        <w:tab/>
      </w:r>
      <w:r w:rsidR="00220582" w:rsidRPr="009A6EAF">
        <w:rPr>
          <w:i/>
        </w:rPr>
        <w:tab/>
      </w:r>
      <w:r w:rsidR="00220582" w:rsidRPr="009A6EAF">
        <w:rPr>
          <w:i/>
        </w:rPr>
        <w:tab/>
      </w:r>
      <w:r w:rsidR="00220582" w:rsidRPr="009A6EAF">
        <w:rPr>
          <w:i/>
        </w:rPr>
        <w:tab/>
      </w:r>
      <w:r w:rsidR="00220582" w:rsidRPr="009A6EAF">
        <w:rPr>
          <w:i/>
        </w:rPr>
        <w:tab/>
        <w:t>Source: Orange, BT, SKT, Telefonica, Telecom Italia</w:t>
      </w:r>
    </w:p>
    <w:p w:rsidR="00220582" w:rsidRPr="009A6EAF" w:rsidRDefault="007A6BB8" w:rsidP="00220582">
      <w:pPr>
        <w:spacing w:after="0"/>
        <w:rPr>
          <w:i/>
        </w:rPr>
      </w:pPr>
      <w:hyperlink r:id="rId11" w:history="1">
        <w:r w:rsidR="00220582" w:rsidRPr="009A6EAF">
          <w:rPr>
            <w:rStyle w:val="Hyperlink"/>
            <w:rFonts w:cs="Arial"/>
          </w:rPr>
          <w:t>RP-172562</w:t>
        </w:r>
      </w:hyperlink>
      <w:r w:rsidR="00220582" w:rsidRPr="009A6EAF">
        <w:tab/>
      </w:r>
      <w:r w:rsidR="00220582" w:rsidRPr="009A6EAF">
        <w:tab/>
      </w:r>
      <w:r w:rsidR="00220582" w:rsidRPr="009A6EAF">
        <w:tab/>
        <w:t>Release 15 NR Work for the architecture option 4</w:t>
      </w:r>
      <w:r w:rsidR="00220582" w:rsidRPr="009A6EAF">
        <w:br/>
      </w:r>
      <w:r w:rsidR="00220582" w:rsidRPr="009A6EAF">
        <w:rPr>
          <w:i/>
        </w:rPr>
        <w:tab/>
      </w:r>
      <w:r w:rsidR="00220582" w:rsidRPr="009A6EAF">
        <w:rPr>
          <w:i/>
        </w:rPr>
        <w:tab/>
      </w:r>
      <w:r w:rsidR="00220582" w:rsidRPr="009A6EAF">
        <w:rPr>
          <w:i/>
        </w:rPr>
        <w:tab/>
      </w:r>
      <w:r w:rsidR="00220582" w:rsidRPr="009A6EAF">
        <w:rPr>
          <w:i/>
        </w:rPr>
        <w:tab/>
      </w:r>
      <w:r w:rsidR="00220582" w:rsidRPr="009A6EAF">
        <w:rPr>
          <w:i/>
        </w:rPr>
        <w:tab/>
        <w:t>Source: Nokia, Nokia Shanghai Bell</w:t>
      </w:r>
    </w:p>
    <w:p w:rsidR="00220582" w:rsidRPr="009A6EAF" w:rsidRDefault="00220582" w:rsidP="00220582">
      <w:pPr>
        <w:spacing w:after="0"/>
      </w:pPr>
      <w:r w:rsidRPr="009A6EAF">
        <w:t>RAN Reflector Email 12-22-17</w:t>
      </w:r>
      <w:r w:rsidRPr="009A6EAF">
        <w:tab/>
        <w:t>Chairman’s Summary from RAN #78</w:t>
      </w:r>
    </w:p>
    <w:p w:rsidR="00220582" w:rsidRPr="009A6EAF" w:rsidRDefault="00220582" w:rsidP="00220582">
      <w:pPr>
        <w:spacing w:after="0"/>
        <w:ind w:left="2880" w:firstLine="720"/>
        <w:rPr>
          <w:i/>
        </w:rPr>
      </w:pPr>
      <w:r w:rsidRPr="009A6EAF">
        <w:rPr>
          <w:i/>
        </w:rPr>
        <w:t>Source: Chairman TSG RAN</w:t>
      </w:r>
    </w:p>
    <w:p w:rsidR="00220582" w:rsidRDefault="00220582" w:rsidP="00220582">
      <w:pPr>
        <w:spacing w:after="0"/>
        <w:rPr>
          <w:b/>
          <w:sz w:val="24"/>
        </w:rPr>
      </w:pPr>
      <w:r>
        <w:rPr>
          <w:b/>
          <w:sz w:val="24"/>
        </w:rPr>
        <w:br w:type="page"/>
      </w:r>
    </w:p>
    <w:p w:rsidR="003F432C" w:rsidRPr="00014161" w:rsidRDefault="003F432C" w:rsidP="003F432C">
      <w:pPr>
        <w:jc w:val="center"/>
        <w:rPr>
          <w:b/>
          <w:sz w:val="32"/>
        </w:rPr>
      </w:pPr>
      <w:r w:rsidRPr="00014161">
        <w:rPr>
          <w:b/>
          <w:sz w:val="32"/>
        </w:rPr>
        <w:lastRenderedPageBreak/>
        <w:t>Annex 1</w:t>
      </w:r>
    </w:p>
    <w:p w:rsidR="00B40521" w:rsidRDefault="009E0A2D">
      <w:r w:rsidRPr="00067FC1">
        <w:rPr>
          <w:noProof/>
        </w:rPr>
        <w:drawing>
          <wp:anchor distT="0" distB="0" distL="114300" distR="114300" simplePos="0" relativeHeight="251658240" behindDoc="1" locked="0" layoutInCell="1" allowOverlap="1">
            <wp:simplePos x="0" y="0"/>
            <wp:positionH relativeFrom="margin">
              <wp:align>left</wp:align>
            </wp:positionH>
            <wp:positionV relativeFrom="paragraph">
              <wp:posOffset>278130</wp:posOffset>
            </wp:positionV>
            <wp:extent cx="5895975" cy="331597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5895975" cy="3315970"/>
                    </a:xfrm>
                    <a:prstGeom prst="rect">
                      <a:avLst/>
                    </a:prstGeom>
                  </pic:spPr>
                </pic:pic>
              </a:graphicData>
            </a:graphic>
            <wp14:sizeRelH relativeFrom="margin">
              <wp14:pctWidth>0</wp14:pctWidth>
            </wp14:sizeRelH>
            <wp14:sizeRelV relativeFrom="margin">
              <wp14:pctHeight>0</wp14:pctHeight>
            </wp14:sizeRelV>
          </wp:anchor>
        </w:drawing>
      </w:r>
    </w:p>
    <w:p w:rsidR="007F28B2" w:rsidRDefault="002F1370">
      <w:r>
        <w:t xml:space="preserve"> </w:t>
      </w:r>
      <w:r w:rsidR="00067FC1">
        <w:t xml:space="preserve">  </w:t>
      </w:r>
    </w:p>
    <w:sectPr w:rsidR="007F28B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BB8" w:rsidRDefault="007A6BB8" w:rsidP="00004879">
      <w:pPr>
        <w:spacing w:after="0" w:line="240" w:lineRule="auto"/>
      </w:pPr>
      <w:r>
        <w:separator/>
      </w:r>
    </w:p>
  </w:endnote>
  <w:endnote w:type="continuationSeparator" w:id="0">
    <w:p w:rsidR="007A6BB8" w:rsidRDefault="007A6BB8" w:rsidP="000048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74" w:rsidRDefault="0035237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8552265"/>
      <w:docPartObj>
        <w:docPartGallery w:val="Page Numbers (Bottom of Page)"/>
        <w:docPartUnique/>
      </w:docPartObj>
    </w:sdtPr>
    <w:sdtEndPr>
      <w:rPr>
        <w:noProof/>
      </w:rPr>
    </w:sdtEndPr>
    <w:sdtContent>
      <w:p w:rsidR="00004879" w:rsidRDefault="00004879">
        <w:pPr>
          <w:pStyle w:val="Footer"/>
          <w:jc w:val="center"/>
        </w:pPr>
        <w:r>
          <w:fldChar w:fldCharType="begin"/>
        </w:r>
        <w:r>
          <w:instrText xml:space="preserve"> PAGE   \* MERGEFORMAT </w:instrText>
        </w:r>
        <w:r>
          <w:fldChar w:fldCharType="separate"/>
        </w:r>
        <w:r w:rsidR="00C76CBD">
          <w:rPr>
            <w:noProof/>
          </w:rPr>
          <w:t>4</w:t>
        </w:r>
        <w:r>
          <w:rPr>
            <w:noProof/>
          </w:rPr>
          <w:fldChar w:fldCharType="end"/>
        </w:r>
      </w:p>
    </w:sdtContent>
  </w:sdt>
  <w:p w:rsidR="00004879" w:rsidRDefault="0000487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74" w:rsidRDefault="003523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BB8" w:rsidRDefault="007A6BB8" w:rsidP="00004879">
      <w:pPr>
        <w:spacing w:after="0" w:line="240" w:lineRule="auto"/>
      </w:pPr>
      <w:r>
        <w:separator/>
      </w:r>
    </w:p>
  </w:footnote>
  <w:footnote w:type="continuationSeparator" w:id="0">
    <w:p w:rsidR="007A6BB8" w:rsidRDefault="007A6BB8" w:rsidP="00004879">
      <w:pPr>
        <w:spacing w:after="0" w:line="240" w:lineRule="auto"/>
      </w:pPr>
      <w:r>
        <w:continuationSeparator/>
      </w:r>
    </w:p>
  </w:footnote>
  <w:footnote w:id="1">
    <w:p w:rsidR="002C13C5" w:rsidRDefault="002C13C5">
      <w:pPr>
        <w:pStyle w:val="FootnoteText"/>
      </w:pPr>
      <w:r>
        <w:rPr>
          <w:rStyle w:val="FootnoteReference"/>
        </w:rPr>
        <w:footnoteRef/>
      </w:r>
      <w:r>
        <w:t xml:space="preserve"> In this paper the terminology for an Option is intended to include the “family” for those Options (e.g., Option 4 includes 4</w:t>
      </w:r>
      <w:r w:rsidR="00CA18E7">
        <w:t xml:space="preserve">a </w:t>
      </w:r>
      <w:r>
        <w:t xml:space="preserve">and Option 7 includes </w:t>
      </w:r>
      <w:r w:rsidR="00CA18E7">
        <w:t xml:space="preserve">7a, &amp; </w:t>
      </w:r>
      <w:r>
        <w:t>7x)</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74" w:rsidRDefault="0035237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4879" w:rsidRPr="00004879" w:rsidRDefault="00004879" w:rsidP="00004879">
    <w:pPr>
      <w:pStyle w:val="Header"/>
      <w:jc w:val="center"/>
      <w:rPr>
        <w:color w:val="FF0000"/>
        <w:sz w:val="4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74" w:rsidRDefault="003523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380CF8"/>
    <w:multiLevelType w:val="hybridMultilevel"/>
    <w:tmpl w:val="52BC7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370"/>
    <w:rsid w:val="00004879"/>
    <w:rsid w:val="00014161"/>
    <w:rsid w:val="00032169"/>
    <w:rsid w:val="00035E44"/>
    <w:rsid w:val="00050621"/>
    <w:rsid w:val="00060E03"/>
    <w:rsid w:val="00067FC1"/>
    <w:rsid w:val="00156666"/>
    <w:rsid w:val="001734E1"/>
    <w:rsid w:val="00185E91"/>
    <w:rsid w:val="001A5942"/>
    <w:rsid w:val="001B6D02"/>
    <w:rsid w:val="001E2BA7"/>
    <w:rsid w:val="00220582"/>
    <w:rsid w:val="00220FEA"/>
    <w:rsid w:val="00267116"/>
    <w:rsid w:val="00283AAF"/>
    <w:rsid w:val="002A0AFE"/>
    <w:rsid w:val="002C13C5"/>
    <w:rsid w:val="002F0798"/>
    <w:rsid w:val="002F1370"/>
    <w:rsid w:val="00333144"/>
    <w:rsid w:val="0034681D"/>
    <w:rsid w:val="00352374"/>
    <w:rsid w:val="003930BB"/>
    <w:rsid w:val="003A0090"/>
    <w:rsid w:val="003B0C5D"/>
    <w:rsid w:val="003B734D"/>
    <w:rsid w:val="003C53B1"/>
    <w:rsid w:val="003F432C"/>
    <w:rsid w:val="00420137"/>
    <w:rsid w:val="00420A00"/>
    <w:rsid w:val="0042689B"/>
    <w:rsid w:val="00463892"/>
    <w:rsid w:val="00472E2C"/>
    <w:rsid w:val="004E724F"/>
    <w:rsid w:val="00595EDD"/>
    <w:rsid w:val="00645EF5"/>
    <w:rsid w:val="00674AAF"/>
    <w:rsid w:val="006A017E"/>
    <w:rsid w:val="006A088D"/>
    <w:rsid w:val="006A7B30"/>
    <w:rsid w:val="006B5666"/>
    <w:rsid w:val="006E2700"/>
    <w:rsid w:val="006F6963"/>
    <w:rsid w:val="007658A6"/>
    <w:rsid w:val="007A54F2"/>
    <w:rsid w:val="007A6BB8"/>
    <w:rsid w:val="007C03ED"/>
    <w:rsid w:val="007F28B2"/>
    <w:rsid w:val="00846CB0"/>
    <w:rsid w:val="00880BFC"/>
    <w:rsid w:val="00890186"/>
    <w:rsid w:val="008A0D2D"/>
    <w:rsid w:val="008A1D9B"/>
    <w:rsid w:val="008B7A9B"/>
    <w:rsid w:val="008C2A03"/>
    <w:rsid w:val="008E66CF"/>
    <w:rsid w:val="00914075"/>
    <w:rsid w:val="00970B7D"/>
    <w:rsid w:val="00976408"/>
    <w:rsid w:val="009A6EAF"/>
    <w:rsid w:val="009D0079"/>
    <w:rsid w:val="009E0A2D"/>
    <w:rsid w:val="009E1AED"/>
    <w:rsid w:val="00A46C62"/>
    <w:rsid w:val="00A5271C"/>
    <w:rsid w:val="00A641C1"/>
    <w:rsid w:val="00A776B9"/>
    <w:rsid w:val="00AA2EC5"/>
    <w:rsid w:val="00AA6E96"/>
    <w:rsid w:val="00B40521"/>
    <w:rsid w:val="00B601DD"/>
    <w:rsid w:val="00BC0CD7"/>
    <w:rsid w:val="00C34A75"/>
    <w:rsid w:val="00C76CBD"/>
    <w:rsid w:val="00CA18E7"/>
    <w:rsid w:val="00CB08C7"/>
    <w:rsid w:val="00D76567"/>
    <w:rsid w:val="00DA1067"/>
    <w:rsid w:val="00DA76E3"/>
    <w:rsid w:val="00E84997"/>
    <w:rsid w:val="00E9009B"/>
    <w:rsid w:val="00EB4A8A"/>
    <w:rsid w:val="00EB631E"/>
    <w:rsid w:val="00EE33AB"/>
    <w:rsid w:val="00EE781C"/>
    <w:rsid w:val="00F63242"/>
    <w:rsid w:val="00F74CAB"/>
    <w:rsid w:val="00FB5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AA2EC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3AB"/>
    <w:pPr>
      <w:ind w:left="720"/>
      <w:contextualSpacing/>
    </w:pPr>
  </w:style>
  <w:style w:type="character" w:styleId="Hyperlink">
    <w:name w:val="Hyperlink"/>
    <w:basedOn w:val="DefaultParagraphFont"/>
    <w:uiPriority w:val="99"/>
    <w:unhideWhenUsed/>
    <w:rsid w:val="009E0A2D"/>
    <w:rPr>
      <w:color w:val="0563C1" w:themeColor="hyperlink"/>
      <w:u w:val="single"/>
    </w:rPr>
  </w:style>
  <w:style w:type="character" w:customStyle="1" w:styleId="Heading1Char">
    <w:name w:val="Heading 1 Char"/>
    <w:basedOn w:val="DefaultParagraphFont"/>
    <w:link w:val="Heading1"/>
    <w:rsid w:val="00AA2EC5"/>
    <w:rPr>
      <w:rFonts w:ascii="Arial" w:eastAsia="Times New Roman" w:hAnsi="Arial" w:cs="Times New Roman"/>
      <w:sz w:val="36"/>
      <w:szCs w:val="20"/>
      <w:lang w:val="en-GB"/>
    </w:rPr>
  </w:style>
  <w:style w:type="paragraph" w:styleId="Header">
    <w:name w:val="header"/>
    <w:basedOn w:val="Normal"/>
    <w:link w:val="HeaderChar"/>
    <w:uiPriority w:val="99"/>
    <w:unhideWhenUsed/>
    <w:rsid w:val="000048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4879"/>
  </w:style>
  <w:style w:type="paragraph" w:styleId="Footer">
    <w:name w:val="footer"/>
    <w:basedOn w:val="Normal"/>
    <w:link w:val="FooterChar"/>
    <w:uiPriority w:val="99"/>
    <w:unhideWhenUsed/>
    <w:rsid w:val="000048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4879"/>
  </w:style>
  <w:style w:type="paragraph" w:styleId="BalloonText">
    <w:name w:val="Balloon Text"/>
    <w:basedOn w:val="Normal"/>
    <w:link w:val="BalloonTextChar"/>
    <w:uiPriority w:val="99"/>
    <w:semiHidden/>
    <w:unhideWhenUsed/>
    <w:rsid w:val="00F74C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4CAB"/>
    <w:rPr>
      <w:rFonts w:ascii="Segoe UI" w:hAnsi="Segoe UI" w:cs="Segoe UI"/>
      <w:sz w:val="18"/>
      <w:szCs w:val="18"/>
    </w:rPr>
  </w:style>
  <w:style w:type="paragraph" w:styleId="FootnoteText">
    <w:name w:val="footnote text"/>
    <w:basedOn w:val="Normal"/>
    <w:link w:val="FootnoteTextChar"/>
    <w:uiPriority w:val="99"/>
    <w:semiHidden/>
    <w:unhideWhenUsed/>
    <w:rsid w:val="002C13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13C5"/>
    <w:rPr>
      <w:sz w:val="20"/>
      <w:szCs w:val="20"/>
    </w:rPr>
  </w:style>
  <w:style w:type="character" w:styleId="FootnoteReference">
    <w:name w:val="footnote reference"/>
    <w:basedOn w:val="DefaultParagraphFont"/>
    <w:uiPriority w:val="99"/>
    <w:semiHidden/>
    <w:unhideWhenUsed/>
    <w:rsid w:val="002C13C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news-events/3gpp-news/1929-nsa_nr_5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78/Doc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tsg_ran/TSG_RAN/TSGR_78/Doc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TSG_RAN/TSGR_78/Doc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4549C-26F4-4DC9-BBD6-22C08855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974</Words>
  <Characters>5554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2018-03-12T15:37:00Z</dcterms:created>
  <dcterms:modified xsi:type="dcterms:W3CDTF">2018-03-12T15:41:00Z</dcterms:modified>
</cp:coreProperties>
</file>