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D33C60" w:rsidRDefault="00070DB3" w:rsidP="00070DB3">
      <w:pPr>
        <w:pStyle w:val="Header"/>
        <w:tabs>
          <w:tab w:val="right" w:pos="9639"/>
        </w:tabs>
        <w:rPr>
          <w:bCs/>
          <w:noProof w:val="0"/>
          <w:sz w:val="28"/>
          <w:szCs w:val="24"/>
        </w:rPr>
      </w:pPr>
      <w:r w:rsidRPr="00D33C60">
        <w:rPr>
          <w:bCs/>
          <w:noProof w:val="0"/>
          <w:sz w:val="28"/>
          <w:szCs w:val="24"/>
        </w:rPr>
        <w:t>3GPP T</w:t>
      </w:r>
      <w:bookmarkStart w:id="0" w:name="_Ref452454252"/>
      <w:bookmarkEnd w:id="0"/>
      <w:r w:rsidR="00245669" w:rsidRPr="00D33C60">
        <w:rPr>
          <w:bCs/>
          <w:noProof w:val="0"/>
          <w:sz w:val="28"/>
          <w:szCs w:val="24"/>
        </w:rPr>
        <w:t xml:space="preserve">SG RAN </w:t>
      </w:r>
      <w:r w:rsidR="00245669" w:rsidRPr="00D33C60">
        <w:rPr>
          <w:noProof w:val="0"/>
          <w:sz w:val="28"/>
          <w:szCs w:val="24"/>
        </w:rPr>
        <w:t>#78</w:t>
      </w:r>
      <w:r w:rsidRPr="00D33C60">
        <w:rPr>
          <w:bCs/>
          <w:noProof w:val="0"/>
          <w:sz w:val="28"/>
          <w:szCs w:val="24"/>
        </w:rPr>
        <w:tab/>
        <w:t>R</w:t>
      </w:r>
      <w:r w:rsidR="00245669" w:rsidRPr="00D33C60">
        <w:rPr>
          <w:bCs/>
          <w:noProof w:val="0"/>
          <w:sz w:val="28"/>
          <w:szCs w:val="24"/>
        </w:rPr>
        <w:t>P</w:t>
      </w:r>
      <w:r w:rsidRPr="00D33C60">
        <w:rPr>
          <w:bCs/>
          <w:noProof w:val="0"/>
          <w:sz w:val="28"/>
          <w:szCs w:val="24"/>
        </w:rPr>
        <w:t>-17</w:t>
      </w:r>
      <w:r w:rsidR="00D33C60">
        <w:rPr>
          <w:bCs/>
          <w:noProof w:val="0"/>
          <w:sz w:val="28"/>
          <w:szCs w:val="24"/>
        </w:rPr>
        <w:t>2654</w:t>
      </w:r>
    </w:p>
    <w:p w:rsidR="00070DB3" w:rsidRPr="00D33C60" w:rsidRDefault="00245669" w:rsidP="00070DB3">
      <w:pPr>
        <w:pStyle w:val="Header"/>
        <w:tabs>
          <w:tab w:val="right" w:pos="9639"/>
        </w:tabs>
        <w:rPr>
          <w:bCs/>
          <w:noProof w:val="0"/>
          <w:sz w:val="28"/>
          <w:szCs w:val="24"/>
        </w:rPr>
      </w:pPr>
      <w:r w:rsidRPr="00D33C60">
        <w:rPr>
          <w:noProof w:val="0"/>
          <w:sz w:val="28"/>
          <w:szCs w:val="24"/>
          <w:lang w:eastAsia="zh-CN"/>
        </w:rPr>
        <w:t>Lisbon</w:t>
      </w:r>
      <w:r w:rsidR="00070DB3" w:rsidRPr="00D33C60">
        <w:rPr>
          <w:noProof w:val="0"/>
          <w:sz w:val="28"/>
          <w:szCs w:val="24"/>
          <w:lang w:eastAsia="zh-CN"/>
        </w:rPr>
        <w:t xml:space="preserve">, </w:t>
      </w:r>
      <w:r w:rsidRPr="00D33C60">
        <w:rPr>
          <w:noProof w:val="0"/>
          <w:sz w:val="28"/>
          <w:szCs w:val="24"/>
          <w:lang w:eastAsia="zh-CN"/>
        </w:rPr>
        <w:t>Portugal</w:t>
      </w:r>
      <w:r w:rsidR="00070DB3" w:rsidRPr="00D33C60">
        <w:rPr>
          <w:noProof w:val="0"/>
          <w:sz w:val="28"/>
          <w:szCs w:val="24"/>
          <w:lang w:eastAsia="zh-CN"/>
        </w:rPr>
        <w:t xml:space="preserve">, </w:t>
      </w:r>
      <w:r w:rsidRPr="00D33C60">
        <w:rPr>
          <w:noProof w:val="0"/>
          <w:sz w:val="28"/>
          <w:szCs w:val="24"/>
          <w:lang w:eastAsia="zh-CN"/>
        </w:rPr>
        <w:t>18</w:t>
      </w:r>
      <w:r w:rsidR="00070DB3" w:rsidRPr="00D33C60">
        <w:rPr>
          <w:noProof w:val="0"/>
          <w:sz w:val="28"/>
          <w:szCs w:val="24"/>
          <w:vertAlign w:val="superscript"/>
          <w:lang w:eastAsia="zh-CN"/>
        </w:rPr>
        <w:t>th</w:t>
      </w:r>
      <w:r w:rsidR="00070DB3" w:rsidRPr="00D33C60">
        <w:rPr>
          <w:noProof w:val="0"/>
          <w:sz w:val="28"/>
          <w:szCs w:val="24"/>
          <w:lang w:eastAsia="zh-CN"/>
        </w:rPr>
        <w:t xml:space="preserve"> </w:t>
      </w:r>
      <w:r w:rsidRPr="00D33C60">
        <w:rPr>
          <w:noProof w:val="0"/>
          <w:sz w:val="28"/>
          <w:szCs w:val="24"/>
          <w:lang w:eastAsia="zh-CN"/>
        </w:rPr>
        <w:t>–</w:t>
      </w:r>
      <w:r w:rsidR="00070DB3" w:rsidRPr="00D33C60">
        <w:rPr>
          <w:noProof w:val="0"/>
          <w:sz w:val="28"/>
          <w:szCs w:val="24"/>
          <w:lang w:eastAsia="zh-CN"/>
        </w:rPr>
        <w:t xml:space="preserve"> </w:t>
      </w:r>
      <w:r w:rsidRPr="00D33C60">
        <w:rPr>
          <w:noProof w:val="0"/>
          <w:sz w:val="28"/>
          <w:szCs w:val="24"/>
          <w:lang w:eastAsia="zh-CN"/>
        </w:rPr>
        <w:t>2</w:t>
      </w:r>
      <w:r w:rsidR="00070DB3" w:rsidRPr="00D33C60">
        <w:rPr>
          <w:noProof w:val="0"/>
          <w:sz w:val="28"/>
          <w:szCs w:val="24"/>
          <w:lang w:eastAsia="zh-CN"/>
        </w:rPr>
        <w:t>1</w:t>
      </w:r>
      <w:r w:rsidR="00070DB3" w:rsidRPr="00D33C60">
        <w:rPr>
          <w:noProof w:val="0"/>
          <w:sz w:val="28"/>
          <w:szCs w:val="24"/>
          <w:vertAlign w:val="superscript"/>
          <w:lang w:eastAsia="zh-CN"/>
        </w:rPr>
        <w:t>st</w:t>
      </w:r>
      <w:r w:rsidR="00070DB3" w:rsidRPr="00D33C60">
        <w:rPr>
          <w:noProof w:val="0"/>
          <w:sz w:val="28"/>
          <w:szCs w:val="24"/>
          <w:lang w:eastAsia="zh-CN"/>
        </w:rPr>
        <w:t xml:space="preserve"> Dec 2017</w:t>
      </w:r>
    </w:p>
    <w:p w:rsidR="00070DB3" w:rsidRPr="007E5CE0" w:rsidRDefault="00070DB3" w:rsidP="00070DB3">
      <w:pPr>
        <w:pStyle w:val="CRCoverPage"/>
        <w:tabs>
          <w:tab w:val="right" w:pos="9638"/>
        </w:tabs>
        <w:spacing w:after="0"/>
        <w:outlineLvl w:val="0"/>
        <w:rPr>
          <w:rFonts w:cs="Arial"/>
          <w:b/>
          <w:noProof/>
          <w:sz w:val="36"/>
        </w:rPr>
      </w:pPr>
    </w:p>
    <w:p w:rsidR="00070DB3" w:rsidRPr="00D33C60" w:rsidRDefault="00EA16AF" w:rsidP="00EA16AF">
      <w:pPr>
        <w:ind w:left="0"/>
        <w:rPr>
          <w:rFonts w:ascii="Arial" w:hAnsi="Arial" w:cs="Arial"/>
          <w:b/>
          <w:i/>
          <w:sz w:val="28"/>
        </w:rPr>
      </w:pPr>
      <w:r w:rsidRPr="00D33C60">
        <w:rPr>
          <w:rFonts w:ascii="Arial" w:hAnsi="Arial" w:cs="Arial"/>
          <w:b/>
          <w:sz w:val="28"/>
        </w:rPr>
        <w:t>Title:</w:t>
      </w:r>
      <w:r w:rsidRPr="00D33C60">
        <w:rPr>
          <w:rFonts w:ascii="Arial" w:hAnsi="Arial" w:cs="Arial"/>
          <w:b/>
          <w:sz w:val="28"/>
        </w:rPr>
        <w:tab/>
      </w:r>
      <w:r w:rsidRPr="00D33C60">
        <w:rPr>
          <w:rFonts w:ascii="Arial" w:hAnsi="Arial" w:cs="Arial"/>
          <w:b/>
          <w:sz w:val="28"/>
        </w:rPr>
        <w:tab/>
      </w:r>
      <w:r w:rsidR="00B87B72" w:rsidRPr="00D33C60">
        <w:rPr>
          <w:rFonts w:ascii="Arial" w:hAnsi="Arial" w:cs="Arial"/>
          <w:b/>
          <w:sz w:val="28"/>
        </w:rPr>
        <w:t>Mandatory 4Rx antenna performance for NR UE</w:t>
      </w:r>
      <w:r w:rsidR="00070DB3" w:rsidRPr="00D33C60">
        <w:rPr>
          <w:rFonts w:ascii="Arial" w:hAnsi="Arial" w:cs="Arial"/>
          <w:b/>
          <w:bCs/>
          <w:sz w:val="144"/>
        </w:rPr>
        <w:t xml:space="preserve"> </w:t>
      </w:r>
    </w:p>
    <w:p w:rsidR="00070DB3" w:rsidRPr="00D33C60" w:rsidRDefault="00070DB3" w:rsidP="00EA16AF">
      <w:pPr>
        <w:ind w:left="0"/>
        <w:rPr>
          <w:rFonts w:ascii="Arial" w:hAnsi="Arial" w:cs="Arial"/>
          <w:b/>
          <w:sz w:val="28"/>
        </w:rPr>
      </w:pPr>
      <w:r w:rsidRPr="00D33C60">
        <w:rPr>
          <w:rFonts w:ascii="Arial" w:hAnsi="Arial" w:cs="Arial"/>
          <w:b/>
          <w:sz w:val="28"/>
        </w:rPr>
        <w:t>Source:</w:t>
      </w:r>
      <w:r w:rsidRPr="00D33C60">
        <w:rPr>
          <w:rFonts w:ascii="Arial" w:hAnsi="Arial" w:cs="Arial"/>
          <w:b/>
          <w:sz w:val="28"/>
        </w:rPr>
        <w:tab/>
        <w:t>Vodafone</w:t>
      </w:r>
    </w:p>
    <w:p w:rsidR="00070DB3" w:rsidRPr="00D33C60" w:rsidRDefault="00070DB3" w:rsidP="00EA16AF">
      <w:pPr>
        <w:ind w:left="0"/>
        <w:rPr>
          <w:rFonts w:ascii="Arial" w:hAnsi="Arial" w:cs="Arial"/>
          <w:b/>
          <w:i/>
          <w:sz w:val="28"/>
        </w:rPr>
      </w:pPr>
      <w:r w:rsidRPr="00D33C60">
        <w:rPr>
          <w:rFonts w:ascii="Arial" w:hAnsi="Arial" w:cs="Arial"/>
          <w:b/>
          <w:sz w:val="28"/>
        </w:rPr>
        <w:t xml:space="preserve">Agenda: </w:t>
      </w:r>
      <w:r w:rsidRPr="00D33C60">
        <w:rPr>
          <w:rFonts w:ascii="Arial" w:hAnsi="Arial" w:cs="Arial"/>
          <w:b/>
          <w:sz w:val="28"/>
        </w:rPr>
        <w:tab/>
      </w:r>
      <w:r w:rsidR="00D33C60">
        <w:rPr>
          <w:rFonts w:ascii="Arial" w:hAnsi="Arial" w:cs="Arial"/>
          <w:b/>
          <w:sz w:val="28"/>
        </w:rPr>
        <w:t>9.</w:t>
      </w:r>
      <w:r w:rsidR="002E65DF">
        <w:rPr>
          <w:rFonts w:ascii="Arial" w:hAnsi="Arial" w:cs="Arial"/>
          <w:b/>
          <w:sz w:val="28"/>
        </w:rPr>
        <w:t>2.1</w:t>
      </w:r>
      <w:bookmarkStart w:id="1" w:name="_GoBack"/>
      <w:bookmarkEnd w:id="1"/>
    </w:p>
    <w:p w:rsidR="00070DB3" w:rsidRPr="00D33C60" w:rsidRDefault="00EA16AF" w:rsidP="00EA16AF">
      <w:pPr>
        <w:ind w:left="0"/>
        <w:rPr>
          <w:rFonts w:ascii="Arial" w:hAnsi="Arial" w:cs="Arial"/>
          <w:b/>
          <w:sz w:val="28"/>
        </w:rPr>
      </w:pPr>
      <w:r w:rsidRPr="00D33C60">
        <w:rPr>
          <w:rFonts w:ascii="Arial" w:hAnsi="Arial" w:cs="Arial"/>
          <w:b/>
          <w:sz w:val="28"/>
        </w:rPr>
        <w:t>For:</w:t>
      </w:r>
      <w:r w:rsidRPr="00D33C60">
        <w:rPr>
          <w:rFonts w:ascii="Arial" w:hAnsi="Arial" w:cs="Arial"/>
          <w:b/>
          <w:sz w:val="28"/>
        </w:rPr>
        <w:tab/>
      </w:r>
      <w:r w:rsidRPr="00D33C60">
        <w:rPr>
          <w:rFonts w:ascii="Arial" w:hAnsi="Arial" w:cs="Arial"/>
          <w:b/>
          <w:sz w:val="28"/>
        </w:rPr>
        <w:tab/>
      </w:r>
      <w:r w:rsidR="00256686">
        <w:rPr>
          <w:rFonts w:ascii="Arial" w:hAnsi="Arial" w:cs="Arial"/>
          <w:b/>
          <w:sz w:val="28"/>
        </w:rPr>
        <w:t>Approval</w:t>
      </w:r>
      <w:r w:rsidR="00070DB3" w:rsidRPr="00D33C60">
        <w:rPr>
          <w:rFonts w:ascii="Arial" w:hAnsi="Arial" w:cs="Arial"/>
          <w:b/>
          <w:sz w:val="28"/>
        </w:rPr>
        <w:t xml:space="preserve"> </w:t>
      </w:r>
    </w:p>
    <w:p w:rsidR="00EA16AF" w:rsidRPr="00EA16AF" w:rsidRDefault="00EA16AF" w:rsidP="00EA16AF">
      <w:pPr>
        <w:ind w:left="0"/>
        <w:rPr>
          <w:rFonts w:ascii="Arial" w:hAnsi="Arial" w:cs="Arial"/>
          <w:b/>
          <w:sz w:val="8"/>
        </w:rPr>
      </w:pPr>
    </w:p>
    <w:p w:rsidR="00070DB3" w:rsidRPr="00A23121" w:rsidRDefault="00070DB3" w:rsidP="0081089F">
      <w:pPr>
        <w:pStyle w:val="Heading1"/>
        <w:numPr>
          <w:ilvl w:val="0"/>
          <w:numId w:val="1"/>
        </w:numPr>
      </w:pPr>
      <w:r w:rsidRPr="00A23121">
        <w:t>Introduction</w:t>
      </w:r>
    </w:p>
    <w:p w:rsidR="007E5CE0" w:rsidRDefault="00727638" w:rsidP="0081089F">
      <w:r>
        <w:t>This document discusses mandating NR UE receiver performance assuming 4 receiver antenna ports for certain bands</w:t>
      </w:r>
      <w:r w:rsidR="00E82F90">
        <w:t xml:space="preserve"> within the “FR1” range (sub-6GHz)</w:t>
      </w:r>
      <w:r>
        <w:t>.</w:t>
      </w:r>
    </w:p>
    <w:p w:rsidR="0073439A" w:rsidRDefault="0073439A" w:rsidP="0081089F">
      <w:pPr>
        <w:pStyle w:val="Heading1"/>
        <w:numPr>
          <w:ilvl w:val="0"/>
          <w:numId w:val="1"/>
        </w:numPr>
      </w:pPr>
      <w:r>
        <w:t>Discussion</w:t>
      </w:r>
    </w:p>
    <w:p w:rsidR="0088321A" w:rsidRPr="0088321A" w:rsidRDefault="00EA16AF" w:rsidP="00EA16AF">
      <w:pPr>
        <w:pStyle w:val="Heading2"/>
        <w:ind w:hanging="360"/>
        <w:rPr>
          <w:lang w:val="en-US"/>
        </w:rPr>
      </w:pPr>
      <w:r>
        <w:rPr>
          <w:lang w:val="en-US"/>
        </w:rPr>
        <w:t>2.1</w:t>
      </w:r>
      <w:r>
        <w:rPr>
          <w:lang w:val="en-US"/>
        </w:rPr>
        <w:tab/>
      </w:r>
      <w:r>
        <w:rPr>
          <w:lang w:val="en-US"/>
        </w:rPr>
        <w:tab/>
      </w:r>
      <w:r w:rsidR="00727638">
        <w:rPr>
          <w:lang w:val="en-US"/>
        </w:rPr>
        <w:t>Status in RAN WG4</w:t>
      </w:r>
    </w:p>
    <w:p w:rsidR="00B87B72" w:rsidRDefault="00B87B72" w:rsidP="0081089F">
      <w:r>
        <w:t xml:space="preserve">RAN4 has discussed </w:t>
      </w:r>
      <w:r w:rsidR="00727638">
        <w:t xml:space="preserve">for the last few </w:t>
      </w:r>
      <w:r>
        <w:t xml:space="preserve">meetings the baseline mandatory support for NR UEs in terms of the </w:t>
      </w:r>
      <w:r w:rsidR="00E82F90">
        <w:t xml:space="preserve">baseline </w:t>
      </w:r>
      <w:r>
        <w:t>receiver performance</w:t>
      </w:r>
      <w:r w:rsidR="00E82F90">
        <w:t xml:space="preserve"> for certain bands within the “FR1” range</w:t>
      </w:r>
      <w:r>
        <w:t xml:space="preserve">, </w:t>
      </w:r>
      <w:r w:rsidR="00E82F90">
        <w:t>where</w:t>
      </w:r>
      <w:r>
        <w:t xml:space="preserve"> </w:t>
      </w:r>
      <w:r w:rsidR="00727638">
        <w:t>it has been proposed</w:t>
      </w:r>
      <w:r>
        <w:t xml:space="preserve"> for receiver performance associated with 4Rx antenna support to be mandated</w:t>
      </w:r>
      <w:r w:rsidR="00727638">
        <w:t xml:space="preserve"> for the UE made by multiple companies.</w:t>
      </w:r>
    </w:p>
    <w:p w:rsidR="00E82F90" w:rsidRDefault="00E82F90" w:rsidP="0081089F">
      <w:r>
        <w:t>The latest proposal has been made in RAN4#85 in document R4-1714089 [1] and proposed the following:</w:t>
      </w:r>
    </w:p>
    <w:p w:rsidR="00E266D3" w:rsidRPr="00BF537F" w:rsidRDefault="00EA16AF" w:rsidP="00BF537F">
      <w:pPr>
        <w:pStyle w:val="ListParagraph"/>
        <w:numPr>
          <w:ilvl w:val="0"/>
          <w:numId w:val="7"/>
        </w:numPr>
        <w:ind w:hanging="357"/>
        <w:contextualSpacing w:val="0"/>
        <w:rPr>
          <w:i/>
        </w:rPr>
      </w:pPr>
      <w:r w:rsidRPr="00BF537F">
        <w:rPr>
          <w:i/>
          <w:lang w:val="sv-SE"/>
        </w:rPr>
        <w:t xml:space="preserve">For NR Bands n7, n38, n41, n77, n78, and n79 the UE shall be </w:t>
      </w:r>
      <w:r w:rsidRPr="00BF537F">
        <w:rPr>
          <w:i/>
        </w:rPr>
        <w:t>equipped with 4Rx ports as a baseline</w:t>
      </w:r>
    </w:p>
    <w:p w:rsidR="00E266D3" w:rsidRPr="00BF537F" w:rsidRDefault="00EA16AF" w:rsidP="00BF537F">
      <w:pPr>
        <w:pStyle w:val="ListParagraph"/>
        <w:numPr>
          <w:ilvl w:val="1"/>
          <w:numId w:val="7"/>
        </w:numPr>
        <w:ind w:hanging="357"/>
        <w:contextualSpacing w:val="0"/>
        <w:rPr>
          <w:i/>
        </w:rPr>
      </w:pPr>
      <w:r w:rsidRPr="00BF537F">
        <w:rPr>
          <w:i/>
        </w:rPr>
        <w:t>Applicability to other NR bands is FFS</w:t>
      </w:r>
    </w:p>
    <w:p w:rsidR="00E82F90" w:rsidRPr="00BF537F" w:rsidRDefault="00EA16AF" w:rsidP="00BF537F">
      <w:pPr>
        <w:pStyle w:val="ListParagraph"/>
        <w:numPr>
          <w:ilvl w:val="1"/>
          <w:numId w:val="7"/>
        </w:numPr>
        <w:ind w:hanging="357"/>
        <w:contextualSpacing w:val="0"/>
        <w:rPr>
          <w:i/>
        </w:rPr>
      </w:pPr>
      <w:r w:rsidRPr="00BF537F">
        <w:rPr>
          <w:i/>
        </w:rPr>
        <w:t>For NR band combinations with &gt; 2DL NR CCs and for certain UE types/categories, some exceptions to this requirement may be applicable in future</w:t>
      </w:r>
    </w:p>
    <w:p w:rsidR="00E82F90" w:rsidRPr="00BF537F" w:rsidRDefault="00E82F90" w:rsidP="00BF537F">
      <w:pPr>
        <w:pStyle w:val="ListParagraph"/>
        <w:numPr>
          <w:ilvl w:val="0"/>
          <w:numId w:val="7"/>
        </w:numPr>
        <w:ind w:hanging="357"/>
        <w:contextualSpacing w:val="0"/>
        <w:rPr>
          <w:i/>
        </w:rPr>
      </w:pPr>
      <w:r w:rsidRPr="00BF537F">
        <w:rPr>
          <w:i/>
          <w:lang w:val="sv-SE"/>
        </w:rPr>
        <w:t xml:space="preserve">UE </w:t>
      </w:r>
      <w:r w:rsidRPr="00BF537F">
        <w:rPr>
          <w:i/>
        </w:rPr>
        <w:t>equipped with 4Rx ports as a baseline shall fulfil all 4Rx demodulation performance requirements defined for downlink data and control</w:t>
      </w:r>
    </w:p>
    <w:p w:rsidR="00E266D3" w:rsidRPr="00BF537F" w:rsidRDefault="00EA16AF" w:rsidP="00BF537F">
      <w:pPr>
        <w:pStyle w:val="ListParagraph"/>
        <w:numPr>
          <w:ilvl w:val="0"/>
          <w:numId w:val="8"/>
        </w:numPr>
        <w:ind w:hanging="357"/>
        <w:contextualSpacing w:val="0"/>
        <w:rPr>
          <w:i/>
        </w:rPr>
      </w:pPr>
      <w:r w:rsidRPr="00BF537F">
        <w:rPr>
          <w:i/>
          <w:lang w:val="en-US"/>
        </w:rPr>
        <w:t>Fall back to 2Rx shall be allowed to save power</w:t>
      </w:r>
    </w:p>
    <w:p w:rsidR="00E266D3" w:rsidRPr="00BF537F" w:rsidRDefault="00EA16AF" w:rsidP="00BF537F">
      <w:pPr>
        <w:pStyle w:val="ListParagraph"/>
        <w:numPr>
          <w:ilvl w:val="0"/>
          <w:numId w:val="8"/>
        </w:numPr>
        <w:ind w:hanging="357"/>
        <w:contextualSpacing w:val="0"/>
        <w:rPr>
          <w:i/>
        </w:rPr>
      </w:pPr>
      <w:r w:rsidRPr="00BF537F">
        <w:rPr>
          <w:i/>
          <w:lang w:val="en-US"/>
        </w:rPr>
        <w:t>RRM Requirements will be based on 2Rx</w:t>
      </w:r>
    </w:p>
    <w:p w:rsidR="00E266D3" w:rsidRPr="00BF537F" w:rsidRDefault="00EA16AF" w:rsidP="00BF537F">
      <w:pPr>
        <w:pStyle w:val="ListParagraph"/>
        <w:numPr>
          <w:ilvl w:val="1"/>
          <w:numId w:val="8"/>
        </w:numPr>
        <w:ind w:hanging="357"/>
        <w:contextualSpacing w:val="0"/>
        <w:rPr>
          <w:i/>
        </w:rPr>
      </w:pPr>
      <w:r w:rsidRPr="00BF537F">
        <w:rPr>
          <w:i/>
          <w:lang w:val="en-US"/>
        </w:rPr>
        <w:t>RLM requirements shall be defined based on both 2RX and 4RX</w:t>
      </w:r>
    </w:p>
    <w:p w:rsidR="00E266D3" w:rsidRPr="00BF537F" w:rsidRDefault="00EA16AF" w:rsidP="00BF537F">
      <w:pPr>
        <w:pStyle w:val="ListParagraph"/>
        <w:numPr>
          <w:ilvl w:val="1"/>
          <w:numId w:val="8"/>
        </w:numPr>
        <w:ind w:hanging="357"/>
        <w:contextualSpacing w:val="0"/>
        <w:rPr>
          <w:i/>
        </w:rPr>
      </w:pPr>
      <w:r w:rsidRPr="00BF537F">
        <w:rPr>
          <w:i/>
          <w:lang w:val="en-US"/>
        </w:rPr>
        <w:t>The proper antenna connection similar to LTE (defined in A.3.8.1 of TS36.133) will be defined to make 2Rx based RRM tests be applicable to NR UE equipped with 4Rx port.</w:t>
      </w:r>
    </w:p>
    <w:p w:rsidR="00E82F90" w:rsidRDefault="00E82F90" w:rsidP="0081089F">
      <w:r>
        <w:t>The above proposal was made based on operators taking into account the feedback from the RAN4 community. However, unfortunately it was not accepted, and was requested for it to be brought to RAN plenary for discussion.</w:t>
      </w:r>
    </w:p>
    <w:p w:rsidR="00E82F90" w:rsidRDefault="00BF537F" w:rsidP="00EA16AF">
      <w:pPr>
        <w:pStyle w:val="Heading2"/>
        <w:numPr>
          <w:ilvl w:val="1"/>
          <w:numId w:val="1"/>
        </w:numPr>
      </w:pPr>
      <w:r>
        <w:t>Why is mandating 4Rx antennas in the UE important for the NR ecosystem?</w:t>
      </w:r>
    </w:p>
    <w:p w:rsidR="0081089F" w:rsidRDefault="0081089F" w:rsidP="0081089F">
      <w:r>
        <w:t xml:space="preserve">Below are some reasons as to why we believe </w:t>
      </w:r>
      <w:r w:rsidR="00BF537F">
        <w:t>we should agree the above proposal</w:t>
      </w:r>
      <w:r>
        <w:t>:</w:t>
      </w:r>
    </w:p>
    <w:p w:rsidR="00BF537F" w:rsidRDefault="00BF537F" w:rsidP="00BF537F">
      <w:pPr>
        <w:pStyle w:val="ListParagraph"/>
        <w:numPr>
          <w:ilvl w:val="0"/>
          <w:numId w:val="11"/>
        </w:numPr>
        <w:ind w:left="709" w:hanging="284"/>
        <w:contextualSpacing w:val="0"/>
      </w:pPr>
      <w:r>
        <w:t xml:space="preserve">In order for NR to really be the technology of choice for operation in select new frequency bands, there need to be some clear immediate benefits </w:t>
      </w:r>
      <w:r w:rsidR="00EC1DD9">
        <w:t>for operators to choose</w:t>
      </w:r>
      <w:r>
        <w:t xml:space="preserve"> NR over LTE</w:t>
      </w:r>
      <w:r w:rsidR="004814C2">
        <w:t xml:space="preserve"> for initial target use cases (eMBB and low latency)</w:t>
      </w:r>
      <w:r>
        <w:t>. One way that this can be enabled is by ensuring that all NR devices support 4 Rx antennas within selected frequency bands</w:t>
      </w:r>
      <w:r w:rsidR="00EC1DD9">
        <w:t xml:space="preserve"> targeted for NR</w:t>
      </w:r>
      <w:r>
        <w:t xml:space="preserve"> (bands which are known to be</w:t>
      </w:r>
      <w:r w:rsidR="003A6905">
        <w:t xml:space="preserve"> very</w:t>
      </w:r>
      <w:r>
        <w:t xml:space="preserve"> feasible bands for operating 4Rx antennas at the UE).</w:t>
      </w:r>
    </w:p>
    <w:p w:rsidR="00E82F90" w:rsidRDefault="0081089F" w:rsidP="00BF537F">
      <w:pPr>
        <w:pStyle w:val="ListParagraph"/>
        <w:numPr>
          <w:ilvl w:val="0"/>
          <w:numId w:val="11"/>
        </w:numPr>
        <w:ind w:left="709" w:hanging="284"/>
        <w:contextualSpacing w:val="0"/>
      </w:pPr>
      <w:r>
        <w:t>The frequency bands identified in the way forward have worse propagation than lower frequency bands. Compensation of this additional pathloss can be enabled by implementing 4 Rx antennas</w:t>
      </w:r>
      <w:r w:rsidR="00EA16AF">
        <w:t xml:space="preserve"> instead of 2Rx antennas</w:t>
      </w:r>
      <w:r>
        <w:t>.</w:t>
      </w:r>
    </w:p>
    <w:p w:rsidR="0081089F" w:rsidRDefault="0081089F" w:rsidP="00BF537F">
      <w:pPr>
        <w:pStyle w:val="ListParagraph"/>
        <w:numPr>
          <w:ilvl w:val="0"/>
          <w:numId w:val="11"/>
        </w:numPr>
        <w:ind w:left="709" w:hanging="284"/>
        <w:contextualSpacing w:val="0"/>
      </w:pPr>
      <w:r>
        <w:t xml:space="preserve">4Rx will be </w:t>
      </w:r>
      <w:r w:rsidR="00BF537F">
        <w:t>beneficial for improving</w:t>
      </w:r>
      <w:r>
        <w:t xml:space="preserve"> the user experience independent of where it is located in the cell.</w:t>
      </w:r>
    </w:p>
    <w:p w:rsidR="0081089F" w:rsidRDefault="0081089F" w:rsidP="00BF537F">
      <w:pPr>
        <w:pStyle w:val="ListParagraph"/>
        <w:numPr>
          <w:ilvl w:val="0"/>
          <w:numId w:val="11"/>
        </w:numPr>
        <w:ind w:left="709" w:hanging="284"/>
        <w:contextualSpacing w:val="0"/>
      </w:pPr>
      <w:r>
        <w:lastRenderedPageBreak/>
        <w:t xml:space="preserve">4Rx will enable the UE to spend less time decoding the </w:t>
      </w:r>
      <w:r w:rsidR="00BF537F">
        <w:t>NR PDSCH, so will allow the device more opportunity to conserve its battery.</w:t>
      </w:r>
    </w:p>
    <w:p w:rsidR="00BF537F" w:rsidRDefault="00BF537F" w:rsidP="00BF537F">
      <w:pPr>
        <w:pStyle w:val="ListParagraph"/>
        <w:numPr>
          <w:ilvl w:val="0"/>
          <w:numId w:val="11"/>
        </w:numPr>
        <w:ind w:left="709" w:hanging="284"/>
        <w:contextualSpacing w:val="0"/>
      </w:pPr>
      <w:r>
        <w:t xml:space="preserve">Based on a request from the UE supplier community, the proposal above gives the device </w:t>
      </w:r>
      <w:r w:rsidR="00EA16AF">
        <w:t xml:space="preserve">the </w:t>
      </w:r>
      <w:r>
        <w:t>flexibility to fallback to 2Rx, and we enable 2Rx to be used in IDLE mode, where the user may not benefit much from 4Rx support.</w:t>
      </w:r>
    </w:p>
    <w:p w:rsidR="00256686" w:rsidRDefault="00256686" w:rsidP="00BF537F">
      <w:pPr>
        <w:pStyle w:val="ListParagraph"/>
        <w:numPr>
          <w:ilvl w:val="0"/>
          <w:numId w:val="11"/>
        </w:numPr>
        <w:ind w:left="709" w:hanging="284"/>
        <w:contextualSpacing w:val="0"/>
      </w:pPr>
      <w:r>
        <w:t>We have also enabled some exceptions to this baseline requirement to be considered in future, where a clear need is identified.</w:t>
      </w:r>
    </w:p>
    <w:p w:rsidR="00EA16AF" w:rsidRDefault="00EA16AF" w:rsidP="00EA16AF">
      <w:pPr>
        <w:pStyle w:val="ListParagraph"/>
        <w:ind w:left="709"/>
        <w:contextualSpacing w:val="0"/>
      </w:pPr>
    </w:p>
    <w:p w:rsidR="00EA16AF" w:rsidRDefault="00EA16AF" w:rsidP="00EA16AF">
      <w:pPr>
        <w:pStyle w:val="Heading1"/>
      </w:pPr>
      <w:r>
        <w:t>3.</w:t>
      </w:r>
      <w:r>
        <w:tab/>
        <w:t>Proposal</w:t>
      </w:r>
    </w:p>
    <w:p w:rsidR="00EA16AF" w:rsidRDefault="00EA16AF" w:rsidP="00EA16AF">
      <w:pPr>
        <w:rPr>
          <w:lang w:val="en-US"/>
        </w:rPr>
      </w:pPr>
      <w:r>
        <w:rPr>
          <w:lang w:val="en-US"/>
        </w:rPr>
        <w:t>It is requested for TSG RAN to take an important step in maximizing the value to the NR ecosystem and to approve the following proposal as a package:</w:t>
      </w:r>
    </w:p>
    <w:p w:rsidR="00EA16AF" w:rsidRPr="00EA16AF" w:rsidRDefault="00EA16AF" w:rsidP="00EA16AF">
      <w:pPr>
        <w:rPr>
          <w:u w:val="single"/>
          <w:lang w:val="en-US"/>
        </w:rPr>
      </w:pPr>
      <w:r w:rsidRPr="00EA16AF">
        <w:rPr>
          <w:u w:val="single"/>
          <w:lang w:val="en-US"/>
        </w:rPr>
        <w:t>Proposal</w:t>
      </w:r>
    </w:p>
    <w:p w:rsidR="00EA16AF" w:rsidRPr="00EA16AF" w:rsidRDefault="00EA16AF" w:rsidP="00EA16AF">
      <w:pPr>
        <w:pStyle w:val="ListParagraph"/>
        <w:numPr>
          <w:ilvl w:val="0"/>
          <w:numId w:val="7"/>
        </w:numPr>
        <w:ind w:hanging="357"/>
        <w:contextualSpacing w:val="0"/>
      </w:pPr>
      <w:r w:rsidRPr="00EA16AF">
        <w:rPr>
          <w:lang w:val="sv-SE"/>
        </w:rPr>
        <w:t xml:space="preserve">For NR Bands n7, n38, n41, n77, n78, and n79 the UE shall be </w:t>
      </w:r>
      <w:r w:rsidRPr="00EA16AF">
        <w:t>equipped with 4Rx ports as a baseline</w:t>
      </w:r>
    </w:p>
    <w:p w:rsidR="00EA16AF" w:rsidRPr="00EA16AF" w:rsidRDefault="00EA16AF" w:rsidP="00EA16AF">
      <w:pPr>
        <w:pStyle w:val="ListParagraph"/>
        <w:numPr>
          <w:ilvl w:val="1"/>
          <w:numId w:val="7"/>
        </w:numPr>
        <w:ind w:hanging="357"/>
        <w:contextualSpacing w:val="0"/>
      </w:pPr>
      <w:r w:rsidRPr="00EA16AF">
        <w:t>Applicability to other NR bands is FFS</w:t>
      </w:r>
    </w:p>
    <w:p w:rsidR="00EA16AF" w:rsidRPr="00EA16AF" w:rsidRDefault="00EA16AF" w:rsidP="00EA16AF">
      <w:pPr>
        <w:pStyle w:val="ListParagraph"/>
        <w:numPr>
          <w:ilvl w:val="1"/>
          <w:numId w:val="7"/>
        </w:numPr>
        <w:ind w:hanging="357"/>
        <w:contextualSpacing w:val="0"/>
      </w:pPr>
      <w:r w:rsidRPr="00EA16AF">
        <w:t>For NR band combinations with &gt; 2DL NR CCs and for certain UE types/categories, some exceptions to this requirement may be applicable in future</w:t>
      </w:r>
    </w:p>
    <w:p w:rsidR="00EA16AF" w:rsidRPr="00EA16AF" w:rsidRDefault="00EA16AF" w:rsidP="00EA16AF">
      <w:pPr>
        <w:pStyle w:val="ListParagraph"/>
        <w:numPr>
          <w:ilvl w:val="0"/>
          <w:numId w:val="7"/>
        </w:numPr>
        <w:ind w:hanging="357"/>
        <w:contextualSpacing w:val="0"/>
      </w:pPr>
      <w:r w:rsidRPr="00EA16AF">
        <w:rPr>
          <w:lang w:val="sv-SE"/>
        </w:rPr>
        <w:t xml:space="preserve">UE </w:t>
      </w:r>
      <w:r w:rsidRPr="00EA16AF">
        <w:t>equipped with 4Rx ports as a baseline shall fulfil all 4Rx demodulation performance requirements defined for downlink data and control</w:t>
      </w:r>
    </w:p>
    <w:p w:rsidR="00EA16AF" w:rsidRPr="00EA16AF" w:rsidRDefault="00EA16AF" w:rsidP="00EA16AF">
      <w:pPr>
        <w:pStyle w:val="ListParagraph"/>
        <w:numPr>
          <w:ilvl w:val="0"/>
          <w:numId w:val="8"/>
        </w:numPr>
        <w:ind w:hanging="357"/>
        <w:contextualSpacing w:val="0"/>
      </w:pPr>
      <w:r w:rsidRPr="00EA16AF">
        <w:rPr>
          <w:lang w:val="en-US"/>
        </w:rPr>
        <w:t>Fall back to 2Rx shall be allowed to save power</w:t>
      </w:r>
    </w:p>
    <w:p w:rsidR="00EA16AF" w:rsidRPr="00EA16AF" w:rsidRDefault="00EA16AF" w:rsidP="00EA16AF">
      <w:pPr>
        <w:pStyle w:val="ListParagraph"/>
        <w:numPr>
          <w:ilvl w:val="0"/>
          <w:numId w:val="8"/>
        </w:numPr>
        <w:ind w:hanging="357"/>
        <w:contextualSpacing w:val="0"/>
      </w:pPr>
      <w:r w:rsidRPr="00EA16AF">
        <w:rPr>
          <w:lang w:val="en-US"/>
        </w:rPr>
        <w:t>RRM Requirements will be based on 2Rx</w:t>
      </w:r>
    </w:p>
    <w:p w:rsidR="00EA16AF" w:rsidRPr="00EA16AF" w:rsidRDefault="00EA16AF" w:rsidP="00EA16AF">
      <w:pPr>
        <w:pStyle w:val="ListParagraph"/>
        <w:numPr>
          <w:ilvl w:val="1"/>
          <w:numId w:val="8"/>
        </w:numPr>
        <w:ind w:hanging="357"/>
        <w:contextualSpacing w:val="0"/>
      </w:pPr>
      <w:r w:rsidRPr="00EA16AF">
        <w:rPr>
          <w:lang w:val="en-US"/>
        </w:rPr>
        <w:t>RLM requirements shall be defined based on both 2RX and 4RX</w:t>
      </w:r>
    </w:p>
    <w:p w:rsidR="00EA16AF" w:rsidRPr="00F3704B" w:rsidRDefault="00EA16AF" w:rsidP="00EA16AF">
      <w:pPr>
        <w:pStyle w:val="ListParagraph"/>
        <w:numPr>
          <w:ilvl w:val="1"/>
          <w:numId w:val="8"/>
        </w:numPr>
        <w:ind w:hanging="357"/>
        <w:contextualSpacing w:val="0"/>
      </w:pPr>
      <w:r w:rsidRPr="00EA16AF">
        <w:rPr>
          <w:lang w:val="en-US"/>
        </w:rPr>
        <w:t>The proper antenna connection similar to LTE (defined in A.3.8.1 of TS36.133) will be defined to make 2Rx based RRM tests be applicable to NR UE equipped with 4Rx port.</w:t>
      </w:r>
    </w:p>
    <w:p w:rsidR="00F3704B" w:rsidRDefault="00F3704B" w:rsidP="00F3704B"/>
    <w:p w:rsidR="00F3704B" w:rsidRDefault="00F3704B" w:rsidP="00F3704B">
      <w:pPr>
        <w:pStyle w:val="Heading1"/>
      </w:pPr>
      <w:r>
        <w:t>4.</w:t>
      </w:r>
      <w:r>
        <w:tab/>
        <w:t>References</w:t>
      </w:r>
    </w:p>
    <w:p w:rsidR="00F3704B" w:rsidRPr="00F3704B" w:rsidRDefault="00F3704B" w:rsidP="00F3704B">
      <w:pPr>
        <w:ind w:left="1416" w:hanging="706"/>
        <w:rPr>
          <w:b/>
          <w:bCs/>
        </w:rPr>
      </w:pPr>
      <w:r>
        <w:t>[1]</w:t>
      </w:r>
      <w:r>
        <w:tab/>
        <w:t xml:space="preserve">R4-1714089; </w:t>
      </w:r>
      <w:r w:rsidRPr="00F3704B">
        <w:rPr>
          <w:bCs/>
          <w:lang w:val="en-US"/>
        </w:rPr>
        <w:t>WF on Mandatory 4Rx Requirements for NR in FR1; Vodafone, Huawei, HiSilicon, Intel, CMCC, Orange, Deutsche Telekom, Telia, Sprint,</w:t>
      </w:r>
      <w:r w:rsidR="004814C2">
        <w:rPr>
          <w:bCs/>
          <w:lang w:val="en-US"/>
        </w:rPr>
        <w:t xml:space="preserve"> </w:t>
      </w:r>
      <w:r w:rsidRPr="00F3704B">
        <w:rPr>
          <w:bCs/>
          <w:lang w:val="en-US"/>
        </w:rPr>
        <w:t>Telstra</w:t>
      </w:r>
      <w:r>
        <w:rPr>
          <w:bCs/>
          <w:lang w:val="en-US"/>
        </w:rPr>
        <w:t>; RAN4#85</w:t>
      </w:r>
    </w:p>
    <w:p w:rsidR="00F3704B" w:rsidRPr="00EA16AF" w:rsidRDefault="00F3704B" w:rsidP="00F3704B"/>
    <w:p w:rsidR="00EA16AF" w:rsidRPr="00EA16AF" w:rsidRDefault="00EA16AF" w:rsidP="00EA16AF"/>
    <w:sectPr w:rsidR="00EA16AF" w:rsidRPr="00EA16AF" w:rsidSect="00E07DF7">
      <w:pgSz w:w="11906" w:h="16838"/>
      <w:pgMar w:top="1417" w:right="1701"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tentative="1">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7"/>
  </w:num>
  <w:num w:numId="3">
    <w:abstractNumId w:val="5"/>
  </w:num>
  <w:num w:numId="4">
    <w:abstractNumId w:val="4"/>
  </w:num>
  <w:num w:numId="5">
    <w:abstractNumId w:val="3"/>
  </w:num>
  <w:num w:numId="6">
    <w:abstractNumId w:val="0"/>
  </w:num>
  <w:num w:numId="7">
    <w:abstractNumId w:val="1"/>
  </w:num>
  <w:num w:numId="8">
    <w:abstractNumId w:val="2"/>
  </w:num>
  <w:num w:numId="9">
    <w:abstractNumId w:val="9"/>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5726D"/>
    <w:rsid w:val="00065260"/>
    <w:rsid w:val="00070DB3"/>
    <w:rsid w:val="000E77D5"/>
    <w:rsid w:val="00245669"/>
    <w:rsid w:val="00256686"/>
    <w:rsid w:val="002E65DF"/>
    <w:rsid w:val="002F2EC7"/>
    <w:rsid w:val="003A6905"/>
    <w:rsid w:val="00413D47"/>
    <w:rsid w:val="00465ED3"/>
    <w:rsid w:val="004814C2"/>
    <w:rsid w:val="00727638"/>
    <w:rsid w:val="0073439A"/>
    <w:rsid w:val="007E5CE0"/>
    <w:rsid w:val="0081089F"/>
    <w:rsid w:val="00825D45"/>
    <w:rsid w:val="00864B3A"/>
    <w:rsid w:val="0088321A"/>
    <w:rsid w:val="00885662"/>
    <w:rsid w:val="00946524"/>
    <w:rsid w:val="009711D6"/>
    <w:rsid w:val="009B4500"/>
    <w:rsid w:val="00A23121"/>
    <w:rsid w:val="00B11D15"/>
    <w:rsid w:val="00B87B72"/>
    <w:rsid w:val="00BF537F"/>
    <w:rsid w:val="00C528E8"/>
    <w:rsid w:val="00C877BE"/>
    <w:rsid w:val="00D33C60"/>
    <w:rsid w:val="00E07DF7"/>
    <w:rsid w:val="00E266D3"/>
    <w:rsid w:val="00E65925"/>
    <w:rsid w:val="00E82F90"/>
    <w:rsid w:val="00EA16AF"/>
    <w:rsid w:val="00EC1DD9"/>
    <w:rsid w:val="00F3704B"/>
    <w:rsid w:val="00FD22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3CD1E"/>
  <w15:chartTrackingRefBased/>
  <w15:docId w15:val="{B71F313A-2456-4E29-B692-129A5C1CC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1089F"/>
    <w:pPr>
      <w:widowControl w:val="0"/>
      <w:spacing w:after="120"/>
      <w:ind w:left="36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eastAsia="x-none"/>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lang w:eastAsia="x-none"/>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eastAsia="x-none"/>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3704B"/>
    <w:pPr>
      <w:widowControl/>
      <w:spacing w:before="100" w:beforeAutospacing="1" w:after="100" w:afterAutospacing="1"/>
      <w:ind w:left="0"/>
      <w:jc w:val="left"/>
    </w:pPr>
    <w:rPr>
      <w:rFonts w:eastAsia="Times New Roman"/>
      <w:iCs w:val="0"/>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Frost, Tim, Vodafone Group</dc:creator>
  <cp:keywords/>
  <dc:description/>
  <cp:lastModifiedBy>Frost, Tim, Vodafone Group</cp:lastModifiedBy>
  <cp:revision>11</cp:revision>
  <dcterms:created xsi:type="dcterms:W3CDTF">2017-12-11T07:41:00Z</dcterms:created>
  <dcterms:modified xsi:type="dcterms:W3CDTF">2017-12-11T21:13:00Z</dcterms:modified>
</cp:coreProperties>
</file>