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74AD9" w14:textId="1981BBAA" w:rsidR="007E3C4A"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7D43C2">
        <w:rPr>
          <w:rFonts w:ascii="Arial" w:hAnsi="Arial" w:cs="Arial"/>
          <w:b/>
          <w:kern w:val="2"/>
          <w:sz w:val="24"/>
          <w:szCs w:val="24"/>
          <w:lang w:eastAsia="zh-CN"/>
        </w:rPr>
        <w:t>10</w:t>
      </w:r>
      <w:r w:rsidR="00870EA4">
        <w:rPr>
          <w:rFonts w:ascii="Arial" w:hAnsi="Arial" w:cs="Arial"/>
          <w:b/>
          <w:kern w:val="2"/>
          <w:sz w:val="24"/>
          <w:szCs w:val="24"/>
          <w:lang w:eastAsia="zh-CN"/>
        </w:rPr>
        <w:t>5</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670341">
        <w:rPr>
          <w:rFonts w:ascii="Arial" w:hAnsi="Arial" w:cs="Arial"/>
          <w:b/>
          <w:kern w:val="2"/>
          <w:sz w:val="24"/>
          <w:szCs w:val="24"/>
          <w:lang w:eastAsia="zh-CN"/>
        </w:rPr>
        <w:tab/>
      </w:r>
      <w:r w:rsidR="005C1221">
        <w:rPr>
          <w:rFonts w:ascii="Arial" w:hAnsi="Arial" w:cs="Arial"/>
          <w:b/>
          <w:kern w:val="2"/>
          <w:sz w:val="24"/>
          <w:szCs w:val="24"/>
          <w:lang w:eastAsia="zh-CN"/>
        </w:rPr>
        <w:tab/>
      </w:r>
      <w:r w:rsidR="00C3473F" w:rsidRPr="00C3473F">
        <w:rPr>
          <w:rFonts w:ascii="Arial" w:hAnsi="Arial" w:cs="Arial"/>
          <w:b/>
          <w:kern w:val="2"/>
          <w:sz w:val="24"/>
          <w:szCs w:val="24"/>
          <w:lang w:eastAsia="zh-CN"/>
        </w:rPr>
        <w:t>RP-242199</w:t>
      </w:r>
    </w:p>
    <w:p w14:paraId="0E0AA466" w14:textId="5D036B49" w:rsidR="005C1221" w:rsidRPr="004D606B" w:rsidRDefault="00870EA4" w:rsidP="00C27C45">
      <w:pPr>
        <w:jc w:val="left"/>
        <w:rPr>
          <w:b/>
        </w:rPr>
      </w:pPr>
      <w:r>
        <w:rPr>
          <w:rFonts w:ascii="Arial" w:hAnsi="Arial"/>
          <w:b/>
          <w:sz w:val="24"/>
        </w:rPr>
        <w:t>Melbourne, Australia</w:t>
      </w:r>
      <w:r w:rsidR="00670341">
        <w:rPr>
          <w:rFonts w:ascii="Arial" w:hAnsi="Arial"/>
          <w:b/>
          <w:sz w:val="24"/>
        </w:rPr>
        <w:t>,</w:t>
      </w:r>
      <w:r w:rsidR="00C3473F">
        <w:rPr>
          <w:rFonts w:ascii="Arial" w:hAnsi="Arial"/>
          <w:b/>
          <w:sz w:val="24"/>
        </w:rPr>
        <w:t xml:space="preserve"> 9-12 September</w:t>
      </w:r>
      <w:r w:rsidR="00915F50">
        <w:rPr>
          <w:rFonts w:ascii="Arial" w:hAnsi="Arial"/>
          <w:b/>
          <w:sz w:val="24"/>
        </w:rPr>
        <w:t>,</w:t>
      </w:r>
      <w:r w:rsidR="00670341">
        <w:rPr>
          <w:rFonts w:ascii="Arial" w:hAnsi="Arial"/>
          <w:b/>
          <w:sz w:val="24"/>
        </w:rPr>
        <w:t xml:space="preserve">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ADE40FC"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A2F1D" w:rsidRPr="001A2F1D">
        <w:rPr>
          <w:b/>
          <w:kern w:val="2"/>
          <w:lang w:eastAsia="zh-CN"/>
        </w:rPr>
        <w:t>9.</w:t>
      </w:r>
      <w:r w:rsidR="00E1603D">
        <w:rPr>
          <w:b/>
          <w:kern w:val="2"/>
          <w:lang w:eastAsia="zh-CN"/>
        </w:rPr>
        <w:t>2.2</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4E06E84E"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0E24E2" w:rsidRPr="000E24E2">
        <w:rPr>
          <w:b/>
          <w:kern w:val="2"/>
          <w:lang w:eastAsia="zh-CN"/>
        </w:rPr>
        <w:t>Rel-19 Ambient IoT clarifications</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592F31CA" w14:textId="7A0ADF36" w:rsidR="002B7267" w:rsidRPr="009D459C" w:rsidRDefault="00BF724F" w:rsidP="002B7267">
      <w:pPr>
        <w:rPr>
          <w:lang w:val="en-GB" w:eastAsia="zh-CN"/>
        </w:rPr>
      </w:pPr>
      <w:bookmarkStart w:id="2" w:name="_Ref129681832"/>
      <w:r>
        <w:rPr>
          <w:rFonts w:eastAsiaTheme="minorEastAsia"/>
          <w:lang w:eastAsia="zh-CN"/>
        </w:rPr>
        <w:t>After RAN#105, the Rel-19 Ambient IoT will enter the final quarter before the checkpoint in December 2024</w:t>
      </w:r>
      <w:r w:rsidR="0047249C">
        <w:rPr>
          <w:lang w:val="en-GB" w:eastAsia="zh-CN"/>
        </w:rPr>
        <w:t>.</w:t>
      </w:r>
      <w:r>
        <w:rPr>
          <w:lang w:val="en-GB" w:eastAsia="zh-CN"/>
        </w:rPr>
        <w:t xml:space="preserve"> It continues to be clearly of urgent commercial necessity to convert the SI into a Rel-19 WI</w:t>
      </w:r>
      <w:r w:rsidR="00883215">
        <w:rPr>
          <w:lang w:val="en-GB" w:eastAsia="zh-CN"/>
        </w:rPr>
        <w:t xml:space="preserve"> at that time</w:t>
      </w:r>
      <w:r>
        <w:rPr>
          <w:lang w:val="en-GB" w:eastAsia="zh-CN"/>
        </w:rPr>
        <w:t xml:space="preserve">. This paper proposes some guidance </w:t>
      </w:r>
      <w:r w:rsidR="00883215">
        <w:rPr>
          <w:lang w:val="en-GB" w:eastAsia="zh-CN"/>
        </w:rPr>
        <w:t>to</w:t>
      </w:r>
      <w:r>
        <w:rPr>
          <w:lang w:val="en-GB" w:eastAsia="zh-CN"/>
        </w:rPr>
        <w:t xml:space="preserve"> help</w:t>
      </w:r>
      <w:r w:rsidR="00883215">
        <w:rPr>
          <w:lang w:val="en-GB" w:eastAsia="zh-CN"/>
        </w:rPr>
        <w:t xml:space="preserve"> RAN</w:t>
      </w:r>
      <w:r>
        <w:rPr>
          <w:lang w:val="en-GB" w:eastAsia="zh-CN"/>
        </w:rPr>
        <w:t xml:space="preserve"> WGs achieve that goal.</w:t>
      </w:r>
    </w:p>
    <w:p w14:paraId="0295F9A3" w14:textId="74ACDF65" w:rsidR="002B7267" w:rsidRPr="00E4139F" w:rsidRDefault="00203874" w:rsidP="002B7267">
      <w:pPr>
        <w:pStyle w:val="Heading1"/>
        <w:rPr>
          <w:lang w:eastAsia="zh-CN"/>
        </w:rPr>
      </w:pPr>
      <w:r>
        <w:rPr>
          <w:lang w:eastAsia="zh-CN"/>
        </w:rPr>
        <w:t xml:space="preserve">Ambient IoT </w:t>
      </w:r>
      <w:r w:rsidR="00530D40">
        <w:rPr>
          <w:lang w:eastAsia="zh-CN"/>
        </w:rPr>
        <w:t>SI w</w:t>
      </w:r>
      <w:r w:rsidR="00A54342">
        <w:rPr>
          <w:lang w:eastAsia="zh-CN"/>
        </w:rPr>
        <w:t>orkplan management</w:t>
      </w:r>
    </w:p>
    <w:p w14:paraId="079EC469" w14:textId="0DD22044" w:rsidR="00C22210" w:rsidRDefault="00851D09" w:rsidP="000B0BBE">
      <w:pPr>
        <w:rPr>
          <w:lang w:eastAsia="zh-CN"/>
        </w:rPr>
      </w:pPr>
      <w:r>
        <w:rPr>
          <w:lang w:eastAsia="zh-CN"/>
        </w:rPr>
        <w:t>In RAN1, the</w:t>
      </w:r>
      <w:r w:rsidR="00C25876">
        <w:rPr>
          <w:lang w:eastAsia="zh-CN"/>
        </w:rPr>
        <w:t xml:space="preserve"> </w:t>
      </w:r>
      <w:r w:rsidR="009D459C">
        <w:rPr>
          <w:lang w:eastAsia="zh-CN"/>
        </w:rPr>
        <w:t xml:space="preserve">Ambient IoT </w:t>
      </w:r>
      <w:r w:rsidR="00C25876">
        <w:rPr>
          <w:lang w:eastAsia="zh-CN"/>
        </w:rPr>
        <w:t xml:space="preserve">SI is </w:t>
      </w:r>
      <w:r>
        <w:rPr>
          <w:lang w:eastAsia="zh-CN"/>
        </w:rPr>
        <w:t>functionally</w:t>
      </w:r>
      <w:r w:rsidR="00C25876">
        <w:rPr>
          <w:lang w:eastAsia="zh-CN"/>
        </w:rPr>
        <w:t xml:space="preserve"> divided into </w:t>
      </w:r>
      <w:r w:rsidR="00C77A7E">
        <w:rPr>
          <w:lang w:eastAsia="zh-CN"/>
        </w:rPr>
        <w:t>4</w:t>
      </w:r>
      <w:r w:rsidR="00C25876">
        <w:rPr>
          <w:lang w:eastAsia="zh-CN"/>
        </w:rPr>
        <w:t xml:space="preserve"> parts</w:t>
      </w:r>
      <w:r w:rsidR="004F427A">
        <w:rPr>
          <w:lang w:eastAsia="zh-CN"/>
        </w:rPr>
        <w:t>, which collect the objectives of the SID</w:t>
      </w:r>
      <w:r w:rsidR="00C25876">
        <w:rPr>
          <w:lang w:eastAsia="zh-CN"/>
        </w:rPr>
        <w:t>:</w:t>
      </w:r>
    </w:p>
    <w:p w14:paraId="53426D97" w14:textId="241EDDE9" w:rsidR="00C25876" w:rsidRDefault="00C25876" w:rsidP="00C25876">
      <w:pPr>
        <w:pStyle w:val="ListParagraph"/>
        <w:numPr>
          <w:ilvl w:val="0"/>
          <w:numId w:val="25"/>
        </w:numPr>
        <w:ind w:firstLineChars="0"/>
        <w:rPr>
          <w:lang w:eastAsia="ko-KR"/>
        </w:rPr>
      </w:pPr>
      <w:r>
        <w:rPr>
          <w:lang w:eastAsia="ko-KR"/>
        </w:rPr>
        <w:t>Evaluation</w:t>
      </w:r>
      <w:r w:rsidR="00C77A7E">
        <w:rPr>
          <w:lang w:eastAsia="ko-KR"/>
        </w:rPr>
        <w:t xml:space="preserve"> assumptions</w:t>
      </w:r>
    </w:p>
    <w:p w14:paraId="4F33F295" w14:textId="7CA5BE27" w:rsidR="00C77A7E" w:rsidRDefault="00C77A7E" w:rsidP="00C25876">
      <w:pPr>
        <w:pStyle w:val="ListParagraph"/>
        <w:numPr>
          <w:ilvl w:val="0"/>
          <w:numId w:val="25"/>
        </w:numPr>
        <w:ind w:firstLineChars="0"/>
        <w:rPr>
          <w:lang w:eastAsia="ko-KR"/>
        </w:rPr>
      </w:pPr>
      <w:r>
        <w:rPr>
          <w:lang w:eastAsia="ko-KR"/>
        </w:rPr>
        <w:t>Device architectures</w:t>
      </w:r>
    </w:p>
    <w:p w14:paraId="7CA9BF8A" w14:textId="7CD5786F" w:rsidR="00C25876" w:rsidRDefault="00C25876" w:rsidP="00C25876">
      <w:pPr>
        <w:pStyle w:val="ListParagraph"/>
        <w:numPr>
          <w:ilvl w:val="0"/>
          <w:numId w:val="25"/>
        </w:numPr>
        <w:ind w:firstLineChars="0"/>
        <w:rPr>
          <w:lang w:eastAsia="ko-KR"/>
        </w:rPr>
      </w:pPr>
      <w:r>
        <w:rPr>
          <w:lang w:eastAsia="ko-KR"/>
        </w:rPr>
        <w:t>Solutions, i.e. design</w:t>
      </w:r>
      <w:r w:rsidR="005738FD">
        <w:rPr>
          <w:lang w:eastAsia="ko-KR"/>
        </w:rPr>
        <w:t xml:space="preserve"> of the physical layer</w:t>
      </w:r>
    </w:p>
    <w:p w14:paraId="087466B5" w14:textId="4F854E1C" w:rsidR="00C25876" w:rsidRPr="00C25876" w:rsidRDefault="00C25876" w:rsidP="00C25876">
      <w:pPr>
        <w:pStyle w:val="ListParagraph"/>
        <w:numPr>
          <w:ilvl w:val="0"/>
          <w:numId w:val="25"/>
        </w:numPr>
        <w:ind w:firstLineChars="0"/>
        <w:rPr>
          <w:lang w:eastAsia="ko-KR"/>
        </w:rPr>
      </w:pPr>
      <w:r>
        <w:rPr>
          <w:lang w:eastAsia="ko-KR"/>
        </w:rPr>
        <w:t>Carrier-wave</w:t>
      </w:r>
      <w:r w:rsidR="00176EB9">
        <w:rPr>
          <w:lang w:eastAsia="ko-KR"/>
        </w:rPr>
        <w:t xml:space="preserve"> waveform</w:t>
      </w:r>
      <w:r>
        <w:rPr>
          <w:lang w:eastAsia="ko-KR"/>
        </w:rPr>
        <w:t xml:space="preserve"> characteristics</w:t>
      </w:r>
    </w:p>
    <w:p w14:paraId="20C23C5C" w14:textId="50B3CC0E" w:rsidR="0042429A" w:rsidRDefault="004F427A" w:rsidP="0042429A">
      <w:pPr>
        <w:rPr>
          <w:rFonts w:eastAsiaTheme="minorEastAsia"/>
          <w:lang w:eastAsia="zh-CN"/>
        </w:rPr>
      </w:pPr>
      <w:r>
        <w:rPr>
          <w:rFonts w:eastAsiaTheme="minorEastAsia"/>
          <w:lang w:eastAsia="zh-CN"/>
        </w:rPr>
        <w:t xml:space="preserve">Relevant to this paper, there are separate RAN1 Feature Leads assigned to the #2 device architectures, and #4 CW waveform characteristics </w:t>
      </w:r>
      <w:r w:rsidR="00EA23B6">
        <w:rPr>
          <w:rFonts w:eastAsiaTheme="minorEastAsia"/>
          <w:lang w:eastAsia="zh-CN"/>
        </w:rPr>
        <w:t>parts, since each is discussed under a dedicated agenda item in RAN1</w:t>
      </w:r>
      <w:r w:rsidR="00B2494A">
        <w:rPr>
          <w:rFonts w:eastAsiaTheme="minorEastAsia"/>
          <w:lang w:eastAsia="zh-CN"/>
        </w:rPr>
        <w:t>.</w:t>
      </w:r>
      <w:r>
        <w:rPr>
          <w:rFonts w:eastAsiaTheme="minorEastAsia"/>
          <w:lang w:eastAsia="zh-CN"/>
        </w:rPr>
        <w:t xml:space="preserve"> The SID and its mapping, in relevant part, to the RAN1 agenda is excerpted in Figure 1.</w:t>
      </w:r>
    </w:p>
    <w:p w14:paraId="5CFF829A" w14:textId="20770DA9" w:rsidR="004F427A" w:rsidRPr="00333C29" w:rsidRDefault="004F427A" w:rsidP="0042429A">
      <w:pPr>
        <w:rPr>
          <w:rFonts w:eastAsiaTheme="minorEastAsia"/>
          <w:lang w:eastAsia="zh-CN"/>
        </w:rPr>
      </w:pPr>
      <w:r>
        <w:rPr>
          <w:rFonts w:eastAsiaTheme="minorEastAsia"/>
          <w:lang w:eastAsia="zh-CN"/>
        </w:rPr>
        <w:t>We have observed uncertainty among companies, and RAN1 Feature Leads, on what should be done in RAN1 for the remaining time of the SI on (i) device architectures and (ii) carrier-wave waveform characteristics.</w:t>
      </w:r>
    </w:p>
    <w:tbl>
      <w:tblPr>
        <w:tblStyle w:val="TableGrid"/>
        <w:tblW w:w="0" w:type="auto"/>
        <w:tblLook w:val="04A0" w:firstRow="1" w:lastRow="0" w:firstColumn="1" w:lastColumn="0" w:noHBand="0" w:noVBand="1"/>
      </w:tblPr>
      <w:tblGrid>
        <w:gridCol w:w="9307"/>
      </w:tblGrid>
      <w:tr w:rsidR="00A7767C" w14:paraId="249417D2" w14:textId="77777777" w:rsidTr="00A7767C">
        <w:tc>
          <w:tcPr>
            <w:tcW w:w="9307" w:type="dxa"/>
          </w:tcPr>
          <w:p w14:paraId="10DEF656" w14:textId="3B0ED2F5" w:rsidR="006C4BCA" w:rsidRPr="0042589D" w:rsidRDefault="006C4BCA" w:rsidP="00A7767C">
            <w:pPr>
              <w:overflowPunct w:val="0"/>
              <w:snapToGrid/>
              <w:ind w:right="-96"/>
              <w:textAlignment w:val="baseline"/>
              <w:rPr>
                <w:i/>
                <w:iCs/>
                <w:sz w:val="20"/>
                <w:szCs w:val="20"/>
                <w:lang w:eastAsia="ja-JP"/>
              </w:rPr>
            </w:pPr>
            <w:r w:rsidRPr="0042589D">
              <w:rPr>
                <w:i/>
                <w:iCs/>
                <w:sz w:val="20"/>
                <w:szCs w:val="20"/>
                <w:lang w:eastAsia="ja-JP"/>
              </w:rPr>
              <w:t xml:space="preserve">Discussed under RAN1 agenda item </w:t>
            </w:r>
            <w:r w:rsidRPr="0042589D">
              <w:rPr>
                <w:i/>
                <w:iCs/>
                <w:color w:val="00B0F0"/>
                <w:sz w:val="20"/>
                <w:szCs w:val="20"/>
                <w:lang w:eastAsia="ja-JP"/>
              </w:rPr>
              <w:t>9.4.1.2</w:t>
            </w:r>
            <w:r w:rsidR="001F7D42">
              <w:rPr>
                <w:i/>
                <w:iCs/>
                <w:color w:val="00B0F0"/>
                <w:sz w:val="20"/>
                <w:szCs w:val="20"/>
                <w:lang w:eastAsia="ja-JP"/>
              </w:rPr>
              <w:t xml:space="preserve"> (device architectures)</w:t>
            </w:r>
            <w:r w:rsidRPr="0042589D">
              <w:rPr>
                <w:i/>
                <w:iCs/>
                <w:sz w:val="20"/>
                <w:szCs w:val="20"/>
                <w:lang w:eastAsia="ja-JP"/>
              </w:rPr>
              <w:t xml:space="preserve">, </w:t>
            </w:r>
            <w:r w:rsidRPr="0042589D">
              <w:rPr>
                <w:i/>
                <w:iCs/>
                <w:color w:val="E36C0A" w:themeColor="accent6" w:themeShade="BF"/>
                <w:sz w:val="20"/>
                <w:szCs w:val="20"/>
                <w:lang w:eastAsia="ja-JP"/>
              </w:rPr>
              <w:t>9.4.2.4</w:t>
            </w:r>
            <w:r w:rsidR="001F7D42">
              <w:rPr>
                <w:i/>
                <w:iCs/>
                <w:color w:val="E36C0A" w:themeColor="accent6" w:themeShade="BF"/>
                <w:sz w:val="20"/>
                <w:szCs w:val="20"/>
                <w:lang w:eastAsia="ja-JP"/>
              </w:rPr>
              <w:t xml:space="preserve"> (CW waveform characteristics)</w:t>
            </w:r>
          </w:p>
          <w:p w14:paraId="5AD15229" w14:textId="34D9B140" w:rsidR="003D0108" w:rsidRPr="003D0108" w:rsidRDefault="003D0108" w:rsidP="00A7767C">
            <w:pPr>
              <w:overflowPunct w:val="0"/>
              <w:snapToGrid/>
              <w:ind w:right="-96"/>
              <w:textAlignment w:val="baseline"/>
              <w:rPr>
                <w:b/>
                <w:bCs/>
                <w:sz w:val="20"/>
                <w:szCs w:val="20"/>
                <w:u w:val="single"/>
                <w:lang w:eastAsia="ja-JP"/>
              </w:rPr>
            </w:pPr>
            <w:r w:rsidRPr="003D0108">
              <w:rPr>
                <w:b/>
                <w:bCs/>
                <w:sz w:val="20"/>
                <w:szCs w:val="20"/>
                <w:u w:val="single"/>
                <w:lang w:eastAsia="ja-JP"/>
              </w:rPr>
              <w:t>From SID [2]:</w:t>
            </w:r>
          </w:p>
          <w:p w14:paraId="5FAF19AB" w14:textId="4E923A3F" w:rsidR="00A7767C" w:rsidRPr="00A7767C" w:rsidRDefault="00A7767C" w:rsidP="00A7767C">
            <w:pPr>
              <w:overflowPunct w:val="0"/>
              <w:snapToGrid/>
              <w:ind w:right="-96"/>
              <w:textAlignment w:val="baseline"/>
              <w:rPr>
                <w:b/>
                <w:sz w:val="20"/>
                <w:szCs w:val="20"/>
                <w:lang w:eastAsia="ja-JP"/>
              </w:rPr>
            </w:pPr>
            <w:r w:rsidRPr="00A7767C">
              <w:rPr>
                <w:sz w:val="20"/>
                <w:szCs w:val="20"/>
                <w:lang w:eastAsia="ja-JP"/>
              </w:rPr>
              <w:t>The following objectives are set, within the General Scope:</w:t>
            </w:r>
          </w:p>
          <w:p w14:paraId="6C92B0FD" w14:textId="13DEDFCF" w:rsidR="00A7767C" w:rsidRDefault="00A7767C" w:rsidP="006C4BCA">
            <w:pPr>
              <w:numPr>
                <w:ilvl w:val="0"/>
                <w:numId w:val="26"/>
              </w:numPr>
              <w:overflowPunct w:val="0"/>
              <w:snapToGrid/>
              <w:spacing w:after="180"/>
              <w:ind w:right="-96"/>
              <w:jc w:val="left"/>
              <w:textAlignment w:val="baseline"/>
              <w:rPr>
                <w:sz w:val="20"/>
                <w:szCs w:val="20"/>
                <w:lang w:eastAsia="ja-JP"/>
              </w:rPr>
            </w:pPr>
            <w:r w:rsidRPr="00A7767C">
              <w:rPr>
                <w:sz w:val="20"/>
                <w:szCs w:val="20"/>
                <w:lang w:eastAsia="ja-JP"/>
              </w:rPr>
              <w:t>Evaluation assumptions</w:t>
            </w:r>
          </w:p>
          <w:p w14:paraId="683CB96D" w14:textId="664C32BB" w:rsidR="006C4BCA" w:rsidRPr="00A7767C" w:rsidRDefault="006C4BCA" w:rsidP="006C4BCA">
            <w:pPr>
              <w:overflowPunct w:val="0"/>
              <w:snapToGrid/>
              <w:spacing w:after="180"/>
              <w:ind w:left="360" w:right="-96"/>
              <w:jc w:val="left"/>
              <w:textAlignment w:val="baseline"/>
              <w:rPr>
                <w:sz w:val="20"/>
                <w:szCs w:val="20"/>
                <w:lang w:eastAsia="ja-JP"/>
              </w:rPr>
            </w:pPr>
            <w:r>
              <w:rPr>
                <w:sz w:val="20"/>
                <w:szCs w:val="20"/>
                <w:lang w:eastAsia="ja-JP"/>
              </w:rPr>
              <w:t>…</w:t>
            </w:r>
          </w:p>
          <w:p w14:paraId="726A78C7" w14:textId="77777777" w:rsidR="006C4BCA" w:rsidRPr="006C4BCA" w:rsidRDefault="006C4BCA" w:rsidP="00A7767C">
            <w:pPr>
              <w:pStyle w:val="ListParagraph"/>
              <w:numPr>
                <w:ilvl w:val="0"/>
                <w:numId w:val="27"/>
              </w:numPr>
              <w:overflowPunct w:val="0"/>
              <w:snapToGrid/>
              <w:spacing w:after="180"/>
              <w:ind w:right="-96" w:firstLineChars="0"/>
              <w:jc w:val="left"/>
              <w:textAlignment w:val="baseline"/>
              <w:rPr>
                <w:rFonts w:eastAsia="DengXian"/>
                <w:vanish/>
                <w:sz w:val="20"/>
                <w:szCs w:val="20"/>
                <w:lang w:val="en-GB" w:eastAsia="en-GB"/>
              </w:rPr>
            </w:pPr>
          </w:p>
          <w:p w14:paraId="48E5ABAE" w14:textId="77777777" w:rsidR="006C4BCA" w:rsidRPr="006C4BCA" w:rsidRDefault="006C4BCA" w:rsidP="00A7767C">
            <w:pPr>
              <w:pStyle w:val="ListParagraph"/>
              <w:numPr>
                <w:ilvl w:val="0"/>
                <w:numId w:val="27"/>
              </w:numPr>
              <w:overflowPunct w:val="0"/>
              <w:snapToGrid/>
              <w:spacing w:after="180"/>
              <w:ind w:right="-96" w:firstLineChars="0"/>
              <w:jc w:val="left"/>
              <w:textAlignment w:val="baseline"/>
              <w:rPr>
                <w:rFonts w:eastAsia="DengXian"/>
                <w:vanish/>
                <w:sz w:val="20"/>
                <w:szCs w:val="20"/>
                <w:lang w:val="en-GB" w:eastAsia="en-GB"/>
              </w:rPr>
            </w:pPr>
          </w:p>
          <w:p w14:paraId="529CDA90" w14:textId="79A84ED8" w:rsidR="00A7767C" w:rsidRPr="00A7767C" w:rsidRDefault="00A7767C" w:rsidP="00A7767C">
            <w:pPr>
              <w:numPr>
                <w:ilvl w:val="0"/>
                <w:numId w:val="27"/>
              </w:numPr>
              <w:overflowPunct w:val="0"/>
              <w:snapToGrid/>
              <w:spacing w:after="180"/>
              <w:ind w:right="-96"/>
              <w:jc w:val="left"/>
              <w:textAlignment w:val="baseline"/>
              <w:rPr>
                <w:color w:val="00B0F0"/>
                <w:sz w:val="20"/>
                <w:szCs w:val="20"/>
                <w:lang w:val="en-GB" w:eastAsia="ja-JP"/>
              </w:rPr>
            </w:pPr>
            <w:r w:rsidRPr="00A7767C">
              <w:rPr>
                <w:rFonts w:eastAsia="DengXian" w:hint="eastAsia"/>
                <w:color w:val="00B0F0"/>
                <w:sz w:val="20"/>
                <w:szCs w:val="20"/>
                <w:lang w:val="en-GB" w:eastAsia="en-GB"/>
              </w:rPr>
              <w:t xml:space="preserve">Identify basic blocks/components of possible Ambient IoT </w:t>
            </w:r>
            <w:r w:rsidRPr="00A7767C">
              <w:rPr>
                <w:rFonts w:eastAsia="DengXian"/>
                <w:color w:val="00B0F0"/>
                <w:sz w:val="20"/>
                <w:szCs w:val="20"/>
                <w:lang w:val="en-GB" w:eastAsia="en-GB"/>
              </w:rPr>
              <w:t>device architectures, taking into account state of the art implementations of low-power low-complexity devices which meet the RAN design target for power consumption and complexity. [RAN1]</w:t>
            </w:r>
          </w:p>
          <w:p w14:paraId="3B3686D3" w14:textId="449C306C" w:rsidR="00280D37" w:rsidRPr="004F668A" w:rsidRDefault="006C4BCA" w:rsidP="004F668A">
            <w:pPr>
              <w:overflowPunct w:val="0"/>
              <w:snapToGrid/>
              <w:ind w:left="360" w:right="-96"/>
              <w:jc w:val="left"/>
              <w:textAlignment w:val="baseline"/>
              <w:rPr>
                <w:sz w:val="20"/>
                <w:szCs w:val="20"/>
                <w:lang w:eastAsia="ja-JP"/>
              </w:rPr>
            </w:pPr>
            <w:r>
              <w:rPr>
                <w:sz w:val="20"/>
                <w:szCs w:val="20"/>
                <w:lang w:eastAsia="ja-JP"/>
              </w:rPr>
              <w:t>…</w:t>
            </w:r>
          </w:p>
          <w:p w14:paraId="16DB5BCC" w14:textId="77777777" w:rsidR="00280D37" w:rsidRPr="00280D37" w:rsidRDefault="00280D37" w:rsidP="00280D37">
            <w:pPr>
              <w:numPr>
                <w:ilvl w:val="0"/>
                <w:numId w:val="26"/>
              </w:numPr>
              <w:overflowPunct w:val="0"/>
              <w:snapToGrid/>
              <w:spacing w:after="180"/>
              <w:ind w:right="-96"/>
              <w:jc w:val="left"/>
              <w:textAlignment w:val="baseline"/>
              <w:rPr>
                <w:sz w:val="20"/>
                <w:szCs w:val="20"/>
                <w:lang w:eastAsia="ja-JP"/>
              </w:rPr>
            </w:pPr>
            <w:r w:rsidRPr="00280D37">
              <w:rPr>
                <w:sz w:val="20"/>
                <w:szCs w:val="20"/>
                <w:lang w:eastAsia="ja-JP"/>
              </w:rPr>
              <w:t xml:space="preserve">Study necessary and feasible </w:t>
            </w:r>
            <w:r w:rsidRPr="00280D37">
              <w:rPr>
                <w:sz w:val="20"/>
                <w:szCs w:val="20"/>
                <w:lang w:val="en-GB" w:eastAsia="ja-JP"/>
              </w:rPr>
              <w:t>solutions</w:t>
            </w:r>
            <w:r w:rsidRPr="00280D37">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009FD9FF" w14:textId="23A3C006" w:rsidR="00280D37" w:rsidRPr="00280D37" w:rsidRDefault="00280D37" w:rsidP="00280D37">
            <w:pPr>
              <w:overflowPunct w:val="0"/>
              <w:snapToGrid/>
              <w:spacing w:after="180"/>
              <w:ind w:right="-96"/>
              <w:jc w:val="left"/>
              <w:textAlignment w:val="baseline"/>
              <w:rPr>
                <w:sz w:val="20"/>
                <w:szCs w:val="20"/>
                <w:lang w:eastAsia="ja-JP"/>
              </w:rPr>
            </w:pPr>
            <w:r>
              <w:rPr>
                <w:sz w:val="20"/>
                <w:szCs w:val="20"/>
                <w:lang w:eastAsia="ja-JP"/>
              </w:rPr>
              <w:tab/>
              <w:t>…</w:t>
            </w:r>
          </w:p>
          <w:p w14:paraId="0F7ACD6D" w14:textId="77777777" w:rsidR="00280D37" w:rsidRPr="00280D37" w:rsidRDefault="00280D37" w:rsidP="00280D37">
            <w:pPr>
              <w:numPr>
                <w:ilvl w:val="1"/>
                <w:numId w:val="28"/>
              </w:numPr>
              <w:overflowPunct w:val="0"/>
              <w:snapToGrid/>
              <w:spacing w:after="180"/>
              <w:ind w:right="-96"/>
              <w:jc w:val="left"/>
              <w:textAlignment w:val="baseline"/>
              <w:rPr>
                <w:color w:val="E36C0A" w:themeColor="accent6" w:themeShade="BF"/>
                <w:sz w:val="20"/>
                <w:szCs w:val="20"/>
                <w:lang w:eastAsia="ja-JP"/>
              </w:rPr>
            </w:pPr>
            <w:r w:rsidRPr="00280D37">
              <w:rPr>
                <w:color w:val="E36C0A" w:themeColor="accent6" w:themeShade="BF"/>
                <w:sz w:val="20"/>
                <w:szCs w:val="20"/>
                <w:lang w:eastAsia="ja-JP"/>
              </w:rPr>
              <w:t xml:space="preserve">Study </w:t>
            </w:r>
            <w:bookmarkStart w:id="3" w:name="_Hlk167799562"/>
            <w:r w:rsidRPr="00280D37">
              <w:rPr>
                <w:color w:val="E36C0A" w:themeColor="accent6" w:themeShade="BF"/>
                <w:sz w:val="20"/>
                <w:szCs w:val="20"/>
                <w:lang w:eastAsia="ja-JP"/>
              </w:rPr>
              <w:t xml:space="preserve">necessary characteristics of carrier-wave waveform </w:t>
            </w:r>
            <w:bookmarkEnd w:id="3"/>
            <w:r w:rsidRPr="00280D37">
              <w:rPr>
                <w:color w:val="E36C0A" w:themeColor="accent6" w:themeShade="BF"/>
                <w:sz w:val="20"/>
                <w:szCs w:val="20"/>
                <w:lang w:eastAsia="ja-JP"/>
              </w:rPr>
              <w:t xml:space="preserve">for a carrier wave provided externally to the Ambient IoT device, including for interference handling at Ambient IoT UL receiver, and at NR basestation. </w:t>
            </w:r>
          </w:p>
          <w:p w14:paraId="58A3F252" w14:textId="5CB88E92" w:rsidR="00280D37" w:rsidRPr="00280D37" w:rsidRDefault="00280D37" w:rsidP="00867809">
            <w:pPr>
              <w:keepNext/>
              <w:overflowPunct w:val="0"/>
              <w:snapToGrid/>
              <w:ind w:right="-96"/>
              <w:textAlignment w:val="baseline"/>
              <w:rPr>
                <w:sz w:val="20"/>
                <w:szCs w:val="20"/>
                <w:lang w:eastAsia="ja-JP"/>
              </w:rPr>
            </w:pPr>
            <w:r>
              <w:rPr>
                <w:sz w:val="20"/>
                <w:szCs w:val="20"/>
                <w:lang w:eastAsia="ja-JP"/>
              </w:rPr>
              <w:tab/>
              <w:t>…</w:t>
            </w:r>
          </w:p>
        </w:tc>
      </w:tr>
    </w:tbl>
    <w:p w14:paraId="35C5E6A8" w14:textId="06DB419F" w:rsidR="0042429A" w:rsidRDefault="00867809" w:rsidP="00867809">
      <w:pPr>
        <w:pStyle w:val="Caption"/>
      </w:pPr>
      <w:r>
        <w:t xml:space="preserve">Figure </w:t>
      </w:r>
      <w:r w:rsidR="00D00226">
        <w:fldChar w:fldCharType="begin"/>
      </w:r>
      <w:r w:rsidR="00D00226">
        <w:instrText xml:space="preserve"> SEQ Figure \* ARABIC </w:instrText>
      </w:r>
      <w:r w:rsidR="00D00226">
        <w:fldChar w:fldCharType="separate"/>
      </w:r>
      <w:r w:rsidR="00333C29">
        <w:rPr>
          <w:noProof/>
        </w:rPr>
        <w:t>1</w:t>
      </w:r>
      <w:r w:rsidR="00D00226">
        <w:rPr>
          <w:noProof/>
        </w:rPr>
        <w:fldChar w:fldCharType="end"/>
      </w:r>
      <w:r>
        <w:t xml:space="preserve">: SID objectives on device architectures, and CW </w:t>
      </w:r>
      <w:r w:rsidR="00176EB9">
        <w:t>characteristics</w:t>
      </w:r>
    </w:p>
    <w:p w14:paraId="3E8F9B32" w14:textId="1208EDAB" w:rsidR="00333C29" w:rsidRDefault="00333C29" w:rsidP="00333C29">
      <w:pPr>
        <w:pStyle w:val="Heading2"/>
      </w:pPr>
      <w:r>
        <w:lastRenderedPageBreak/>
        <w:t>A-IoT device architectures</w:t>
      </w:r>
      <w:r w:rsidR="00CF0DE3">
        <w:t xml:space="preserve"> (RAN1)</w:t>
      </w:r>
    </w:p>
    <w:p w14:paraId="1CE14A55" w14:textId="676EDDEB" w:rsidR="00C22210" w:rsidRDefault="00BF724F" w:rsidP="0034068D">
      <w:r>
        <w:t>The final feature lead summary from RAN1#118 [</w:t>
      </w:r>
      <w:r w:rsidR="00D60EC2">
        <w:t>3</w:t>
      </w:r>
      <w:r>
        <w:t xml:space="preserve">] </w:t>
      </w:r>
      <w:r w:rsidR="00357E01">
        <w:t>lists two remaining open issues</w:t>
      </w:r>
      <w:r>
        <w:t>:</w:t>
      </w:r>
    </w:p>
    <w:p w14:paraId="21114E90" w14:textId="77777777" w:rsidR="006F1416" w:rsidRDefault="006F1416" w:rsidP="0034068D"/>
    <w:p w14:paraId="0ED991D6" w14:textId="7FC8CE1C" w:rsidR="00BF724F" w:rsidRDefault="00D60EC2" w:rsidP="006F1416">
      <w:pPr>
        <w:pStyle w:val="ListParagraph"/>
        <w:numPr>
          <w:ilvl w:val="0"/>
          <w:numId w:val="35"/>
        </w:numPr>
        <w:ind w:firstLineChars="0"/>
        <w:rPr>
          <w:rFonts w:eastAsiaTheme="minorEastAsia"/>
          <w:lang w:eastAsia="zh-CN"/>
        </w:rPr>
      </w:pPr>
      <w:r>
        <w:rPr>
          <w:rFonts w:eastAsiaTheme="minorEastAsia"/>
          <w:lang w:eastAsia="zh-CN"/>
        </w:rPr>
        <w:t>“Purposes of c</w:t>
      </w:r>
      <w:r w:rsidR="006F1416">
        <w:rPr>
          <w:rFonts w:eastAsiaTheme="minorEastAsia"/>
          <w:lang w:eastAsia="zh-CN"/>
        </w:rPr>
        <w:t>locks</w:t>
      </w:r>
      <w:r>
        <w:rPr>
          <w:rFonts w:eastAsiaTheme="minorEastAsia"/>
          <w:lang w:eastAsia="zh-CN"/>
        </w:rPr>
        <w:t>”</w:t>
      </w:r>
      <w:r w:rsidR="006F1416">
        <w:rPr>
          <w:rFonts w:eastAsiaTheme="minorEastAsia"/>
          <w:lang w:eastAsia="zh-CN"/>
        </w:rPr>
        <w:t xml:space="preserve"> table – a description of various clocking functions an A-IoT device might contain, </w:t>
      </w:r>
      <w:r>
        <w:rPr>
          <w:rFonts w:eastAsiaTheme="minorEastAsia"/>
          <w:lang w:eastAsia="zh-CN"/>
        </w:rPr>
        <w:t>their</w:t>
      </w:r>
      <w:r w:rsidR="006F1416">
        <w:rPr>
          <w:rFonts w:eastAsiaTheme="minorEastAsia"/>
          <w:lang w:eastAsia="zh-CN"/>
        </w:rPr>
        <w:t xml:space="preserve"> speed, accuracy, and so on.</w:t>
      </w:r>
    </w:p>
    <w:p w14:paraId="2223A9CA" w14:textId="68A3D422" w:rsidR="006F1416" w:rsidRDefault="006F1416" w:rsidP="006F1416">
      <w:pPr>
        <w:pStyle w:val="ListParagraph"/>
        <w:numPr>
          <w:ilvl w:val="0"/>
          <w:numId w:val="35"/>
        </w:numPr>
        <w:ind w:firstLineChars="0"/>
        <w:rPr>
          <w:rFonts w:eastAsiaTheme="minorEastAsia"/>
          <w:lang w:eastAsia="zh-CN"/>
        </w:rPr>
      </w:pPr>
      <w:r>
        <w:rPr>
          <w:rFonts w:eastAsiaTheme="minorEastAsia"/>
          <w:lang w:eastAsia="zh-CN"/>
        </w:rPr>
        <w:t>Device sustainable operation time</w:t>
      </w:r>
      <w:r w:rsidR="00D60EC2">
        <w:rPr>
          <w:rFonts w:eastAsiaTheme="minorEastAsia"/>
          <w:lang w:eastAsia="zh-CN"/>
        </w:rPr>
        <w:t xml:space="preserve"> – essentially an estimate of how long a device can operate while discharging.</w:t>
      </w:r>
    </w:p>
    <w:p w14:paraId="639EA1EA" w14:textId="09E5F767" w:rsidR="006F1416" w:rsidRDefault="006F1416" w:rsidP="006F1416">
      <w:pPr>
        <w:rPr>
          <w:rFonts w:eastAsiaTheme="minorEastAsia"/>
          <w:lang w:eastAsia="zh-CN"/>
        </w:rPr>
      </w:pPr>
    </w:p>
    <w:p w14:paraId="165382DF" w14:textId="0E220385" w:rsidR="006F1416" w:rsidRDefault="006F1416" w:rsidP="006F1416">
      <w:pPr>
        <w:rPr>
          <w:rFonts w:eastAsiaTheme="minorEastAsia"/>
          <w:lang w:eastAsia="zh-CN"/>
        </w:rPr>
      </w:pPr>
      <w:r>
        <w:rPr>
          <w:rFonts w:eastAsiaTheme="minorEastAsia"/>
          <w:lang w:eastAsia="zh-CN"/>
        </w:rPr>
        <w:t xml:space="preserve">In our view, there has been a </w:t>
      </w:r>
      <w:r w:rsidRPr="006F1416">
        <w:rPr>
          <w:rFonts w:eastAsiaTheme="minorEastAsia"/>
          <w:b/>
          <w:bCs/>
          <w:u w:val="single"/>
          <w:lang w:eastAsia="zh-CN"/>
        </w:rPr>
        <w:t>very</w:t>
      </w:r>
      <w:r>
        <w:rPr>
          <w:rFonts w:eastAsiaTheme="minorEastAsia"/>
          <w:lang w:eastAsia="zh-CN"/>
        </w:rPr>
        <w:t xml:space="preserve"> generous time allocation indeed given to #1 ‘clocks table’</w:t>
      </w:r>
      <w:r w:rsidR="00A86AB7">
        <w:rPr>
          <w:rFonts w:eastAsiaTheme="minorEastAsia"/>
          <w:lang w:eastAsia="zh-CN"/>
        </w:rPr>
        <w:t>, of ~1.5 TU</w:t>
      </w:r>
      <w:r>
        <w:rPr>
          <w:rFonts w:eastAsiaTheme="minorEastAsia"/>
          <w:lang w:eastAsia="zh-CN"/>
        </w:rPr>
        <w:t xml:space="preserve">, while </w:t>
      </w:r>
      <w:r w:rsidR="00A86AB7">
        <w:rPr>
          <w:rFonts w:eastAsiaTheme="minorEastAsia"/>
          <w:lang w:eastAsia="zh-CN"/>
        </w:rPr>
        <w:t xml:space="preserve">much of the </w:t>
      </w:r>
      <w:r>
        <w:rPr>
          <w:rFonts w:eastAsiaTheme="minorEastAsia"/>
          <w:lang w:eastAsia="zh-CN"/>
        </w:rPr>
        <w:t xml:space="preserve">information </w:t>
      </w:r>
      <w:r w:rsidR="00A86AB7">
        <w:rPr>
          <w:rFonts w:eastAsiaTheme="minorEastAsia"/>
          <w:lang w:eastAsia="zh-CN"/>
        </w:rPr>
        <w:t xml:space="preserve">it contains is not </w:t>
      </w:r>
      <w:r>
        <w:rPr>
          <w:rFonts w:eastAsiaTheme="minorEastAsia"/>
          <w:lang w:eastAsia="zh-CN"/>
        </w:rPr>
        <w:t>critical to the feasibility assessment of the SI</w:t>
      </w:r>
      <w:r w:rsidR="00883215">
        <w:rPr>
          <w:rFonts w:eastAsiaTheme="minorEastAsia"/>
          <w:lang w:eastAsia="zh-CN"/>
        </w:rPr>
        <w:t>, since much of it is un-specifiable implementation matters</w:t>
      </w:r>
      <w:r>
        <w:rPr>
          <w:rFonts w:eastAsiaTheme="minorEastAsia"/>
          <w:lang w:eastAsia="zh-CN"/>
        </w:rPr>
        <w:t xml:space="preserve">. </w:t>
      </w:r>
      <w:r w:rsidR="00883215">
        <w:rPr>
          <w:rFonts w:eastAsiaTheme="minorEastAsia"/>
          <w:lang w:eastAsia="zh-CN"/>
        </w:rPr>
        <w:t>Nonetheless, the table is in good shape after the August meeting, and t</w:t>
      </w:r>
      <w:r>
        <w:rPr>
          <w:rFonts w:eastAsiaTheme="minorEastAsia"/>
          <w:lang w:eastAsia="zh-CN"/>
        </w:rPr>
        <w:t xml:space="preserve">herefore: </w:t>
      </w:r>
    </w:p>
    <w:p w14:paraId="659767CD" w14:textId="7CAD8E77" w:rsidR="006F1416" w:rsidRDefault="006F1416" w:rsidP="006F1416">
      <w:pPr>
        <w:pStyle w:val="ListParagraph"/>
        <w:numPr>
          <w:ilvl w:val="0"/>
          <w:numId w:val="28"/>
        </w:numPr>
        <w:ind w:firstLineChars="0"/>
        <w:rPr>
          <w:rFonts w:eastAsiaTheme="minorEastAsia"/>
          <w:lang w:eastAsia="zh-CN"/>
        </w:rPr>
      </w:pPr>
      <w:r w:rsidRPr="006F1416">
        <w:rPr>
          <w:rFonts w:eastAsiaTheme="minorEastAsia"/>
          <w:lang w:eastAsia="zh-CN"/>
        </w:rPr>
        <w:t xml:space="preserve">RAN1 should finish this task </w:t>
      </w:r>
      <w:r>
        <w:rPr>
          <w:rFonts w:eastAsiaTheme="minorEastAsia"/>
          <w:lang w:eastAsia="zh-CN"/>
        </w:rPr>
        <w:t xml:space="preserve">by </w:t>
      </w:r>
      <w:r w:rsidRPr="006F1416">
        <w:rPr>
          <w:rFonts w:eastAsiaTheme="minorEastAsia"/>
          <w:lang w:eastAsia="zh-CN"/>
        </w:rPr>
        <w:t>primarily offline work.</w:t>
      </w:r>
    </w:p>
    <w:p w14:paraId="09A91A1F" w14:textId="4CEDE174" w:rsidR="006F1416" w:rsidRPr="006F1416" w:rsidRDefault="006F1416" w:rsidP="006F1416">
      <w:pPr>
        <w:pStyle w:val="ListParagraph"/>
        <w:numPr>
          <w:ilvl w:val="0"/>
          <w:numId w:val="28"/>
        </w:numPr>
        <w:ind w:firstLineChars="0"/>
        <w:rPr>
          <w:rFonts w:eastAsiaTheme="minorEastAsia"/>
          <w:lang w:eastAsia="zh-CN"/>
        </w:rPr>
      </w:pPr>
      <w:r w:rsidRPr="006F1416">
        <w:rPr>
          <w:rFonts w:eastAsiaTheme="minorEastAsia"/>
          <w:lang w:eastAsia="zh-CN"/>
        </w:rPr>
        <w:t>It is not necessary</w:t>
      </w:r>
      <w:r w:rsidR="00141287">
        <w:rPr>
          <w:rFonts w:eastAsiaTheme="minorEastAsia"/>
          <w:lang w:eastAsia="zh-CN"/>
        </w:rPr>
        <w:t xml:space="preserve"> </w:t>
      </w:r>
      <w:r w:rsidRPr="006F1416">
        <w:rPr>
          <w:rFonts w:eastAsiaTheme="minorEastAsia"/>
          <w:lang w:eastAsia="zh-CN"/>
        </w:rPr>
        <w:t xml:space="preserve">for companies in RAN1 to prepare detailed studies of textbook componentry or data sheets for this purpose, since such information is already, by necessity, publicly available. </w:t>
      </w:r>
      <w:r>
        <w:rPr>
          <w:rFonts w:eastAsiaTheme="minorEastAsia"/>
          <w:lang w:eastAsia="zh-CN"/>
        </w:rPr>
        <w:t>Hence, i</w:t>
      </w:r>
      <w:r w:rsidRPr="006F1416">
        <w:rPr>
          <w:rFonts w:eastAsiaTheme="minorEastAsia"/>
          <w:lang w:eastAsia="zh-CN"/>
        </w:rPr>
        <w:t>f there is a failure to promptly converge on the FFS values, those cells can be removed from the table.</w:t>
      </w:r>
    </w:p>
    <w:p w14:paraId="36C3C0D9" w14:textId="77777777" w:rsidR="00A86AB7" w:rsidRDefault="00A86AB7" w:rsidP="006F1416">
      <w:pPr>
        <w:rPr>
          <w:rFonts w:eastAsiaTheme="minorEastAsia"/>
          <w:lang w:eastAsia="zh-CN"/>
        </w:rPr>
      </w:pPr>
    </w:p>
    <w:p w14:paraId="56586E2A" w14:textId="4201738D" w:rsidR="006F1416" w:rsidRDefault="006F1416" w:rsidP="006F1416">
      <w:pPr>
        <w:rPr>
          <w:rFonts w:eastAsiaTheme="minorEastAsia"/>
          <w:lang w:eastAsia="zh-CN"/>
        </w:rPr>
      </w:pPr>
      <w:r>
        <w:rPr>
          <w:rFonts w:eastAsiaTheme="minorEastAsia"/>
          <w:lang w:eastAsia="zh-CN"/>
        </w:rPr>
        <w:t xml:space="preserve">For </w:t>
      </w:r>
      <w:r w:rsidR="00D60EC2">
        <w:rPr>
          <w:rFonts w:eastAsiaTheme="minorEastAsia"/>
          <w:lang w:eastAsia="zh-CN"/>
        </w:rPr>
        <w:t xml:space="preserve">#2 </w:t>
      </w:r>
      <w:r>
        <w:rPr>
          <w:rFonts w:eastAsiaTheme="minorEastAsia"/>
          <w:lang w:eastAsia="zh-CN"/>
        </w:rPr>
        <w:t>device “sustainable operation time”, this was already discussed in August RAN1, and was basically controversial because the topic is primarily discussed under the physical-layer procedural design agenda item (9.4.2.2)</w:t>
      </w:r>
      <w:r w:rsidR="00D60EC2">
        <w:rPr>
          <w:rFonts w:eastAsiaTheme="minorEastAsia"/>
          <w:lang w:eastAsia="zh-CN"/>
        </w:rPr>
        <w:t xml:space="preserve"> where energy harvesting aspects are agreed to be handled;</w:t>
      </w:r>
      <w:r w:rsidR="00141287">
        <w:rPr>
          <w:rFonts w:eastAsiaTheme="minorEastAsia"/>
          <w:lang w:eastAsia="zh-CN"/>
        </w:rPr>
        <w:t xml:space="preserve"> and the feature lead proposal calls for highly-detailed additional work</w:t>
      </w:r>
      <w:r>
        <w:rPr>
          <w:rFonts w:eastAsiaTheme="minorEastAsia"/>
          <w:lang w:eastAsia="zh-CN"/>
        </w:rPr>
        <w:t>.</w:t>
      </w:r>
      <w:r w:rsidR="00141287">
        <w:rPr>
          <w:rFonts w:eastAsiaTheme="minorEastAsia"/>
          <w:lang w:eastAsia="zh-CN"/>
        </w:rPr>
        <w:t xml:space="preserve"> It does not seem fruitful to </w:t>
      </w:r>
      <w:r w:rsidR="00D60EC2">
        <w:rPr>
          <w:rFonts w:eastAsiaTheme="minorEastAsia"/>
          <w:lang w:eastAsia="zh-CN"/>
        </w:rPr>
        <w:t>let RAN1</w:t>
      </w:r>
      <w:r w:rsidR="00141287">
        <w:rPr>
          <w:rFonts w:eastAsiaTheme="minorEastAsia"/>
          <w:lang w:eastAsia="zh-CN"/>
        </w:rPr>
        <w:t xml:space="preserve"> repea</w:t>
      </w:r>
      <w:r w:rsidR="00D60EC2">
        <w:rPr>
          <w:rFonts w:eastAsiaTheme="minorEastAsia"/>
          <w:lang w:eastAsia="zh-CN"/>
        </w:rPr>
        <w:t>t</w:t>
      </w:r>
      <w:r w:rsidR="00141287">
        <w:rPr>
          <w:rFonts w:eastAsiaTheme="minorEastAsia"/>
          <w:lang w:eastAsia="zh-CN"/>
        </w:rPr>
        <w:t xml:space="preserve"> that disagreement.</w:t>
      </w:r>
    </w:p>
    <w:p w14:paraId="6F60DD2A" w14:textId="77777777" w:rsidR="006F1416" w:rsidRPr="006F1416" w:rsidRDefault="006F1416" w:rsidP="006F1416">
      <w:pPr>
        <w:rPr>
          <w:rFonts w:eastAsiaTheme="minorEastAsia"/>
          <w:lang w:eastAsia="zh-CN"/>
        </w:rPr>
      </w:pPr>
    </w:p>
    <w:p w14:paraId="032B6AD8" w14:textId="3379EC66" w:rsidR="00193F3E" w:rsidRDefault="00BC2856" w:rsidP="00141287">
      <w:pPr>
        <w:rPr>
          <w:rFonts w:eastAsiaTheme="minorEastAsia"/>
          <w:b/>
          <w:bCs/>
          <w:lang w:eastAsia="zh-CN"/>
        </w:rPr>
      </w:pPr>
      <w:r w:rsidRPr="001424EE">
        <w:rPr>
          <w:rFonts w:eastAsiaTheme="minorEastAsia"/>
          <w:b/>
          <w:bCs/>
          <w:lang w:eastAsia="zh-CN"/>
        </w:rPr>
        <w:t xml:space="preserve">Proposal 1: </w:t>
      </w:r>
      <w:r w:rsidR="00141287">
        <w:rPr>
          <w:rFonts w:eastAsiaTheme="minorEastAsia"/>
          <w:b/>
          <w:bCs/>
          <w:lang w:eastAsia="zh-CN"/>
        </w:rPr>
        <w:t>For A-IoT device architectures:</w:t>
      </w:r>
    </w:p>
    <w:p w14:paraId="59B4C656" w14:textId="234B76F6" w:rsidR="00141287" w:rsidRDefault="00A86AB7" w:rsidP="00141287">
      <w:pPr>
        <w:pStyle w:val="ListParagraph"/>
        <w:numPr>
          <w:ilvl w:val="0"/>
          <w:numId w:val="28"/>
        </w:numPr>
        <w:ind w:firstLineChars="0"/>
        <w:rPr>
          <w:rFonts w:eastAsiaTheme="minorEastAsia"/>
          <w:b/>
          <w:bCs/>
          <w:lang w:eastAsia="zh-CN"/>
        </w:rPr>
      </w:pPr>
      <w:r>
        <w:rPr>
          <w:rFonts w:eastAsiaTheme="minorEastAsia"/>
          <w:b/>
          <w:bCs/>
          <w:lang w:eastAsia="zh-CN"/>
        </w:rPr>
        <w:t>RAN1 to complete t</w:t>
      </w:r>
      <w:r w:rsidR="00141287">
        <w:rPr>
          <w:rFonts w:eastAsiaTheme="minorEastAsia"/>
          <w:b/>
          <w:bCs/>
          <w:lang w:eastAsia="zh-CN"/>
        </w:rPr>
        <w:t>he “purposes of clocks” table</w:t>
      </w:r>
      <w:r>
        <w:rPr>
          <w:rFonts w:eastAsiaTheme="minorEastAsia"/>
          <w:b/>
          <w:bCs/>
          <w:lang w:eastAsia="zh-CN"/>
        </w:rPr>
        <w:t xml:space="preserve"> by primarily offline work.</w:t>
      </w:r>
    </w:p>
    <w:p w14:paraId="3BDF8B97" w14:textId="49EDC42E" w:rsidR="00141287" w:rsidRDefault="00141287" w:rsidP="00141287">
      <w:pPr>
        <w:pStyle w:val="ListParagraph"/>
        <w:numPr>
          <w:ilvl w:val="0"/>
          <w:numId w:val="28"/>
        </w:numPr>
        <w:ind w:firstLineChars="0"/>
        <w:rPr>
          <w:rFonts w:eastAsiaTheme="minorEastAsia"/>
          <w:b/>
          <w:bCs/>
          <w:lang w:eastAsia="zh-CN"/>
        </w:rPr>
      </w:pPr>
      <w:r>
        <w:rPr>
          <w:rFonts w:eastAsiaTheme="minorEastAsia"/>
          <w:b/>
          <w:bCs/>
          <w:lang w:eastAsia="zh-CN"/>
        </w:rPr>
        <w:t xml:space="preserve">RAN1 not to </w:t>
      </w:r>
      <w:r w:rsidR="0068457E">
        <w:rPr>
          <w:rFonts w:eastAsiaTheme="minorEastAsia"/>
          <w:b/>
          <w:bCs/>
          <w:lang w:eastAsia="zh-CN"/>
        </w:rPr>
        <w:t xml:space="preserve">re-discuss </w:t>
      </w:r>
      <w:r w:rsidR="00453982">
        <w:rPr>
          <w:rFonts w:eastAsiaTheme="minorEastAsia"/>
          <w:b/>
          <w:bCs/>
          <w:lang w:eastAsia="zh-CN"/>
        </w:rPr>
        <w:t>“</w:t>
      </w:r>
      <w:r>
        <w:rPr>
          <w:rFonts w:eastAsiaTheme="minorEastAsia"/>
          <w:b/>
          <w:bCs/>
          <w:lang w:eastAsia="zh-CN"/>
        </w:rPr>
        <w:t>quantitative characterization of the device sustainable operation time</w:t>
      </w:r>
      <w:r w:rsidR="00453982">
        <w:rPr>
          <w:rFonts w:eastAsiaTheme="minorEastAsia"/>
          <w:b/>
          <w:bCs/>
          <w:lang w:eastAsia="zh-CN"/>
        </w:rPr>
        <w:t>”</w:t>
      </w:r>
      <w:r>
        <w:rPr>
          <w:rFonts w:eastAsiaTheme="minorEastAsia"/>
          <w:b/>
          <w:bCs/>
          <w:lang w:eastAsia="zh-CN"/>
        </w:rPr>
        <w:t>.</w:t>
      </w:r>
      <w:r w:rsidR="0068457E">
        <w:rPr>
          <w:rFonts w:eastAsiaTheme="minorEastAsia"/>
          <w:b/>
          <w:bCs/>
          <w:lang w:eastAsia="zh-CN"/>
        </w:rPr>
        <w:t xml:space="preserve"> Companies </w:t>
      </w:r>
      <w:r w:rsidR="009E1AEA">
        <w:rPr>
          <w:rFonts w:eastAsiaTheme="minorEastAsia"/>
          <w:b/>
          <w:bCs/>
          <w:lang w:eastAsia="zh-CN"/>
        </w:rPr>
        <w:t>are trusted to make</w:t>
      </w:r>
      <w:r w:rsidR="0068457E">
        <w:rPr>
          <w:rFonts w:eastAsiaTheme="minorEastAsia"/>
          <w:b/>
          <w:bCs/>
          <w:lang w:eastAsia="zh-CN"/>
        </w:rPr>
        <w:t xml:space="preserve"> a</w:t>
      </w:r>
      <w:r w:rsidR="009E1AEA">
        <w:rPr>
          <w:rFonts w:eastAsiaTheme="minorEastAsia"/>
          <w:b/>
          <w:bCs/>
          <w:lang w:eastAsia="zh-CN"/>
        </w:rPr>
        <w:t>ppropriate</w:t>
      </w:r>
      <w:r w:rsidR="0068457E">
        <w:rPr>
          <w:rFonts w:eastAsiaTheme="minorEastAsia"/>
          <w:b/>
          <w:bCs/>
          <w:lang w:eastAsia="zh-CN"/>
        </w:rPr>
        <w:t xml:space="preserve"> </w:t>
      </w:r>
      <w:r w:rsidR="00D60EC2">
        <w:rPr>
          <w:rFonts w:eastAsiaTheme="minorEastAsia"/>
          <w:b/>
          <w:bCs/>
          <w:lang w:eastAsia="zh-CN"/>
        </w:rPr>
        <w:t>reports</w:t>
      </w:r>
      <w:r w:rsidR="0068457E">
        <w:rPr>
          <w:rFonts w:eastAsiaTheme="minorEastAsia"/>
          <w:b/>
          <w:bCs/>
          <w:lang w:eastAsia="zh-CN"/>
        </w:rPr>
        <w:t xml:space="preserve"> under </w:t>
      </w:r>
      <w:r w:rsidR="00883215">
        <w:rPr>
          <w:rFonts w:eastAsiaTheme="minorEastAsia"/>
          <w:b/>
          <w:bCs/>
          <w:lang w:eastAsia="zh-CN"/>
        </w:rPr>
        <w:t xml:space="preserve">the </w:t>
      </w:r>
      <w:r w:rsidR="0068457E">
        <w:rPr>
          <w:rFonts w:eastAsiaTheme="minorEastAsia"/>
          <w:b/>
          <w:bCs/>
          <w:lang w:eastAsia="zh-CN"/>
        </w:rPr>
        <w:t>solution-directed agenda item</w:t>
      </w:r>
      <w:r w:rsidR="00D60EC2">
        <w:rPr>
          <w:rFonts w:eastAsiaTheme="minorEastAsia"/>
          <w:b/>
          <w:bCs/>
          <w:lang w:eastAsia="zh-CN"/>
        </w:rPr>
        <w:t>, 9.4.2.2.</w:t>
      </w:r>
    </w:p>
    <w:p w14:paraId="443213D8" w14:textId="1BA87FC0" w:rsidR="00EA4817" w:rsidRDefault="00EA4817" w:rsidP="00141287">
      <w:pPr>
        <w:pStyle w:val="ListParagraph"/>
        <w:numPr>
          <w:ilvl w:val="0"/>
          <w:numId w:val="28"/>
        </w:numPr>
        <w:ind w:firstLineChars="0"/>
        <w:rPr>
          <w:rFonts w:eastAsiaTheme="minorEastAsia"/>
          <w:b/>
          <w:bCs/>
          <w:lang w:eastAsia="zh-CN"/>
        </w:rPr>
      </w:pPr>
      <w:r>
        <w:rPr>
          <w:rFonts w:eastAsiaTheme="minorEastAsia"/>
          <w:b/>
          <w:bCs/>
          <w:lang w:eastAsia="zh-CN"/>
        </w:rPr>
        <w:t>Alternatively</w:t>
      </w:r>
      <w:r w:rsidR="008C09BC">
        <w:rPr>
          <w:rFonts w:eastAsiaTheme="minorEastAsia"/>
          <w:b/>
          <w:bCs/>
          <w:lang w:eastAsia="zh-CN"/>
        </w:rPr>
        <w:t>:</w:t>
      </w:r>
    </w:p>
    <w:p w14:paraId="4F3507CA" w14:textId="25EF7354" w:rsidR="00EA4817" w:rsidRDefault="00EA4817" w:rsidP="00EA4817">
      <w:pPr>
        <w:pStyle w:val="ListParagraph"/>
        <w:numPr>
          <w:ilvl w:val="1"/>
          <w:numId w:val="28"/>
        </w:numPr>
        <w:ind w:firstLineChars="0"/>
        <w:rPr>
          <w:rFonts w:eastAsiaTheme="minorEastAsia"/>
          <w:b/>
          <w:bCs/>
          <w:lang w:eastAsia="zh-CN"/>
        </w:rPr>
      </w:pPr>
      <w:r>
        <w:rPr>
          <w:rFonts w:eastAsiaTheme="minorEastAsia"/>
          <w:b/>
          <w:bCs/>
          <w:lang w:eastAsia="zh-CN"/>
        </w:rPr>
        <w:t>The remaining FFS cells in the “purposes of clocks table” are removed; and</w:t>
      </w:r>
    </w:p>
    <w:p w14:paraId="6E28309C" w14:textId="36107432" w:rsidR="00EA4817" w:rsidRPr="00141287" w:rsidRDefault="00EA4817" w:rsidP="00EA4817">
      <w:pPr>
        <w:pStyle w:val="ListParagraph"/>
        <w:numPr>
          <w:ilvl w:val="1"/>
          <w:numId w:val="28"/>
        </w:numPr>
        <w:ind w:firstLineChars="0"/>
        <w:rPr>
          <w:rFonts w:eastAsiaTheme="minorEastAsia"/>
          <w:b/>
          <w:bCs/>
          <w:lang w:eastAsia="zh-CN"/>
        </w:rPr>
      </w:pPr>
      <w:r>
        <w:rPr>
          <w:rFonts w:eastAsiaTheme="minorEastAsia"/>
          <w:b/>
          <w:bCs/>
          <w:lang w:eastAsia="zh-CN"/>
        </w:rPr>
        <w:t>The objective is considered successfully completed</w:t>
      </w:r>
      <w:r w:rsidR="009E1AEA">
        <w:rPr>
          <w:rFonts w:eastAsiaTheme="minorEastAsia"/>
          <w:b/>
          <w:bCs/>
          <w:lang w:eastAsia="zh-CN"/>
        </w:rPr>
        <w:t>, on schedule</w:t>
      </w:r>
      <w:r w:rsidR="00D60EC2">
        <w:rPr>
          <w:rFonts w:eastAsiaTheme="minorEastAsia"/>
          <w:b/>
          <w:bCs/>
          <w:lang w:eastAsia="zh-CN"/>
        </w:rPr>
        <w:t>.</w:t>
      </w:r>
    </w:p>
    <w:p w14:paraId="6DAAE1D3" w14:textId="77777777" w:rsidR="00F001BC" w:rsidRPr="00F001BC" w:rsidRDefault="00F001BC" w:rsidP="00F001BC">
      <w:pPr>
        <w:rPr>
          <w:rFonts w:eastAsiaTheme="minorEastAsia"/>
          <w:b/>
          <w:bCs/>
          <w:lang w:eastAsia="zh-CN"/>
        </w:rPr>
      </w:pPr>
    </w:p>
    <w:p w14:paraId="0C593E60" w14:textId="34CE30DE" w:rsidR="002205A1" w:rsidRDefault="002205A1" w:rsidP="002205A1">
      <w:pPr>
        <w:pStyle w:val="Heading2"/>
      </w:pPr>
      <w:bookmarkStart w:id="4" w:name="_Ref124589665"/>
      <w:bookmarkStart w:id="5" w:name="_Ref71620620"/>
      <w:bookmarkStart w:id="6" w:name="_Ref124671424"/>
      <w:r>
        <w:t>Carrier-wave waveform characteristics</w:t>
      </w:r>
      <w:r w:rsidR="00CF0DE3">
        <w:t xml:space="preserve"> (RAN1)</w:t>
      </w:r>
    </w:p>
    <w:tbl>
      <w:tblPr>
        <w:tblStyle w:val="TableGrid"/>
        <w:tblW w:w="0" w:type="auto"/>
        <w:tblLook w:val="04A0" w:firstRow="1" w:lastRow="0" w:firstColumn="1" w:lastColumn="0" w:noHBand="0" w:noVBand="1"/>
      </w:tblPr>
      <w:tblGrid>
        <w:gridCol w:w="9307"/>
      </w:tblGrid>
      <w:tr w:rsidR="009A29D3" w14:paraId="3B68C4BB" w14:textId="77777777" w:rsidTr="00442C35">
        <w:tc>
          <w:tcPr>
            <w:tcW w:w="9307" w:type="dxa"/>
          </w:tcPr>
          <w:p w14:paraId="2B97D66D" w14:textId="3C4C6288" w:rsidR="009A29D3" w:rsidRPr="005E2F96" w:rsidRDefault="009A29D3" w:rsidP="00442C35">
            <w:pPr>
              <w:rPr>
                <w:rFonts w:eastAsiaTheme="minorEastAsia"/>
                <w:b/>
                <w:bCs/>
                <w:sz w:val="20"/>
                <w:u w:val="single"/>
              </w:rPr>
            </w:pPr>
            <w:r w:rsidRPr="005E2F96">
              <w:rPr>
                <w:rFonts w:eastAsiaTheme="minorEastAsia"/>
                <w:b/>
                <w:bCs/>
                <w:sz w:val="20"/>
                <w:u w:val="single"/>
              </w:rPr>
              <w:t>Observation</w:t>
            </w:r>
            <w:r>
              <w:rPr>
                <w:rFonts w:eastAsiaTheme="minorEastAsia"/>
                <w:b/>
                <w:bCs/>
                <w:sz w:val="20"/>
                <w:u w:val="single"/>
              </w:rPr>
              <w:t xml:space="preserve"> (RAN1#</w:t>
            </w:r>
            <w:r w:rsidR="009E1AEA">
              <w:rPr>
                <w:rFonts w:eastAsiaTheme="minorEastAsia"/>
                <w:b/>
                <w:bCs/>
                <w:sz w:val="20"/>
                <w:u w:val="single"/>
              </w:rPr>
              <w:t>118, August 2024)</w:t>
            </w:r>
          </w:p>
          <w:p w14:paraId="7B09E976" w14:textId="77777777" w:rsidR="009A29D3" w:rsidRPr="005E2F96" w:rsidRDefault="009A29D3" w:rsidP="00442C35">
            <w:pPr>
              <w:rPr>
                <w:rFonts w:eastAsiaTheme="minorEastAsia"/>
                <w:sz w:val="20"/>
              </w:rPr>
            </w:pPr>
            <w:r w:rsidRPr="005E2F96">
              <w:rPr>
                <w:rFonts w:eastAsiaTheme="minorEastAsia" w:hint="eastAsia"/>
                <w:sz w:val="20"/>
              </w:rPr>
              <w:t>W</w:t>
            </w:r>
            <w:r w:rsidRPr="005E2F96">
              <w:rPr>
                <w:rFonts w:eastAsiaTheme="minorEastAsia"/>
                <w:sz w:val="20"/>
              </w:rPr>
              <w:t>ith respect to the following RAN guidance:</w:t>
            </w:r>
          </w:p>
          <w:p w14:paraId="464E5A37" w14:textId="77777777" w:rsidR="009A29D3" w:rsidRPr="005E2F96" w:rsidRDefault="009A29D3" w:rsidP="009A29D3">
            <w:pPr>
              <w:numPr>
                <w:ilvl w:val="0"/>
                <w:numId w:val="28"/>
              </w:numPr>
              <w:tabs>
                <w:tab w:val="left" w:pos="709"/>
              </w:tabs>
              <w:snapToGrid/>
              <w:spacing w:after="0"/>
              <w:jc w:val="left"/>
              <w:rPr>
                <w:i/>
                <w:sz w:val="20"/>
              </w:rPr>
            </w:pPr>
            <w:r w:rsidRPr="005E2F96">
              <w:rPr>
                <w:rFonts w:hint="eastAsia"/>
                <w:sz w:val="20"/>
              </w:rPr>
              <w:t>R</w:t>
            </w:r>
            <w:r w:rsidRPr="005E2F96">
              <w:rPr>
                <w:sz w:val="20"/>
              </w:rPr>
              <w:t xml:space="preserve">egarding the objective in the SID: </w:t>
            </w:r>
            <w:r w:rsidRPr="005E2F96">
              <w:rPr>
                <w:i/>
                <w:sz w:val="20"/>
              </w:rPr>
              <w:t>Study necessary characteristics of carrier-wave waveform for a carrier wave provided externally to the Ambient IoT device, including for interference handling at Ambient IoT UL receiver, and at NR basestation.</w:t>
            </w:r>
          </w:p>
          <w:p w14:paraId="46E7BDAE" w14:textId="77777777" w:rsidR="009A29D3" w:rsidRPr="005E2F96" w:rsidRDefault="009A29D3" w:rsidP="009A29D3">
            <w:pPr>
              <w:numPr>
                <w:ilvl w:val="1"/>
                <w:numId w:val="28"/>
              </w:numPr>
              <w:tabs>
                <w:tab w:val="left" w:pos="1100"/>
              </w:tabs>
              <w:snapToGrid/>
              <w:spacing w:after="0"/>
              <w:jc w:val="left"/>
              <w:rPr>
                <w:sz w:val="20"/>
              </w:rPr>
            </w:pPr>
            <w:r w:rsidRPr="005E2F96">
              <w:rPr>
                <w:sz w:val="20"/>
              </w:rPr>
              <w:t>This objective allows studying CW waveform characteristics which would need control of the CW node(s), e.g. waveform characteristics that impact interference such as when CW is transmitted or not transmitted, power, bandwidth, spectrum, etc.</w:t>
            </w:r>
          </w:p>
          <w:p w14:paraId="4364A3E9" w14:textId="77777777" w:rsidR="009A29D3" w:rsidRPr="005E2F96" w:rsidRDefault="009A29D3" w:rsidP="009A29D3">
            <w:pPr>
              <w:numPr>
                <w:ilvl w:val="0"/>
                <w:numId w:val="28"/>
              </w:numPr>
              <w:autoSpaceDE/>
              <w:autoSpaceDN/>
              <w:adjustRightInd/>
              <w:snapToGrid/>
              <w:spacing w:after="0"/>
              <w:jc w:val="left"/>
              <w:rPr>
                <w:rFonts w:eastAsiaTheme="minorEastAsia"/>
                <w:bCs/>
                <w:color w:val="000000"/>
                <w:sz w:val="20"/>
                <w:szCs w:val="20"/>
              </w:rPr>
            </w:pPr>
            <w:r w:rsidRPr="005E2F96">
              <w:rPr>
                <w:rFonts w:eastAsiaTheme="minorEastAsia"/>
                <w:bCs/>
                <w:color w:val="000000"/>
                <w:sz w:val="20"/>
                <w:szCs w:val="20"/>
              </w:rPr>
              <w:t>From RAN1 perspective, the following CW characteristics are identified:</w:t>
            </w:r>
          </w:p>
          <w:p w14:paraId="06F10A79" w14:textId="77777777" w:rsidR="009A29D3" w:rsidRPr="005E2F96" w:rsidRDefault="009A29D3" w:rsidP="009A29D3">
            <w:pPr>
              <w:numPr>
                <w:ilvl w:val="3"/>
                <w:numId w:val="36"/>
              </w:numPr>
              <w:autoSpaceDE/>
              <w:autoSpaceDN/>
              <w:adjustRightInd/>
              <w:snapToGrid/>
              <w:spacing w:after="0"/>
              <w:rPr>
                <w:rFonts w:eastAsiaTheme="minorEastAsia"/>
                <w:color w:val="000000"/>
                <w:sz w:val="20"/>
                <w:szCs w:val="20"/>
              </w:rPr>
            </w:pPr>
            <w:r w:rsidRPr="005E2F96">
              <w:rPr>
                <w:rFonts w:eastAsiaTheme="minorEastAsia"/>
                <w:color w:val="000000"/>
                <w:sz w:val="20"/>
                <w:szCs w:val="20"/>
              </w:rPr>
              <w:t>When CW is transmitted or not transmitted</w:t>
            </w:r>
          </w:p>
          <w:p w14:paraId="682B7BDA" w14:textId="77777777" w:rsidR="009A29D3" w:rsidRPr="005E2F96" w:rsidRDefault="009A29D3" w:rsidP="009A29D3">
            <w:pPr>
              <w:numPr>
                <w:ilvl w:val="3"/>
                <w:numId w:val="36"/>
              </w:numPr>
              <w:autoSpaceDE/>
              <w:autoSpaceDN/>
              <w:adjustRightInd/>
              <w:snapToGrid/>
              <w:spacing w:after="0"/>
              <w:rPr>
                <w:rFonts w:eastAsiaTheme="minorEastAsia"/>
                <w:color w:val="000000"/>
                <w:sz w:val="20"/>
                <w:szCs w:val="20"/>
              </w:rPr>
            </w:pPr>
            <w:r w:rsidRPr="005E2F96">
              <w:rPr>
                <w:rFonts w:eastAsiaTheme="minorEastAsia"/>
                <w:color w:val="000000"/>
                <w:sz w:val="20"/>
                <w:szCs w:val="20"/>
              </w:rPr>
              <w:t>Transmission Power</w:t>
            </w:r>
          </w:p>
          <w:p w14:paraId="673B475D" w14:textId="77777777" w:rsidR="009A29D3" w:rsidRPr="005E2F96" w:rsidRDefault="009A29D3" w:rsidP="009A29D3">
            <w:pPr>
              <w:numPr>
                <w:ilvl w:val="3"/>
                <w:numId w:val="36"/>
              </w:numPr>
              <w:autoSpaceDE/>
              <w:autoSpaceDN/>
              <w:adjustRightInd/>
              <w:snapToGrid/>
              <w:spacing w:after="0"/>
              <w:rPr>
                <w:rFonts w:eastAsiaTheme="minorEastAsia"/>
                <w:color w:val="000000"/>
                <w:sz w:val="20"/>
                <w:szCs w:val="20"/>
              </w:rPr>
            </w:pPr>
            <w:r w:rsidRPr="005E2F96">
              <w:rPr>
                <w:rFonts w:eastAsiaTheme="minorEastAsia"/>
                <w:color w:val="000000"/>
                <w:sz w:val="20"/>
                <w:szCs w:val="20"/>
              </w:rPr>
              <w:t>Frequency resources</w:t>
            </w:r>
          </w:p>
          <w:p w14:paraId="682DAD93" w14:textId="77777777" w:rsidR="009A29D3" w:rsidRPr="007B60B6" w:rsidRDefault="009A29D3" w:rsidP="009A29D3">
            <w:pPr>
              <w:numPr>
                <w:ilvl w:val="3"/>
                <w:numId w:val="36"/>
              </w:numPr>
              <w:autoSpaceDE/>
              <w:autoSpaceDN/>
              <w:adjustRightInd/>
              <w:snapToGrid/>
              <w:spacing w:after="0"/>
              <w:rPr>
                <w:rFonts w:eastAsiaTheme="minorEastAsia"/>
                <w:color w:val="000000"/>
                <w:sz w:val="20"/>
                <w:szCs w:val="20"/>
              </w:rPr>
            </w:pPr>
            <w:r w:rsidRPr="005E2F96">
              <w:rPr>
                <w:rFonts w:eastAsiaTheme="minorEastAsia" w:hint="eastAsia"/>
                <w:color w:val="000000"/>
                <w:sz w:val="20"/>
                <w:szCs w:val="20"/>
                <w:highlight w:val="yellow"/>
              </w:rPr>
              <w:lastRenderedPageBreak/>
              <w:t>F</w:t>
            </w:r>
            <w:r w:rsidRPr="005E2F96">
              <w:rPr>
                <w:rFonts w:eastAsiaTheme="minorEastAsia"/>
                <w:color w:val="000000"/>
                <w:sz w:val="20"/>
                <w:szCs w:val="20"/>
                <w:highlight w:val="yellow"/>
              </w:rPr>
              <w:t>FS other characteristics</w:t>
            </w:r>
          </w:p>
        </w:tc>
      </w:tr>
    </w:tbl>
    <w:p w14:paraId="1948E72B" w14:textId="77777777" w:rsidR="009A29D3" w:rsidRDefault="009A29D3" w:rsidP="009944D4"/>
    <w:p w14:paraId="43D5E8AC" w14:textId="418C01C3" w:rsidR="009944D4" w:rsidRDefault="005E2F96" w:rsidP="009944D4">
      <w:r>
        <w:t>This objective has proceeded smoothly, and in line with the Rapporteurs’ workplan</w:t>
      </w:r>
      <w:r w:rsidR="004703A5">
        <w:t>.</w:t>
      </w:r>
      <w:r>
        <w:t xml:space="preserve"> There is a single remaining FFS point on whether to list yet more characteristics of the carrier wave waveform</w:t>
      </w:r>
      <w:r w:rsidR="007B60B6">
        <w:t>. In our view, there is no need to prolong this discussion in the SI</w:t>
      </w:r>
      <w:r w:rsidR="00453982">
        <w:t xml:space="preserve"> phase</w:t>
      </w:r>
      <w:r w:rsidR="007B60B6">
        <w:t xml:space="preserve">. If other characteristics are </w:t>
      </w:r>
      <w:r w:rsidR="00883215">
        <w:t>indeed</w:t>
      </w:r>
      <w:r w:rsidR="00883215">
        <w:t xml:space="preserve"> </w:t>
      </w:r>
      <w:r w:rsidR="007B60B6">
        <w:t xml:space="preserve">necessary can be discussed once </w:t>
      </w:r>
      <w:r w:rsidR="00453982">
        <w:t>sufficiently</w:t>
      </w:r>
      <w:r w:rsidR="007B60B6">
        <w:t xml:space="preserve">-much information is known about the </w:t>
      </w:r>
      <w:r w:rsidR="00883215">
        <w:t xml:space="preserve">A-IoT </w:t>
      </w:r>
      <w:r w:rsidR="007B60B6">
        <w:t>system in the WI phase.</w:t>
      </w:r>
    </w:p>
    <w:p w14:paraId="2FE63445" w14:textId="332C62A4" w:rsidR="007B60B6" w:rsidRDefault="007B60B6" w:rsidP="009944D4">
      <w:pPr>
        <w:rPr>
          <w:b/>
          <w:bCs/>
        </w:rPr>
      </w:pPr>
      <w:r w:rsidRPr="007B60B6">
        <w:rPr>
          <w:b/>
          <w:bCs/>
        </w:rPr>
        <w:t xml:space="preserve">Proposal 2: The objective on carrier-waveform characteristics is considered complete in </w:t>
      </w:r>
      <w:r w:rsidR="006B5802">
        <w:rPr>
          <w:b/>
          <w:bCs/>
        </w:rPr>
        <w:t>RAN1 for Rel-19 SI purposes</w:t>
      </w:r>
      <w:r w:rsidRPr="007B60B6">
        <w:rPr>
          <w:b/>
          <w:bCs/>
        </w:rPr>
        <w:t>.</w:t>
      </w:r>
    </w:p>
    <w:p w14:paraId="658F4E98" w14:textId="77777777" w:rsidR="001A49A6" w:rsidRDefault="001A49A6" w:rsidP="009944D4">
      <w:pPr>
        <w:rPr>
          <w:b/>
          <w:bCs/>
        </w:rPr>
      </w:pPr>
    </w:p>
    <w:p w14:paraId="1E7B7ADC" w14:textId="48D10E63" w:rsidR="00357E01" w:rsidRPr="00357E01" w:rsidRDefault="008E5BA4" w:rsidP="00357E01">
      <w:pPr>
        <w:pStyle w:val="Heading2"/>
      </w:pPr>
      <w:r>
        <w:t>Out-of-coverage intermediate UE</w:t>
      </w:r>
    </w:p>
    <w:p w14:paraId="4158523A" w14:textId="63F81B8C" w:rsidR="00871609" w:rsidRDefault="00D27A3B" w:rsidP="00871609">
      <w:pPr>
        <w:rPr>
          <w:b/>
          <w:bCs/>
          <w:lang w:eastAsia="zh-CN"/>
        </w:rPr>
      </w:pPr>
      <w:r>
        <w:t>There was discussion in RAN2</w:t>
      </w:r>
      <w:r w:rsidR="00357E01">
        <w:t xml:space="preserve"> to add out-of-coverage intermediate UEs to the </w:t>
      </w:r>
      <w:r w:rsidR="00357E01" w:rsidRPr="00871609">
        <w:t>study.</w:t>
      </w:r>
      <w:r w:rsidR="00871609" w:rsidRPr="00783BBC">
        <w:t xml:space="preserve"> </w:t>
      </w:r>
      <w:r w:rsidR="00871609" w:rsidRPr="002103D6">
        <w:rPr>
          <w:lang w:eastAsia="zh-CN"/>
        </w:rPr>
        <w:t xml:space="preserve">With the </w:t>
      </w:r>
      <w:r w:rsidR="00871609" w:rsidRPr="002103D6">
        <w:rPr>
          <w:lang w:eastAsia="zh-CN"/>
        </w:rPr>
        <w:t xml:space="preserve">following </w:t>
      </w:r>
      <w:r w:rsidR="00871609" w:rsidRPr="002103D6">
        <w:rPr>
          <w:lang w:eastAsia="zh-CN"/>
        </w:rPr>
        <w:t>RAN2 agreement made in RAN2#127, it is confirmed that Rel-19 Ambient Io</w:t>
      </w:r>
      <w:r w:rsidR="00871609" w:rsidRPr="002103D6">
        <w:rPr>
          <w:rFonts w:hint="eastAsia"/>
          <w:lang w:eastAsia="zh-CN"/>
        </w:rPr>
        <w:t>T</w:t>
      </w:r>
      <w:r w:rsidR="00871609" w:rsidRPr="002103D6">
        <w:rPr>
          <w:lang w:eastAsia="zh-CN"/>
        </w:rPr>
        <w:t xml:space="preserve"> will only support in-coverage and study cases for UE reader “temporarily” out of connection (</w:t>
      </w:r>
      <w:proofErr w:type="gramStart"/>
      <w:r w:rsidR="00871609" w:rsidRPr="002103D6">
        <w:rPr>
          <w:lang w:eastAsia="zh-CN"/>
        </w:rPr>
        <w:t>e.g.</w:t>
      </w:r>
      <w:proofErr w:type="gramEnd"/>
      <w:r w:rsidR="00871609" w:rsidRPr="002103D6">
        <w:rPr>
          <w:lang w:eastAsia="zh-CN"/>
        </w:rPr>
        <w:t xml:space="preserve"> RLF, HO), and Out Of Coverage is not in scope of Rel-19 Ambient IoT (extendibility to future “temporarily” out of coverage case may be considered if possible).</w:t>
      </w:r>
      <w:r w:rsidR="00871609">
        <w:rPr>
          <w:b/>
          <w:bCs/>
          <w:lang w:eastAsia="zh-CN"/>
        </w:rPr>
        <w:t xml:space="preserve"> </w:t>
      </w:r>
    </w:p>
    <w:p w14:paraId="4DF22B81" w14:textId="745749F8" w:rsidR="00D27A3B" w:rsidRDefault="00D27A3B" w:rsidP="009944D4"/>
    <w:tbl>
      <w:tblPr>
        <w:tblStyle w:val="TableGrid"/>
        <w:tblW w:w="0" w:type="auto"/>
        <w:tblLook w:val="04A0" w:firstRow="1" w:lastRow="0" w:firstColumn="1" w:lastColumn="0" w:noHBand="0" w:noVBand="1"/>
      </w:tblPr>
      <w:tblGrid>
        <w:gridCol w:w="9307"/>
      </w:tblGrid>
      <w:tr w:rsidR="00D27A3B" w14:paraId="5463E09C" w14:textId="77777777" w:rsidTr="00D27A3B">
        <w:tc>
          <w:tcPr>
            <w:tcW w:w="9307" w:type="dxa"/>
          </w:tcPr>
          <w:p w14:paraId="2FD51E86" w14:textId="77777777" w:rsidR="00D27A3B" w:rsidRPr="00D27A3B" w:rsidRDefault="00D27A3B" w:rsidP="00D27A3B">
            <w:pPr>
              <w:autoSpaceDE/>
              <w:autoSpaceDN/>
              <w:adjustRightInd/>
              <w:snapToGrid/>
              <w:spacing w:after="0"/>
              <w:jc w:val="left"/>
              <w:rPr>
                <w:rFonts w:ascii="DengXian" w:eastAsia="DengXian" w:hAnsi="DengXian" w:cs="SimSun"/>
                <w:sz w:val="21"/>
                <w:szCs w:val="21"/>
                <w:highlight w:val="green"/>
                <w:lang w:eastAsia="zh-CN"/>
              </w:rPr>
            </w:pPr>
            <w:r w:rsidRPr="00D27A3B">
              <w:rPr>
                <w:rFonts w:ascii="DengXian" w:eastAsia="DengXian" w:hAnsi="DengXian" w:cs="SimSun" w:hint="eastAsia"/>
                <w:sz w:val="21"/>
                <w:szCs w:val="21"/>
                <w:highlight w:val="green"/>
                <w:lang w:eastAsia="zh-CN"/>
              </w:rPr>
              <w:t>Agreements of RAN2:</w:t>
            </w:r>
          </w:p>
          <w:p w14:paraId="6DD9B78F" w14:textId="10855CC3" w:rsidR="00D27A3B" w:rsidRPr="00D27A3B" w:rsidRDefault="00D27A3B" w:rsidP="00D27A3B">
            <w:pPr>
              <w:autoSpaceDE/>
              <w:autoSpaceDN/>
              <w:adjustRightInd/>
              <w:snapToGrid/>
              <w:spacing w:after="0"/>
              <w:jc w:val="left"/>
              <w:rPr>
                <w:rFonts w:ascii="DengXian" w:eastAsia="DengXian" w:hAnsi="DengXian" w:cs="SimSun"/>
                <w:sz w:val="21"/>
                <w:szCs w:val="21"/>
                <w:lang w:eastAsia="zh-CN"/>
              </w:rPr>
            </w:pPr>
            <w:r w:rsidRPr="00D27A3B">
              <w:rPr>
                <w:rFonts w:ascii="DengXian" w:eastAsia="DengXian" w:hAnsi="DengXian" w:cs="SimSun" w:hint="eastAsia"/>
                <w:sz w:val="21"/>
                <w:szCs w:val="21"/>
                <w:lang w:val="en-GB" w:eastAsia="zh-CN"/>
              </w:rPr>
              <w:t xml:space="preserve">Will support in-coverage and study cases for reader “temporarily” out of connection (e.g. RLF, HO).  </w:t>
            </w:r>
            <w:r w:rsidRPr="00D27A3B">
              <w:rPr>
                <w:rFonts w:ascii="DengXian" w:eastAsia="DengXian" w:hAnsi="DengXian" w:cs="SimSun" w:hint="eastAsia"/>
                <w:sz w:val="21"/>
                <w:szCs w:val="21"/>
                <w:highlight w:val="yellow"/>
                <w:lang w:val="en-GB" w:eastAsia="zh-CN"/>
              </w:rPr>
              <w:t>May consider extendibility to future “temporarily” out of coverage case</w:t>
            </w:r>
            <w:r w:rsidRPr="00D27A3B">
              <w:rPr>
                <w:rFonts w:ascii="DengXian" w:eastAsia="DengXian" w:hAnsi="DengXian" w:cs="SimSun" w:hint="eastAsia"/>
                <w:sz w:val="21"/>
                <w:szCs w:val="21"/>
                <w:lang w:val="en-GB" w:eastAsia="zh-CN"/>
              </w:rPr>
              <w:t xml:space="preserve"> with full NW control of resources (if possible).    </w:t>
            </w:r>
          </w:p>
        </w:tc>
      </w:tr>
    </w:tbl>
    <w:p w14:paraId="4EA64307" w14:textId="77777777" w:rsidR="00D27A3B" w:rsidRDefault="00D27A3B" w:rsidP="009944D4"/>
    <w:p w14:paraId="75FC4AFF" w14:textId="4EED8FBB" w:rsidR="00357E01" w:rsidRDefault="00D27A3B" w:rsidP="009944D4">
      <w:r>
        <w:t>Out-of-coverage intermediate UE is</w:t>
      </w:r>
      <w:r w:rsidR="00357E01">
        <w:t xml:space="preserve"> clearly not in-scope, since the SID states the UE has a macro-cell basestation</w:t>
      </w:r>
      <w:r>
        <w:t xml:space="preserve">, and TR 38.848 clearly delineates between a UE (intermediate node) transferring data and/or </w:t>
      </w:r>
      <w:proofErr w:type="spellStart"/>
      <w:r>
        <w:t>signalling</w:t>
      </w:r>
      <w:proofErr w:type="spellEnd"/>
      <w:r>
        <w:t xml:space="preserve"> to a BS, i.e. being in-coverage, as Topology 2, vs. a UE not in coverage as being Topology 4.</w:t>
      </w:r>
    </w:p>
    <w:p w14:paraId="0AAFD34D" w14:textId="77777777" w:rsidR="00D27A3B" w:rsidRDefault="00D27A3B" w:rsidP="009944D4"/>
    <w:tbl>
      <w:tblPr>
        <w:tblStyle w:val="TableGrid"/>
        <w:tblW w:w="0" w:type="auto"/>
        <w:tblLook w:val="04A0" w:firstRow="1" w:lastRow="0" w:firstColumn="1" w:lastColumn="0" w:noHBand="0" w:noVBand="1"/>
      </w:tblPr>
      <w:tblGrid>
        <w:gridCol w:w="9307"/>
      </w:tblGrid>
      <w:tr w:rsidR="00357E01" w14:paraId="27284259" w14:textId="77777777" w:rsidTr="00357E01">
        <w:tc>
          <w:tcPr>
            <w:tcW w:w="9307" w:type="dxa"/>
          </w:tcPr>
          <w:p w14:paraId="3657450D" w14:textId="77777777" w:rsidR="00357E01" w:rsidRPr="00357E01" w:rsidRDefault="00357E01" w:rsidP="00357E01">
            <w:pPr>
              <w:numPr>
                <w:ilvl w:val="0"/>
                <w:numId w:val="39"/>
              </w:numPr>
              <w:overflowPunct w:val="0"/>
              <w:snapToGrid/>
              <w:spacing w:after="180"/>
              <w:ind w:right="-96"/>
              <w:jc w:val="left"/>
              <w:textAlignment w:val="baseline"/>
              <w:rPr>
                <w:i/>
                <w:iCs/>
                <w:sz w:val="20"/>
                <w:szCs w:val="20"/>
                <w:lang w:eastAsia="ja-JP"/>
              </w:rPr>
            </w:pPr>
            <w:bookmarkStart w:id="7" w:name="_Hlk160560296"/>
            <w:r w:rsidRPr="00357E01">
              <w:rPr>
                <w:i/>
                <w:iCs/>
                <w:sz w:val="20"/>
                <w:szCs w:val="20"/>
                <w:lang w:eastAsia="ja-JP"/>
              </w:rPr>
              <w:t>Deployment Scenarios with the following characteristics, referenced to the tables in Clause 4.2.2 of TR 38.848:</w:t>
            </w:r>
          </w:p>
          <w:p w14:paraId="4D00CC7A" w14:textId="77777777" w:rsidR="00357E01" w:rsidRPr="00357E01" w:rsidRDefault="00357E01" w:rsidP="00357E01">
            <w:pPr>
              <w:numPr>
                <w:ilvl w:val="0"/>
                <w:numId w:val="38"/>
              </w:numPr>
              <w:overflowPunct w:val="0"/>
              <w:snapToGrid/>
              <w:spacing w:after="180"/>
              <w:jc w:val="left"/>
              <w:textAlignment w:val="baseline"/>
              <w:rPr>
                <w:rFonts w:eastAsia="DengXian"/>
                <w:i/>
                <w:iCs/>
                <w:sz w:val="20"/>
                <w:szCs w:val="20"/>
                <w:lang w:val="en-GB" w:eastAsia="en-GB"/>
              </w:rPr>
            </w:pPr>
            <w:r w:rsidRPr="00357E01">
              <w:rPr>
                <w:rFonts w:eastAsia="DengXian"/>
                <w:i/>
                <w:iCs/>
                <w:sz w:val="20"/>
                <w:szCs w:val="20"/>
                <w:lang w:val="en-GB" w:eastAsia="en-GB"/>
              </w:rPr>
              <w:t>Deployment scenario 1 with Topology 1</w:t>
            </w:r>
          </w:p>
          <w:p w14:paraId="32B14C79" w14:textId="77777777" w:rsidR="00357E01" w:rsidRPr="00357E01" w:rsidRDefault="00357E01" w:rsidP="00357E01">
            <w:pPr>
              <w:numPr>
                <w:ilvl w:val="1"/>
                <w:numId w:val="38"/>
              </w:numPr>
              <w:overflowPunct w:val="0"/>
              <w:snapToGrid/>
              <w:spacing w:after="180"/>
              <w:jc w:val="left"/>
              <w:textAlignment w:val="baseline"/>
              <w:rPr>
                <w:rFonts w:eastAsia="DengXian"/>
                <w:i/>
                <w:iCs/>
                <w:sz w:val="20"/>
                <w:szCs w:val="20"/>
                <w:lang w:val="en-GB" w:eastAsia="en-GB"/>
              </w:rPr>
            </w:pPr>
            <w:r w:rsidRPr="00357E01">
              <w:rPr>
                <w:rFonts w:eastAsia="DengXian"/>
                <w:i/>
                <w:iCs/>
                <w:sz w:val="20"/>
                <w:szCs w:val="20"/>
                <w:lang w:val="en-GB" w:eastAsia="en-GB"/>
              </w:rPr>
              <w:t>Basestation and coexistence characteristics: Micro-cell, co-site</w:t>
            </w:r>
          </w:p>
          <w:p w14:paraId="56CF83DD" w14:textId="77777777" w:rsidR="00357E01" w:rsidRPr="00357E01" w:rsidRDefault="00357E01" w:rsidP="00357E01">
            <w:pPr>
              <w:numPr>
                <w:ilvl w:val="0"/>
                <w:numId w:val="38"/>
              </w:numPr>
              <w:overflowPunct w:val="0"/>
              <w:snapToGrid/>
              <w:spacing w:after="180"/>
              <w:jc w:val="left"/>
              <w:textAlignment w:val="baseline"/>
              <w:rPr>
                <w:rFonts w:eastAsia="DengXian"/>
                <w:i/>
                <w:iCs/>
                <w:sz w:val="20"/>
                <w:szCs w:val="20"/>
                <w:lang w:val="en-GB" w:eastAsia="en-GB"/>
              </w:rPr>
            </w:pPr>
            <w:r w:rsidRPr="00357E01" w:rsidDel="00E300E7">
              <w:rPr>
                <w:rFonts w:eastAsia="DengXian"/>
                <w:i/>
                <w:iCs/>
                <w:sz w:val="20"/>
                <w:szCs w:val="20"/>
                <w:lang w:val="en-GB" w:eastAsia="en-GB"/>
              </w:rPr>
              <w:t xml:space="preserve">  </w:t>
            </w:r>
            <w:r w:rsidRPr="00357E01">
              <w:rPr>
                <w:rFonts w:eastAsia="DengXian"/>
                <w:i/>
                <w:iCs/>
                <w:sz w:val="20"/>
                <w:szCs w:val="20"/>
                <w:lang w:val="en-GB" w:eastAsia="en-GB"/>
              </w:rPr>
              <w:t>Deployment scenario 2 with Topology 2 and UE as intermediate node, under network control</w:t>
            </w:r>
          </w:p>
          <w:p w14:paraId="7202A12E" w14:textId="77777777" w:rsidR="00357E01" w:rsidRPr="00357E01" w:rsidRDefault="00357E01" w:rsidP="00357E01">
            <w:pPr>
              <w:numPr>
                <w:ilvl w:val="1"/>
                <w:numId w:val="38"/>
              </w:numPr>
              <w:overflowPunct w:val="0"/>
              <w:snapToGrid/>
              <w:spacing w:after="180"/>
              <w:jc w:val="left"/>
              <w:textAlignment w:val="baseline"/>
              <w:rPr>
                <w:rFonts w:eastAsia="DengXian"/>
                <w:i/>
                <w:iCs/>
                <w:sz w:val="20"/>
                <w:szCs w:val="20"/>
                <w:lang w:val="en-GB" w:eastAsia="en-GB"/>
              </w:rPr>
            </w:pPr>
            <w:r w:rsidRPr="00357E01">
              <w:rPr>
                <w:rFonts w:eastAsia="DengXian"/>
                <w:i/>
                <w:iCs/>
                <w:sz w:val="20"/>
                <w:szCs w:val="20"/>
                <w:lang w:val="en-GB" w:eastAsia="en-GB"/>
              </w:rPr>
              <w:t>Basestation and coexistence characteristics: Macro-cell, co-site</w:t>
            </w:r>
          </w:p>
          <w:p w14:paraId="0BE9E5F9" w14:textId="6C57D6C2" w:rsidR="00357E01" w:rsidRPr="00357E01" w:rsidRDefault="00357E01" w:rsidP="009944D4">
            <w:pPr>
              <w:numPr>
                <w:ilvl w:val="1"/>
                <w:numId w:val="38"/>
              </w:numPr>
              <w:overflowPunct w:val="0"/>
              <w:snapToGrid/>
              <w:spacing w:after="180"/>
              <w:jc w:val="left"/>
              <w:textAlignment w:val="baseline"/>
              <w:rPr>
                <w:rFonts w:eastAsia="DengXian"/>
                <w:sz w:val="20"/>
                <w:szCs w:val="20"/>
                <w:lang w:val="en-GB" w:eastAsia="en-GB"/>
              </w:rPr>
            </w:pPr>
            <w:r w:rsidRPr="00357E01">
              <w:rPr>
                <w:rFonts w:eastAsia="DengXian"/>
                <w:i/>
                <w:iCs/>
                <w:sz w:val="20"/>
                <w:szCs w:val="20"/>
                <w:lang w:val="en-GB" w:eastAsia="en-GB"/>
              </w:rPr>
              <w:t>The location of intermediate node is indoor</w:t>
            </w:r>
            <w:bookmarkEnd w:id="7"/>
          </w:p>
        </w:tc>
      </w:tr>
    </w:tbl>
    <w:p w14:paraId="124C5177" w14:textId="1649E6B3" w:rsidR="00357E01" w:rsidRPr="00357E01" w:rsidRDefault="00357E01" w:rsidP="009944D4"/>
    <w:tbl>
      <w:tblPr>
        <w:tblStyle w:val="TableGrid"/>
        <w:tblW w:w="0" w:type="auto"/>
        <w:tblLook w:val="04A0" w:firstRow="1" w:lastRow="0" w:firstColumn="1" w:lastColumn="0" w:noHBand="0" w:noVBand="1"/>
      </w:tblPr>
      <w:tblGrid>
        <w:gridCol w:w="5197"/>
        <w:gridCol w:w="4110"/>
      </w:tblGrid>
      <w:tr w:rsidR="00357E01" w14:paraId="77EE14FD" w14:textId="77777777" w:rsidTr="0004495E">
        <w:tc>
          <w:tcPr>
            <w:tcW w:w="4673" w:type="dxa"/>
          </w:tcPr>
          <w:p w14:paraId="488ABBAA" w14:textId="77777777" w:rsidR="00357E01" w:rsidRPr="00D27A3B" w:rsidRDefault="00357E01" w:rsidP="009944D4">
            <w:pPr>
              <w:rPr>
                <w:b/>
                <w:bCs/>
                <w:i/>
                <w:iCs/>
              </w:rPr>
            </w:pPr>
            <w:r w:rsidRPr="00D27A3B">
              <w:rPr>
                <w:i/>
                <w:iCs/>
                <w:noProof/>
                <w:lang w:eastAsia="zh-CN"/>
              </w:rPr>
              <w:drawing>
                <wp:inline distT="0" distB="0" distL="0" distR="0" wp14:anchorId="6642DD2D" wp14:editId="2E2BF7E4">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3F736FF5" w14:textId="77777777" w:rsidR="00357E01" w:rsidRPr="00357E01" w:rsidRDefault="00357E01" w:rsidP="00357E01">
            <w:pPr>
              <w:overflowPunct w:val="0"/>
              <w:snapToGrid/>
              <w:spacing w:after="180"/>
              <w:jc w:val="left"/>
              <w:textAlignment w:val="baseline"/>
              <w:rPr>
                <w:rFonts w:eastAsia="Times New Roman"/>
                <w:i/>
                <w:iCs/>
                <w:sz w:val="20"/>
                <w:szCs w:val="20"/>
                <w:lang w:val="en-GB" w:eastAsia="en-GB"/>
              </w:rPr>
            </w:pPr>
            <w:r w:rsidRPr="00357E01">
              <w:rPr>
                <w:rFonts w:eastAsia="Times New Roman"/>
                <w:i/>
                <w:iCs/>
                <w:sz w:val="20"/>
                <w:szCs w:val="20"/>
                <w:lang w:val="en-GB" w:eastAsia="en-GB"/>
              </w:rPr>
              <w:t xml:space="preserve">In Topology 2, the Ambient IoT device communicates </w:t>
            </w:r>
            <w:r w:rsidRPr="00357E01">
              <w:rPr>
                <w:rFonts w:eastAsia="Times New Roman"/>
                <w:i/>
                <w:iCs/>
                <w:sz w:val="20"/>
                <w:szCs w:val="20"/>
                <w:lang w:val="en-GB" w:eastAsia="en-GB"/>
              </w:rPr>
              <w:lastRenderedPageBreak/>
              <w:t xml:space="preserve">bidirectionally with an intermediate node between the device and basestation. In this topology, the intermediate node can be a relay, IAB node, UE, repeater, etc. which is capable of Ambient IoT. </w:t>
            </w:r>
            <w:r w:rsidRPr="00357E01">
              <w:rPr>
                <w:rFonts w:eastAsia="Times New Roman"/>
                <w:i/>
                <w:iCs/>
                <w:sz w:val="20"/>
                <w:szCs w:val="20"/>
                <w:highlight w:val="yellow"/>
                <w:lang w:val="en-GB" w:eastAsia="en-GB"/>
              </w:rPr>
              <w:t>The intermediate node transfers Ambient IoT data and/or signalling between BS</w:t>
            </w:r>
            <w:r w:rsidRPr="00357E01">
              <w:rPr>
                <w:rFonts w:eastAsia="Times New Roman"/>
                <w:i/>
                <w:iCs/>
                <w:sz w:val="20"/>
                <w:szCs w:val="20"/>
                <w:lang w:val="en-GB" w:eastAsia="en-GB"/>
              </w:rPr>
              <w:t xml:space="preserve"> and the Ambient IoT device.</w:t>
            </w:r>
          </w:p>
          <w:p w14:paraId="026EB59A" w14:textId="198D071F" w:rsidR="00357E01" w:rsidRPr="00D27A3B" w:rsidRDefault="00357E01" w:rsidP="009944D4">
            <w:pPr>
              <w:rPr>
                <w:b/>
                <w:bCs/>
                <w:lang w:val="en-GB"/>
              </w:rPr>
            </w:pPr>
            <w:r w:rsidRPr="00D27A3B">
              <w:rPr>
                <w:b/>
                <w:bCs/>
                <w:lang w:val="en-GB"/>
              </w:rPr>
              <w:t>Figure 2a: Topology 2 as depicted and described in TR 38.848</w:t>
            </w:r>
          </w:p>
        </w:tc>
        <w:tc>
          <w:tcPr>
            <w:tcW w:w="4634" w:type="dxa"/>
          </w:tcPr>
          <w:p w14:paraId="2E4997F2" w14:textId="0A294D6A" w:rsidR="0004495E" w:rsidRPr="00D27A3B" w:rsidRDefault="0004495E" w:rsidP="009944D4">
            <w:pPr>
              <w:rPr>
                <w:i/>
                <w:iCs/>
                <w:noProof/>
                <w:lang w:eastAsia="zh-CN"/>
              </w:rPr>
            </w:pPr>
            <w:r w:rsidRPr="00D27A3B">
              <w:rPr>
                <w:i/>
                <w:iCs/>
                <w:noProof/>
                <w:lang w:eastAsia="zh-CN"/>
              </w:rPr>
              <w:lastRenderedPageBreak/>
              <w:drawing>
                <wp:inline distT="0" distB="0" distL="0" distR="0" wp14:anchorId="6D8B920E" wp14:editId="1E6F05EB">
                  <wp:extent cx="2573867" cy="1441135"/>
                  <wp:effectExtent l="0" t="0" r="0" b="6985"/>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3528" cy="1446544"/>
                          </a:xfrm>
                          <a:prstGeom prst="rect">
                            <a:avLst/>
                          </a:prstGeom>
                          <a:noFill/>
                          <a:ln>
                            <a:noFill/>
                          </a:ln>
                        </pic:spPr>
                      </pic:pic>
                    </a:graphicData>
                  </a:graphic>
                </wp:inline>
              </w:drawing>
            </w:r>
          </w:p>
          <w:p w14:paraId="0B856BAC" w14:textId="77777777" w:rsidR="0004495E" w:rsidRPr="00D27A3B" w:rsidRDefault="0004495E" w:rsidP="0004495E">
            <w:pPr>
              <w:rPr>
                <w:rFonts w:eastAsia="Times New Roman"/>
                <w:i/>
                <w:iCs/>
                <w:lang w:val="en-GB" w:eastAsia="zh-CN"/>
              </w:rPr>
            </w:pPr>
          </w:p>
          <w:p w14:paraId="0101C23B" w14:textId="3E5B03C4" w:rsidR="0004495E" w:rsidRPr="00D27A3B" w:rsidRDefault="0004495E" w:rsidP="0004495E">
            <w:pPr>
              <w:rPr>
                <w:rFonts w:eastAsia="Times New Roman"/>
                <w:i/>
                <w:iCs/>
                <w:sz w:val="20"/>
                <w:szCs w:val="20"/>
                <w:lang w:val="en-GB" w:eastAsia="zh-CN"/>
              </w:rPr>
            </w:pPr>
            <w:r w:rsidRPr="00D27A3B">
              <w:rPr>
                <w:rFonts w:eastAsia="Times New Roman"/>
                <w:i/>
                <w:iCs/>
                <w:sz w:val="20"/>
                <w:szCs w:val="20"/>
                <w:lang w:val="en-GB" w:eastAsia="zh-CN"/>
              </w:rPr>
              <w:t xml:space="preserve">In Topology 4, the Ambient IoT device </w:t>
            </w:r>
            <w:r w:rsidRPr="00D27A3B">
              <w:rPr>
                <w:rFonts w:eastAsia="Times New Roman"/>
                <w:i/>
                <w:iCs/>
                <w:sz w:val="20"/>
                <w:szCs w:val="20"/>
                <w:lang w:val="en-GB" w:eastAsia="zh-CN"/>
              </w:rPr>
              <w:lastRenderedPageBreak/>
              <w:t>communicates bidirectionally with a UE. The communication between UE and the ambient IoT device includes Ambient IoT data and/or signalling.</w:t>
            </w:r>
          </w:p>
          <w:p w14:paraId="44AC5536" w14:textId="77777777" w:rsidR="0004495E" w:rsidRPr="00D27A3B" w:rsidRDefault="0004495E" w:rsidP="0004495E">
            <w:pPr>
              <w:rPr>
                <w:rFonts w:eastAsia="Times New Roman"/>
                <w:i/>
                <w:iCs/>
                <w:sz w:val="20"/>
                <w:szCs w:val="20"/>
                <w:lang w:val="en-GB" w:eastAsia="zh-CN"/>
              </w:rPr>
            </w:pPr>
          </w:p>
          <w:p w14:paraId="6C3993F5" w14:textId="5D702123" w:rsidR="00357E01" w:rsidRPr="00D27A3B" w:rsidRDefault="0004495E" w:rsidP="009944D4">
            <w:pPr>
              <w:rPr>
                <w:b/>
                <w:bCs/>
              </w:rPr>
            </w:pPr>
            <w:r w:rsidRPr="00D27A3B">
              <w:rPr>
                <w:b/>
                <w:bCs/>
                <w:lang w:val="en-GB"/>
              </w:rPr>
              <w:t>Figure 2b: Topology 4 as depicted and described in TR 38.848</w:t>
            </w:r>
          </w:p>
        </w:tc>
      </w:tr>
    </w:tbl>
    <w:p w14:paraId="0C86930D" w14:textId="77777777" w:rsidR="00746D93" w:rsidRDefault="00746D93" w:rsidP="009944D4">
      <w:pPr>
        <w:rPr>
          <w:b/>
          <w:bCs/>
          <w:lang w:eastAsia="zh-CN"/>
        </w:rPr>
      </w:pPr>
    </w:p>
    <w:p w14:paraId="35241C09" w14:textId="144BA415" w:rsidR="0004495E" w:rsidRPr="005858DB" w:rsidRDefault="00783BBC" w:rsidP="009944D4">
      <w:pPr>
        <w:rPr>
          <w:b/>
          <w:bCs/>
        </w:rPr>
      </w:pPr>
      <w:r>
        <w:rPr>
          <w:b/>
          <w:bCs/>
        </w:rPr>
        <w:t>Ob</w:t>
      </w:r>
      <w:r w:rsidR="007E3C4A">
        <w:rPr>
          <w:b/>
          <w:bCs/>
        </w:rPr>
        <w:t>s</w:t>
      </w:r>
      <w:r>
        <w:rPr>
          <w:b/>
          <w:bCs/>
        </w:rPr>
        <w:t>ervation</w:t>
      </w:r>
      <w:r w:rsidR="0004495E" w:rsidRPr="005858DB">
        <w:rPr>
          <w:b/>
          <w:bCs/>
        </w:rPr>
        <w:t xml:space="preserve">: </w:t>
      </w:r>
      <w:r w:rsidR="007E3C4A">
        <w:rPr>
          <w:b/>
          <w:bCs/>
        </w:rPr>
        <w:t>O</w:t>
      </w:r>
      <w:r w:rsidR="0004495E" w:rsidRPr="005858DB">
        <w:rPr>
          <w:b/>
          <w:bCs/>
        </w:rPr>
        <w:t>ut-of-coverage intermediate UE</w:t>
      </w:r>
      <w:r w:rsidR="00EC2FF0" w:rsidRPr="005858DB">
        <w:rPr>
          <w:b/>
          <w:bCs/>
        </w:rPr>
        <w:t xml:space="preserve"> in topology 2</w:t>
      </w:r>
      <w:r w:rsidR="00331526">
        <w:rPr>
          <w:b/>
          <w:bCs/>
        </w:rPr>
        <w:t xml:space="preserve"> is not in scope of </w:t>
      </w:r>
      <w:r w:rsidR="004D60AB">
        <w:rPr>
          <w:b/>
          <w:bCs/>
        </w:rPr>
        <w:t>Rel-19 Ambient IoT, in line with RAN2 agreement</w:t>
      </w:r>
      <w:r w:rsidR="00EC2FF0" w:rsidRPr="005858DB">
        <w:rPr>
          <w:b/>
          <w:bCs/>
        </w:rPr>
        <w:t>.</w:t>
      </w:r>
    </w:p>
    <w:p w14:paraId="4C849860" w14:textId="77777777" w:rsidR="0004495E" w:rsidRDefault="0004495E" w:rsidP="009944D4">
      <w:pPr>
        <w:rPr>
          <w:b/>
          <w:bCs/>
        </w:rPr>
      </w:pPr>
    </w:p>
    <w:p w14:paraId="27A3AC4A" w14:textId="20162369" w:rsidR="005030C2" w:rsidRDefault="005030C2" w:rsidP="004F668A">
      <w:pPr>
        <w:pStyle w:val="Heading1"/>
      </w:pPr>
      <w:r w:rsidRPr="00211CCD">
        <w:t>Conclusion</w:t>
      </w:r>
    </w:p>
    <w:p w14:paraId="78282D18" w14:textId="38725BC2" w:rsidR="001D3130" w:rsidRDefault="004703A5" w:rsidP="001D3130">
      <w:pPr>
        <w:tabs>
          <w:tab w:val="num" w:pos="2160"/>
        </w:tabs>
        <w:rPr>
          <w:bCs/>
          <w:lang w:val="en-GB" w:eastAsia="zh-CN"/>
        </w:rPr>
      </w:pPr>
      <w:r w:rsidRPr="004703A5">
        <w:rPr>
          <w:bCs/>
          <w:lang w:val="en-GB" w:eastAsia="zh-CN"/>
        </w:rPr>
        <w:t xml:space="preserve">This </w:t>
      </w:r>
      <w:r w:rsidR="00AA73A0">
        <w:rPr>
          <w:bCs/>
          <w:lang w:val="en-GB" w:eastAsia="zh-CN"/>
        </w:rPr>
        <w:t xml:space="preserve">paper has proposed what guidance </w:t>
      </w:r>
      <w:r w:rsidR="00406988">
        <w:rPr>
          <w:bCs/>
          <w:lang w:val="en-GB" w:eastAsia="zh-CN"/>
        </w:rPr>
        <w:t>RAN should give</w:t>
      </w:r>
      <w:r w:rsidR="005B2045">
        <w:rPr>
          <w:bCs/>
          <w:lang w:val="en-GB" w:eastAsia="zh-CN"/>
        </w:rPr>
        <w:t xml:space="preserve"> to RAN1</w:t>
      </w:r>
      <w:r w:rsidR="00406988">
        <w:rPr>
          <w:bCs/>
          <w:lang w:val="en-GB" w:eastAsia="zh-CN"/>
        </w:rPr>
        <w:t xml:space="preserve"> </w:t>
      </w:r>
      <w:r w:rsidR="00FC4BEB">
        <w:rPr>
          <w:bCs/>
          <w:lang w:val="en-GB" w:eastAsia="zh-CN"/>
        </w:rPr>
        <w:t>for the</w:t>
      </w:r>
      <w:r w:rsidR="00406988">
        <w:rPr>
          <w:bCs/>
          <w:lang w:val="en-GB" w:eastAsia="zh-CN"/>
        </w:rPr>
        <w:t xml:space="preserve"> Rel-19</w:t>
      </w:r>
      <w:r w:rsidR="00FC4BEB">
        <w:rPr>
          <w:bCs/>
          <w:lang w:val="en-GB" w:eastAsia="zh-CN"/>
        </w:rPr>
        <w:t xml:space="preserve"> Ambient IoT SI </w:t>
      </w:r>
      <w:r w:rsidR="00AA73A0">
        <w:rPr>
          <w:bCs/>
          <w:lang w:val="en-GB" w:eastAsia="zh-CN"/>
        </w:rPr>
        <w:t>so that companies are clear on what remains to be done in the objective</w:t>
      </w:r>
      <w:r w:rsidR="00D970E6">
        <w:rPr>
          <w:bCs/>
          <w:lang w:val="en-GB" w:eastAsia="zh-CN"/>
        </w:rPr>
        <w:t xml:space="preserve"> </w:t>
      </w:r>
      <w:r w:rsidR="00AA73A0">
        <w:rPr>
          <w:bCs/>
          <w:lang w:val="en-GB" w:eastAsia="zh-CN"/>
        </w:rPr>
        <w:t xml:space="preserve">of device architecture, and </w:t>
      </w:r>
      <w:r w:rsidR="00D970E6">
        <w:rPr>
          <w:bCs/>
          <w:lang w:val="en-GB" w:eastAsia="zh-CN"/>
        </w:rPr>
        <w:t xml:space="preserve">are clear the </w:t>
      </w:r>
      <w:r w:rsidR="00AA73A0">
        <w:rPr>
          <w:bCs/>
          <w:lang w:val="en-GB" w:eastAsia="zh-CN"/>
        </w:rPr>
        <w:t>CW waveform characteristics</w:t>
      </w:r>
      <w:r w:rsidR="00D970E6">
        <w:rPr>
          <w:bCs/>
          <w:lang w:val="en-GB" w:eastAsia="zh-CN"/>
        </w:rPr>
        <w:t xml:space="preserve"> objective is now complete.</w:t>
      </w:r>
    </w:p>
    <w:p w14:paraId="499BFE79" w14:textId="77777777" w:rsidR="007E3C4A" w:rsidRDefault="007E3C4A" w:rsidP="007E3C4A">
      <w:pPr>
        <w:rPr>
          <w:rFonts w:eastAsiaTheme="minorEastAsia"/>
          <w:b/>
          <w:bCs/>
          <w:lang w:eastAsia="zh-CN"/>
        </w:rPr>
      </w:pPr>
      <w:r w:rsidRPr="001424EE">
        <w:rPr>
          <w:rFonts w:eastAsiaTheme="minorEastAsia"/>
          <w:b/>
          <w:bCs/>
          <w:lang w:eastAsia="zh-CN"/>
        </w:rPr>
        <w:t xml:space="preserve">Proposal 1: </w:t>
      </w:r>
      <w:r>
        <w:rPr>
          <w:rFonts w:eastAsiaTheme="minorEastAsia"/>
          <w:b/>
          <w:bCs/>
          <w:lang w:eastAsia="zh-CN"/>
        </w:rPr>
        <w:t>For A-IoT device architectures:</w:t>
      </w:r>
    </w:p>
    <w:p w14:paraId="007E37E9" w14:textId="77777777" w:rsidR="007E3C4A" w:rsidRDefault="007E3C4A" w:rsidP="007E3C4A">
      <w:pPr>
        <w:pStyle w:val="ListParagraph"/>
        <w:numPr>
          <w:ilvl w:val="0"/>
          <w:numId w:val="28"/>
        </w:numPr>
        <w:ind w:firstLineChars="0"/>
        <w:rPr>
          <w:rFonts w:eastAsiaTheme="minorEastAsia"/>
          <w:b/>
          <w:bCs/>
          <w:lang w:eastAsia="zh-CN"/>
        </w:rPr>
      </w:pPr>
      <w:r>
        <w:rPr>
          <w:rFonts w:eastAsiaTheme="minorEastAsia"/>
          <w:b/>
          <w:bCs/>
          <w:lang w:eastAsia="zh-CN"/>
        </w:rPr>
        <w:t>RAN1 to complete the “purposes of clocks” table by primarily offline work.</w:t>
      </w:r>
    </w:p>
    <w:p w14:paraId="053391DB" w14:textId="77777777" w:rsidR="007E3C4A" w:rsidRDefault="007E3C4A" w:rsidP="007E3C4A">
      <w:pPr>
        <w:pStyle w:val="ListParagraph"/>
        <w:numPr>
          <w:ilvl w:val="0"/>
          <w:numId w:val="28"/>
        </w:numPr>
        <w:ind w:firstLineChars="0"/>
        <w:rPr>
          <w:rFonts w:eastAsiaTheme="minorEastAsia"/>
          <w:b/>
          <w:bCs/>
          <w:lang w:eastAsia="zh-CN"/>
        </w:rPr>
      </w:pPr>
      <w:r>
        <w:rPr>
          <w:rFonts w:eastAsiaTheme="minorEastAsia"/>
          <w:b/>
          <w:bCs/>
          <w:lang w:eastAsia="zh-CN"/>
        </w:rPr>
        <w:t>RAN1 not to re-discuss “quantitative characterization of the device sustainable operation time”. Companies are trusted to make appropriate reports under the solution-directed agenda item, 9.4.2.2.</w:t>
      </w:r>
    </w:p>
    <w:p w14:paraId="266F387B" w14:textId="77777777" w:rsidR="007E3C4A" w:rsidRDefault="007E3C4A" w:rsidP="007E3C4A">
      <w:pPr>
        <w:pStyle w:val="ListParagraph"/>
        <w:numPr>
          <w:ilvl w:val="0"/>
          <w:numId w:val="28"/>
        </w:numPr>
        <w:ind w:firstLineChars="0"/>
        <w:rPr>
          <w:rFonts w:eastAsiaTheme="minorEastAsia"/>
          <w:b/>
          <w:bCs/>
          <w:lang w:eastAsia="zh-CN"/>
        </w:rPr>
      </w:pPr>
      <w:r>
        <w:rPr>
          <w:rFonts w:eastAsiaTheme="minorEastAsia"/>
          <w:b/>
          <w:bCs/>
          <w:lang w:eastAsia="zh-CN"/>
        </w:rPr>
        <w:t>Alternatively:</w:t>
      </w:r>
    </w:p>
    <w:p w14:paraId="13D69552" w14:textId="77777777" w:rsidR="007E3C4A" w:rsidRDefault="007E3C4A" w:rsidP="007E3C4A">
      <w:pPr>
        <w:pStyle w:val="ListParagraph"/>
        <w:numPr>
          <w:ilvl w:val="1"/>
          <w:numId w:val="28"/>
        </w:numPr>
        <w:ind w:firstLineChars="0"/>
        <w:rPr>
          <w:rFonts w:eastAsiaTheme="minorEastAsia"/>
          <w:b/>
          <w:bCs/>
          <w:lang w:eastAsia="zh-CN"/>
        </w:rPr>
      </w:pPr>
      <w:r>
        <w:rPr>
          <w:rFonts w:eastAsiaTheme="minorEastAsia"/>
          <w:b/>
          <w:bCs/>
          <w:lang w:eastAsia="zh-CN"/>
        </w:rPr>
        <w:t>The remaining FFS cells in the “purposes of clocks table” are removed; and</w:t>
      </w:r>
    </w:p>
    <w:p w14:paraId="2A2B1BAE" w14:textId="77777777" w:rsidR="007E3C4A" w:rsidRPr="00141287" w:rsidRDefault="007E3C4A" w:rsidP="007E3C4A">
      <w:pPr>
        <w:pStyle w:val="ListParagraph"/>
        <w:numPr>
          <w:ilvl w:val="1"/>
          <w:numId w:val="28"/>
        </w:numPr>
        <w:ind w:firstLineChars="0"/>
        <w:rPr>
          <w:rFonts w:eastAsiaTheme="minorEastAsia"/>
          <w:b/>
          <w:bCs/>
          <w:lang w:eastAsia="zh-CN"/>
        </w:rPr>
      </w:pPr>
      <w:r>
        <w:rPr>
          <w:rFonts w:eastAsiaTheme="minorEastAsia"/>
          <w:b/>
          <w:bCs/>
          <w:lang w:eastAsia="zh-CN"/>
        </w:rPr>
        <w:t>The objective is considered successfully completed, on schedule.</w:t>
      </w:r>
    </w:p>
    <w:p w14:paraId="0ADFBD1C" w14:textId="48ED23F8" w:rsidR="00CF0DE3" w:rsidRDefault="00CF0DE3" w:rsidP="001D3130">
      <w:pPr>
        <w:tabs>
          <w:tab w:val="num" w:pos="2160"/>
        </w:tabs>
        <w:rPr>
          <w:bCs/>
          <w:lang w:eastAsia="zh-CN"/>
        </w:rPr>
      </w:pPr>
    </w:p>
    <w:p w14:paraId="5D141AA1" w14:textId="77777777" w:rsidR="007E3C4A" w:rsidRDefault="007E3C4A" w:rsidP="007E3C4A">
      <w:pPr>
        <w:rPr>
          <w:b/>
          <w:bCs/>
        </w:rPr>
      </w:pPr>
      <w:r w:rsidRPr="007B60B6">
        <w:rPr>
          <w:b/>
          <w:bCs/>
        </w:rPr>
        <w:t xml:space="preserve">Proposal 2: The objective on carrier-waveform characteristics is considered complete in </w:t>
      </w:r>
      <w:r>
        <w:rPr>
          <w:b/>
          <w:bCs/>
        </w:rPr>
        <w:t>RAN1 for Rel-19 SI purposes</w:t>
      </w:r>
      <w:r w:rsidRPr="007B60B6">
        <w:rPr>
          <w:b/>
          <w:bCs/>
        </w:rPr>
        <w:t>.</w:t>
      </w:r>
    </w:p>
    <w:p w14:paraId="4C89C9EB" w14:textId="674E7FA8" w:rsidR="007E3C4A" w:rsidRDefault="007E3C4A" w:rsidP="001D3130">
      <w:pPr>
        <w:tabs>
          <w:tab w:val="num" w:pos="2160"/>
        </w:tabs>
        <w:rPr>
          <w:bCs/>
          <w:lang w:eastAsia="zh-CN"/>
        </w:rPr>
      </w:pPr>
    </w:p>
    <w:p w14:paraId="7EA7B228" w14:textId="77777777" w:rsidR="007E3C4A" w:rsidRPr="005858DB" w:rsidRDefault="007E3C4A" w:rsidP="007E3C4A">
      <w:pPr>
        <w:rPr>
          <w:b/>
          <w:bCs/>
        </w:rPr>
      </w:pPr>
      <w:r>
        <w:rPr>
          <w:b/>
          <w:bCs/>
        </w:rPr>
        <w:t>Observation</w:t>
      </w:r>
      <w:r w:rsidRPr="005858DB">
        <w:rPr>
          <w:b/>
          <w:bCs/>
        </w:rPr>
        <w:t xml:space="preserve">: </w:t>
      </w:r>
      <w:r>
        <w:rPr>
          <w:b/>
          <w:bCs/>
        </w:rPr>
        <w:t>O</w:t>
      </w:r>
      <w:r w:rsidRPr="005858DB">
        <w:rPr>
          <w:b/>
          <w:bCs/>
        </w:rPr>
        <w:t>ut-of-coverage intermediate UE in topology 2</w:t>
      </w:r>
      <w:r>
        <w:rPr>
          <w:b/>
          <w:bCs/>
        </w:rPr>
        <w:t xml:space="preserve"> is not in scope of Rel-19 Ambient IoT, in line with RAN2 agreement</w:t>
      </w:r>
      <w:r w:rsidRPr="005858DB">
        <w:rPr>
          <w:b/>
          <w:bCs/>
        </w:rPr>
        <w:t>.</w:t>
      </w:r>
    </w:p>
    <w:p w14:paraId="498442D2" w14:textId="77777777" w:rsidR="007E3C4A" w:rsidRPr="002103D6" w:rsidRDefault="007E3C4A" w:rsidP="001D3130">
      <w:pPr>
        <w:tabs>
          <w:tab w:val="num" w:pos="2160"/>
        </w:tabs>
        <w:rPr>
          <w:bCs/>
          <w:lang w:eastAsia="zh-CN"/>
        </w:rPr>
      </w:pPr>
    </w:p>
    <w:p w14:paraId="32F263B0" w14:textId="77777777" w:rsidR="001D780E" w:rsidRPr="006B77DD" w:rsidRDefault="001D780E" w:rsidP="00CF195E">
      <w:pPr>
        <w:pStyle w:val="Heading1"/>
        <w:numPr>
          <w:ilvl w:val="0"/>
          <w:numId w:val="0"/>
        </w:numPr>
        <w:ind w:left="432" w:hanging="432"/>
      </w:pPr>
      <w:r w:rsidRPr="006B77DD">
        <w:t>References</w:t>
      </w:r>
    </w:p>
    <w:p w14:paraId="166EF7C7" w14:textId="793E9190" w:rsidR="005B7BA9" w:rsidRDefault="00DE37B4" w:rsidP="001408A4">
      <w:pPr>
        <w:pStyle w:val="ListParagraph"/>
        <w:numPr>
          <w:ilvl w:val="0"/>
          <w:numId w:val="11"/>
        </w:numPr>
        <w:ind w:firstLineChars="0"/>
        <w:rPr>
          <w:kern w:val="2"/>
          <w:sz w:val="20"/>
          <w:szCs w:val="16"/>
          <w:lang w:eastAsia="zh-CN"/>
        </w:rPr>
      </w:pPr>
      <w:bookmarkStart w:id="8" w:name="_Ref151642016"/>
      <w:bookmarkEnd w:id="2"/>
      <w:bookmarkEnd w:id="4"/>
      <w:bookmarkEnd w:id="5"/>
      <w:bookmarkEnd w:id="6"/>
      <w:r w:rsidRPr="00DE37B4">
        <w:rPr>
          <w:kern w:val="2"/>
          <w:sz w:val="20"/>
          <w:szCs w:val="16"/>
          <w:lang w:eastAsia="zh-CN"/>
        </w:rPr>
        <w:t>R1-2400328</w:t>
      </w:r>
      <w:r>
        <w:rPr>
          <w:kern w:val="2"/>
          <w:sz w:val="20"/>
          <w:szCs w:val="16"/>
          <w:lang w:eastAsia="zh-CN"/>
        </w:rPr>
        <w:t>, “</w:t>
      </w:r>
      <w:r w:rsidRPr="00DE37B4">
        <w:rPr>
          <w:kern w:val="2"/>
          <w:sz w:val="20"/>
          <w:szCs w:val="16"/>
          <w:lang w:eastAsia="zh-CN"/>
        </w:rPr>
        <w:t>Ambient IoT Study Item work plan</w:t>
      </w:r>
      <w:r>
        <w:rPr>
          <w:kern w:val="2"/>
          <w:sz w:val="20"/>
          <w:szCs w:val="16"/>
          <w:lang w:eastAsia="zh-CN"/>
        </w:rPr>
        <w:t>”, RAN1#116, Athens, Greece, February 202</w:t>
      </w:r>
      <w:r w:rsidR="005339F5">
        <w:rPr>
          <w:kern w:val="2"/>
          <w:sz w:val="20"/>
          <w:szCs w:val="16"/>
          <w:lang w:eastAsia="zh-CN"/>
        </w:rPr>
        <w:t>4</w:t>
      </w:r>
      <w:r w:rsidR="005B7BA9" w:rsidRPr="005B7BA9">
        <w:rPr>
          <w:kern w:val="2"/>
          <w:sz w:val="20"/>
          <w:szCs w:val="16"/>
          <w:lang w:eastAsia="zh-CN"/>
        </w:rPr>
        <w:t>.</w:t>
      </w:r>
      <w:bookmarkEnd w:id="8"/>
    </w:p>
    <w:p w14:paraId="6D951805" w14:textId="7CF67D8B" w:rsidR="006E11DD" w:rsidRDefault="006E11DD" w:rsidP="006E11DD">
      <w:pPr>
        <w:pStyle w:val="ListParagraph"/>
        <w:ind w:left="420" w:firstLineChars="0" w:firstLine="0"/>
        <w:rPr>
          <w:kern w:val="2"/>
          <w:sz w:val="20"/>
          <w:szCs w:val="16"/>
          <w:lang w:eastAsia="zh-CN"/>
        </w:rPr>
      </w:pPr>
      <w:r>
        <w:rPr>
          <w:kern w:val="2"/>
          <w:sz w:val="20"/>
          <w:szCs w:val="16"/>
          <w:lang w:eastAsia="zh-CN"/>
        </w:rPr>
        <w:t>(and equivalents in RAN2,3,4</w:t>
      </w:r>
      <w:r w:rsidR="000A00A5">
        <w:rPr>
          <w:kern w:val="2"/>
          <w:sz w:val="20"/>
          <w:szCs w:val="16"/>
          <w:lang w:eastAsia="zh-CN"/>
        </w:rPr>
        <w:t xml:space="preserve"> in April WG meetings</w:t>
      </w:r>
      <w:r>
        <w:rPr>
          <w:kern w:val="2"/>
          <w:sz w:val="20"/>
          <w:szCs w:val="16"/>
          <w:lang w:eastAsia="zh-CN"/>
        </w:rPr>
        <w:t>).</w:t>
      </w:r>
    </w:p>
    <w:p w14:paraId="05A414B0" w14:textId="3D5C3D4D" w:rsidR="003D0108" w:rsidRDefault="000E537E" w:rsidP="001408A4">
      <w:pPr>
        <w:pStyle w:val="ListParagraph"/>
        <w:numPr>
          <w:ilvl w:val="0"/>
          <w:numId w:val="11"/>
        </w:numPr>
        <w:ind w:firstLineChars="0"/>
        <w:rPr>
          <w:kern w:val="2"/>
          <w:sz w:val="20"/>
          <w:szCs w:val="16"/>
          <w:lang w:eastAsia="zh-CN"/>
        </w:rPr>
      </w:pPr>
      <w:r w:rsidRPr="000E537E">
        <w:rPr>
          <w:kern w:val="2"/>
          <w:sz w:val="20"/>
          <w:szCs w:val="16"/>
          <w:lang w:eastAsia="zh-CN"/>
        </w:rPr>
        <w:t>RP-240826</w:t>
      </w:r>
      <w:r>
        <w:rPr>
          <w:kern w:val="2"/>
          <w:sz w:val="20"/>
          <w:szCs w:val="16"/>
          <w:lang w:eastAsia="zh-CN"/>
        </w:rPr>
        <w:t>, “</w:t>
      </w:r>
      <w:r w:rsidRPr="000E537E">
        <w:rPr>
          <w:kern w:val="2"/>
          <w:sz w:val="20"/>
          <w:szCs w:val="16"/>
          <w:lang w:eastAsia="zh-CN"/>
        </w:rPr>
        <w:t>Revised SID: Study on solutions for Ambient IoT (Internet of Things) in NR</w:t>
      </w:r>
      <w:r>
        <w:rPr>
          <w:kern w:val="2"/>
          <w:sz w:val="20"/>
          <w:szCs w:val="16"/>
          <w:lang w:eastAsia="zh-CN"/>
        </w:rPr>
        <w:t xml:space="preserve">”, </w:t>
      </w:r>
      <w:r w:rsidRPr="000E537E">
        <w:rPr>
          <w:kern w:val="2"/>
          <w:sz w:val="20"/>
          <w:szCs w:val="16"/>
          <w:lang w:eastAsia="zh-CN"/>
        </w:rPr>
        <w:t>CMCC, Huawei, T-Mobile USA</w:t>
      </w:r>
      <w:r>
        <w:rPr>
          <w:kern w:val="2"/>
          <w:sz w:val="20"/>
          <w:szCs w:val="16"/>
          <w:lang w:eastAsia="zh-CN"/>
        </w:rPr>
        <w:t>, RAN#103, Maastricht,</w:t>
      </w:r>
      <w:r w:rsidR="00EC14D4">
        <w:rPr>
          <w:kern w:val="2"/>
          <w:sz w:val="20"/>
          <w:szCs w:val="16"/>
          <w:lang w:eastAsia="zh-CN"/>
        </w:rPr>
        <w:t xml:space="preserve"> Netherlands,</w:t>
      </w:r>
      <w:r>
        <w:rPr>
          <w:kern w:val="2"/>
          <w:sz w:val="20"/>
          <w:szCs w:val="16"/>
          <w:lang w:eastAsia="zh-CN"/>
        </w:rPr>
        <w:t xml:space="preserve"> March 202</w:t>
      </w:r>
      <w:r w:rsidR="00DE37B4">
        <w:rPr>
          <w:kern w:val="2"/>
          <w:sz w:val="20"/>
          <w:szCs w:val="16"/>
          <w:lang w:eastAsia="zh-CN"/>
        </w:rPr>
        <w:t>4</w:t>
      </w:r>
      <w:r w:rsidR="003D0108">
        <w:rPr>
          <w:kern w:val="2"/>
          <w:sz w:val="20"/>
          <w:szCs w:val="16"/>
          <w:lang w:eastAsia="zh-CN"/>
        </w:rPr>
        <w:t>.</w:t>
      </w:r>
    </w:p>
    <w:p w14:paraId="16A88120" w14:textId="6B0B1A8A" w:rsidR="00DB1375" w:rsidRDefault="00DB1375" w:rsidP="001408A4">
      <w:pPr>
        <w:pStyle w:val="ListParagraph"/>
        <w:numPr>
          <w:ilvl w:val="0"/>
          <w:numId w:val="11"/>
        </w:numPr>
        <w:ind w:firstLineChars="0"/>
        <w:rPr>
          <w:kern w:val="2"/>
          <w:sz w:val="20"/>
          <w:szCs w:val="16"/>
          <w:lang w:eastAsia="zh-CN"/>
        </w:rPr>
      </w:pPr>
      <w:r w:rsidRPr="00DB1375">
        <w:rPr>
          <w:kern w:val="2"/>
          <w:sz w:val="20"/>
          <w:szCs w:val="16"/>
          <w:lang w:eastAsia="zh-CN"/>
        </w:rPr>
        <w:t>R1-2407276</w:t>
      </w:r>
      <w:r>
        <w:rPr>
          <w:kern w:val="2"/>
          <w:sz w:val="20"/>
          <w:szCs w:val="16"/>
          <w:lang w:eastAsia="zh-CN"/>
        </w:rPr>
        <w:t>, “</w:t>
      </w:r>
      <w:r w:rsidRPr="00DB1375">
        <w:rPr>
          <w:kern w:val="2"/>
          <w:sz w:val="20"/>
          <w:szCs w:val="16"/>
          <w:lang w:eastAsia="zh-CN"/>
        </w:rPr>
        <w:t>RAN1#118 FL Summary Final for 9.4.1.2 Ambient IoT Device Architecture</w:t>
      </w:r>
      <w:r>
        <w:rPr>
          <w:kern w:val="2"/>
          <w:sz w:val="20"/>
          <w:szCs w:val="16"/>
          <w:lang w:eastAsia="zh-CN"/>
        </w:rPr>
        <w:t xml:space="preserve">”, </w:t>
      </w:r>
      <w:r w:rsidR="003318F6">
        <w:rPr>
          <w:kern w:val="2"/>
          <w:sz w:val="20"/>
          <w:szCs w:val="16"/>
          <w:lang w:eastAsia="zh-CN"/>
        </w:rPr>
        <w:t>Feature Lead (</w:t>
      </w:r>
      <w:r>
        <w:rPr>
          <w:kern w:val="2"/>
          <w:sz w:val="20"/>
          <w:szCs w:val="16"/>
          <w:lang w:eastAsia="zh-CN"/>
        </w:rPr>
        <w:t>Qualcomm</w:t>
      </w:r>
      <w:r w:rsidR="005C7378">
        <w:rPr>
          <w:kern w:val="2"/>
          <w:sz w:val="20"/>
          <w:szCs w:val="16"/>
          <w:lang w:eastAsia="zh-CN"/>
        </w:rPr>
        <w:t>)</w:t>
      </w:r>
      <w:r>
        <w:rPr>
          <w:kern w:val="2"/>
          <w:sz w:val="20"/>
          <w:szCs w:val="16"/>
          <w:lang w:eastAsia="zh-CN"/>
        </w:rPr>
        <w:t>, RAN1#118, Maastricht, August 2024.</w:t>
      </w:r>
    </w:p>
    <w:p w14:paraId="3710D861" w14:textId="77777777" w:rsidR="0098701C" w:rsidRPr="0098701C" w:rsidRDefault="0098701C" w:rsidP="0098701C">
      <w:pPr>
        <w:rPr>
          <w:i/>
          <w:iCs/>
          <w:kern w:val="2"/>
          <w:sz w:val="20"/>
          <w:szCs w:val="16"/>
          <w:lang w:eastAsia="zh-CN"/>
        </w:rPr>
      </w:pPr>
    </w:p>
    <w:sectPr w:rsidR="0098701C" w:rsidRPr="009870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10CE2" w14:textId="77777777" w:rsidR="00D00226" w:rsidRDefault="00D00226">
      <w:r>
        <w:separator/>
      </w:r>
    </w:p>
  </w:endnote>
  <w:endnote w:type="continuationSeparator" w:id="0">
    <w:p w14:paraId="390EF034" w14:textId="77777777" w:rsidR="00D00226" w:rsidRDefault="00D00226">
      <w:r>
        <w:continuationSeparator/>
      </w:r>
    </w:p>
  </w:endnote>
  <w:endnote w:type="continuationNotice" w:id="1">
    <w:p w14:paraId="628102EB" w14:textId="77777777" w:rsidR="00D00226" w:rsidRDefault="00D002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BA3AD" w14:textId="77777777" w:rsidR="00D00226" w:rsidRDefault="00D00226">
      <w:r>
        <w:separator/>
      </w:r>
    </w:p>
  </w:footnote>
  <w:footnote w:type="continuationSeparator" w:id="0">
    <w:p w14:paraId="017D54CB" w14:textId="77777777" w:rsidR="00D00226" w:rsidRDefault="00D00226">
      <w:r>
        <w:continuationSeparator/>
      </w:r>
    </w:p>
  </w:footnote>
  <w:footnote w:type="continuationNotice" w:id="1">
    <w:p w14:paraId="3E997552" w14:textId="77777777" w:rsidR="00D00226" w:rsidRDefault="00D002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A10"/>
    <w:multiLevelType w:val="hybridMultilevel"/>
    <w:tmpl w:val="5FDC0978"/>
    <w:lvl w:ilvl="0" w:tplc="8002656E">
      <w:start w:val="1"/>
      <w:numFmt w:val="bullet"/>
      <w:lvlText w:val=""/>
      <w:lvlJc w:val="left"/>
      <w:pPr>
        <w:tabs>
          <w:tab w:val="num" w:pos="720"/>
        </w:tabs>
        <w:ind w:left="720" w:hanging="360"/>
      </w:pPr>
      <w:rPr>
        <w:rFonts w:ascii="Wingdings" w:hAnsi="Wingdings" w:hint="default"/>
      </w:rPr>
    </w:lvl>
    <w:lvl w:ilvl="1" w:tplc="B06A3F24" w:tentative="1">
      <w:start w:val="1"/>
      <w:numFmt w:val="bullet"/>
      <w:lvlText w:val=""/>
      <w:lvlJc w:val="left"/>
      <w:pPr>
        <w:tabs>
          <w:tab w:val="num" w:pos="1440"/>
        </w:tabs>
        <w:ind w:left="1440" w:hanging="360"/>
      </w:pPr>
      <w:rPr>
        <w:rFonts w:ascii="Wingdings" w:hAnsi="Wingdings" w:hint="default"/>
      </w:rPr>
    </w:lvl>
    <w:lvl w:ilvl="2" w:tplc="CF385134" w:tentative="1">
      <w:start w:val="1"/>
      <w:numFmt w:val="bullet"/>
      <w:lvlText w:val=""/>
      <w:lvlJc w:val="left"/>
      <w:pPr>
        <w:tabs>
          <w:tab w:val="num" w:pos="2160"/>
        </w:tabs>
        <w:ind w:left="2160" w:hanging="360"/>
      </w:pPr>
      <w:rPr>
        <w:rFonts w:ascii="Wingdings" w:hAnsi="Wingdings" w:hint="default"/>
      </w:rPr>
    </w:lvl>
    <w:lvl w:ilvl="3" w:tplc="8CA2B036" w:tentative="1">
      <w:start w:val="1"/>
      <w:numFmt w:val="bullet"/>
      <w:lvlText w:val=""/>
      <w:lvlJc w:val="left"/>
      <w:pPr>
        <w:tabs>
          <w:tab w:val="num" w:pos="2880"/>
        </w:tabs>
        <w:ind w:left="2880" w:hanging="360"/>
      </w:pPr>
      <w:rPr>
        <w:rFonts w:ascii="Wingdings" w:hAnsi="Wingdings" w:hint="default"/>
      </w:rPr>
    </w:lvl>
    <w:lvl w:ilvl="4" w:tplc="B456D7B0" w:tentative="1">
      <w:start w:val="1"/>
      <w:numFmt w:val="bullet"/>
      <w:lvlText w:val=""/>
      <w:lvlJc w:val="left"/>
      <w:pPr>
        <w:tabs>
          <w:tab w:val="num" w:pos="3600"/>
        </w:tabs>
        <w:ind w:left="3600" w:hanging="360"/>
      </w:pPr>
      <w:rPr>
        <w:rFonts w:ascii="Wingdings" w:hAnsi="Wingdings" w:hint="default"/>
      </w:rPr>
    </w:lvl>
    <w:lvl w:ilvl="5" w:tplc="3AA2C72A" w:tentative="1">
      <w:start w:val="1"/>
      <w:numFmt w:val="bullet"/>
      <w:lvlText w:val=""/>
      <w:lvlJc w:val="left"/>
      <w:pPr>
        <w:tabs>
          <w:tab w:val="num" w:pos="4320"/>
        </w:tabs>
        <w:ind w:left="4320" w:hanging="360"/>
      </w:pPr>
      <w:rPr>
        <w:rFonts w:ascii="Wingdings" w:hAnsi="Wingdings" w:hint="default"/>
      </w:rPr>
    </w:lvl>
    <w:lvl w:ilvl="6" w:tplc="0F081B6E" w:tentative="1">
      <w:start w:val="1"/>
      <w:numFmt w:val="bullet"/>
      <w:lvlText w:val=""/>
      <w:lvlJc w:val="left"/>
      <w:pPr>
        <w:tabs>
          <w:tab w:val="num" w:pos="5040"/>
        </w:tabs>
        <w:ind w:left="5040" w:hanging="360"/>
      </w:pPr>
      <w:rPr>
        <w:rFonts w:ascii="Wingdings" w:hAnsi="Wingdings" w:hint="default"/>
      </w:rPr>
    </w:lvl>
    <w:lvl w:ilvl="7" w:tplc="A10E2D16" w:tentative="1">
      <w:start w:val="1"/>
      <w:numFmt w:val="bullet"/>
      <w:lvlText w:val=""/>
      <w:lvlJc w:val="left"/>
      <w:pPr>
        <w:tabs>
          <w:tab w:val="num" w:pos="5760"/>
        </w:tabs>
        <w:ind w:left="5760" w:hanging="360"/>
      </w:pPr>
      <w:rPr>
        <w:rFonts w:ascii="Wingdings" w:hAnsi="Wingdings" w:hint="default"/>
      </w:rPr>
    </w:lvl>
    <w:lvl w:ilvl="8" w:tplc="300820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35AD0"/>
    <w:multiLevelType w:val="hybridMultilevel"/>
    <w:tmpl w:val="4C12A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DC137C"/>
    <w:multiLevelType w:val="hybridMultilevel"/>
    <w:tmpl w:val="575250F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 w15:restartNumberingAfterBreak="0">
    <w:nsid w:val="28E358A1"/>
    <w:multiLevelType w:val="hybridMultilevel"/>
    <w:tmpl w:val="B2A61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9784F"/>
    <w:multiLevelType w:val="hybridMultilevel"/>
    <w:tmpl w:val="8474F93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81C4D7D"/>
    <w:multiLevelType w:val="hybridMultilevel"/>
    <w:tmpl w:val="5B38E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616431"/>
    <w:multiLevelType w:val="hybridMultilevel"/>
    <w:tmpl w:val="D9BE017C"/>
    <w:lvl w:ilvl="0" w:tplc="65EEE9F8">
      <w:start w:val="1"/>
      <w:numFmt w:val="bullet"/>
      <w:lvlText w:val=""/>
      <w:lvlJc w:val="left"/>
      <w:pPr>
        <w:tabs>
          <w:tab w:val="num" w:pos="720"/>
        </w:tabs>
        <w:ind w:left="720" w:hanging="360"/>
      </w:pPr>
      <w:rPr>
        <w:rFonts w:ascii="Wingdings" w:hAnsi="Wingdings" w:hint="default"/>
      </w:rPr>
    </w:lvl>
    <w:lvl w:ilvl="1" w:tplc="617E8266" w:tentative="1">
      <w:start w:val="1"/>
      <w:numFmt w:val="bullet"/>
      <w:lvlText w:val=""/>
      <w:lvlJc w:val="left"/>
      <w:pPr>
        <w:tabs>
          <w:tab w:val="num" w:pos="1440"/>
        </w:tabs>
        <w:ind w:left="1440" w:hanging="360"/>
      </w:pPr>
      <w:rPr>
        <w:rFonts w:ascii="Wingdings" w:hAnsi="Wingdings" w:hint="default"/>
      </w:rPr>
    </w:lvl>
    <w:lvl w:ilvl="2" w:tplc="2BB08E28" w:tentative="1">
      <w:start w:val="1"/>
      <w:numFmt w:val="bullet"/>
      <w:lvlText w:val=""/>
      <w:lvlJc w:val="left"/>
      <w:pPr>
        <w:tabs>
          <w:tab w:val="num" w:pos="2160"/>
        </w:tabs>
        <w:ind w:left="2160" w:hanging="360"/>
      </w:pPr>
      <w:rPr>
        <w:rFonts w:ascii="Wingdings" w:hAnsi="Wingdings" w:hint="default"/>
      </w:rPr>
    </w:lvl>
    <w:lvl w:ilvl="3" w:tplc="FBDCC2CE" w:tentative="1">
      <w:start w:val="1"/>
      <w:numFmt w:val="bullet"/>
      <w:lvlText w:val=""/>
      <w:lvlJc w:val="left"/>
      <w:pPr>
        <w:tabs>
          <w:tab w:val="num" w:pos="2880"/>
        </w:tabs>
        <w:ind w:left="2880" w:hanging="360"/>
      </w:pPr>
      <w:rPr>
        <w:rFonts w:ascii="Wingdings" w:hAnsi="Wingdings" w:hint="default"/>
      </w:rPr>
    </w:lvl>
    <w:lvl w:ilvl="4" w:tplc="117C178E" w:tentative="1">
      <w:start w:val="1"/>
      <w:numFmt w:val="bullet"/>
      <w:lvlText w:val=""/>
      <w:lvlJc w:val="left"/>
      <w:pPr>
        <w:tabs>
          <w:tab w:val="num" w:pos="3600"/>
        </w:tabs>
        <w:ind w:left="3600" w:hanging="360"/>
      </w:pPr>
      <w:rPr>
        <w:rFonts w:ascii="Wingdings" w:hAnsi="Wingdings" w:hint="default"/>
      </w:rPr>
    </w:lvl>
    <w:lvl w:ilvl="5" w:tplc="274A9BEC" w:tentative="1">
      <w:start w:val="1"/>
      <w:numFmt w:val="bullet"/>
      <w:lvlText w:val=""/>
      <w:lvlJc w:val="left"/>
      <w:pPr>
        <w:tabs>
          <w:tab w:val="num" w:pos="4320"/>
        </w:tabs>
        <w:ind w:left="4320" w:hanging="360"/>
      </w:pPr>
      <w:rPr>
        <w:rFonts w:ascii="Wingdings" w:hAnsi="Wingdings" w:hint="default"/>
      </w:rPr>
    </w:lvl>
    <w:lvl w:ilvl="6" w:tplc="2166A2AA" w:tentative="1">
      <w:start w:val="1"/>
      <w:numFmt w:val="bullet"/>
      <w:lvlText w:val=""/>
      <w:lvlJc w:val="left"/>
      <w:pPr>
        <w:tabs>
          <w:tab w:val="num" w:pos="5040"/>
        </w:tabs>
        <w:ind w:left="5040" w:hanging="360"/>
      </w:pPr>
      <w:rPr>
        <w:rFonts w:ascii="Wingdings" w:hAnsi="Wingdings" w:hint="default"/>
      </w:rPr>
    </w:lvl>
    <w:lvl w:ilvl="7" w:tplc="D4BCBC82" w:tentative="1">
      <w:start w:val="1"/>
      <w:numFmt w:val="bullet"/>
      <w:lvlText w:val=""/>
      <w:lvlJc w:val="left"/>
      <w:pPr>
        <w:tabs>
          <w:tab w:val="num" w:pos="5760"/>
        </w:tabs>
        <w:ind w:left="5760" w:hanging="360"/>
      </w:pPr>
      <w:rPr>
        <w:rFonts w:ascii="Wingdings" w:hAnsi="Wingdings" w:hint="default"/>
      </w:rPr>
    </w:lvl>
    <w:lvl w:ilvl="8" w:tplc="6F60127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8B23EA"/>
    <w:multiLevelType w:val="hybridMultilevel"/>
    <w:tmpl w:val="E19A777A"/>
    <w:lvl w:ilvl="0" w:tplc="6C0C8F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4F1A2C"/>
    <w:multiLevelType w:val="hybridMultilevel"/>
    <w:tmpl w:val="7DF6A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E5987"/>
    <w:multiLevelType w:val="hybridMultilevel"/>
    <w:tmpl w:val="AF5CD06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A248D"/>
    <w:multiLevelType w:val="hybridMultilevel"/>
    <w:tmpl w:val="F0105BB0"/>
    <w:lvl w:ilvl="0" w:tplc="C76C0E20">
      <w:start w:val="1"/>
      <w:numFmt w:val="bullet"/>
      <w:lvlText w:val=""/>
      <w:lvlJc w:val="left"/>
      <w:pPr>
        <w:tabs>
          <w:tab w:val="num" w:pos="720"/>
        </w:tabs>
        <w:ind w:left="720" w:hanging="360"/>
      </w:pPr>
      <w:rPr>
        <w:rFonts w:ascii="Wingdings" w:hAnsi="Wingdings" w:hint="default"/>
      </w:rPr>
    </w:lvl>
    <w:lvl w:ilvl="1" w:tplc="363AD030">
      <w:numFmt w:val="bullet"/>
      <w:lvlText w:val=""/>
      <w:lvlJc w:val="left"/>
      <w:pPr>
        <w:tabs>
          <w:tab w:val="num" w:pos="1440"/>
        </w:tabs>
        <w:ind w:left="1440" w:hanging="360"/>
      </w:pPr>
      <w:rPr>
        <w:rFonts w:ascii="Wingdings" w:hAnsi="Wingdings" w:hint="default"/>
      </w:rPr>
    </w:lvl>
    <w:lvl w:ilvl="2" w:tplc="622461E2" w:tentative="1">
      <w:start w:val="1"/>
      <w:numFmt w:val="bullet"/>
      <w:lvlText w:val=""/>
      <w:lvlJc w:val="left"/>
      <w:pPr>
        <w:tabs>
          <w:tab w:val="num" w:pos="2160"/>
        </w:tabs>
        <w:ind w:left="2160" w:hanging="360"/>
      </w:pPr>
      <w:rPr>
        <w:rFonts w:ascii="Wingdings" w:hAnsi="Wingdings" w:hint="default"/>
      </w:rPr>
    </w:lvl>
    <w:lvl w:ilvl="3" w:tplc="96549A36" w:tentative="1">
      <w:start w:val="1"/>
      <w:numFmt w:val="bullet"/>
      <w:lvlText w:val=""/>
      <w:lvlJc w:val="left"/>
      <w:pPr>
        <w:tabs>
          <w:tab w:val="num" w:pos="2880"/>
        </w:tabs>
        <w:ind w:left="2880" w:hanging="360"/>
      </w:pPr>
      <w:rPr>
        <w:rFonts w:ascii="Wingdings" w:hAnsi="Wingdings" w:hint="default"/>
      </w:rPr>
    </w:lvl>
    <w:lvl w:ilvl="4" w:tplc="B0289918" w:tentative="1">
      <w:start w:val="1"/>
      <w:numFmt w:val="bullet"/>
      <w:lvlText w:val=""/>
      <w:lvlJc w:val="left"/>
      <w:pPr>
        <w:tabs>
          <w:tab w:val="num" w:pos="3600"/>
        </w:tabs>
        <w:ind w:left="3600" w:hanging="360"/>
      </w:pPr>
      <w:rPr>
        <w:rFonts w:ascii="Wingdings" w:hAnsi="Wingdings" w:hint="default"/>
      </w:rPr>
    </w:lvl>
    <w:lvl w:ilvl="5" w:tplc="D4764C10" w:tentative="1">
      <w:start w:val="1"/>
      <w:numFmt w:val="bullet"/>
      <w:lvlText w:val=""/>
      <w:lvlJc w:val="left"/>
      <w:pPr>
        <w:tabs>
          <w:tab w:val="num" w:pos="4320"/>
        </w:tabs>
        <w:ind w:left="4320" w:hanging="360"/>
      </w:pPr>
      <w:rPr>
        <w:rFonts w:ascii="Wingdings" w:hAnsi="Wingdings" w:hint="default"/>
      </w:rPr>
    </w:lvl>
    <w:lvl w:ilvl="6" w:tplc="7028408A" w:tentative="1">
      <w:start w:val="1"/>
      <w:numFmt w:val="bullet"/>
      <w:lvlText w:val=""/>
      <w:lvlJc w:val="left"/>
      <w:pPr>
        <w:tabs>
          <w:tab w:val="num" w:pos="5040"/>
        </w:tabs>
        <w:ind w:left="5040" w:hanging="360"/>
      </w:pPr>
      <w:rPr>
        <w:rFonts w:ascii="Wingdings" w:hAnsi="Wingdings" w:hint="default"/>
      </w:rPr>
    </w:lvl>
    <w:lvl w:ilvl="7" w:tplc="52A633A0" w:tentative="1">
      <w:start w:val="1"/>
      <w:numFmt w:val="bullet"/>
      <w:lvlText w:val=""/>
      <w:lvlJc w:val="left"/>
      <w:pPr>
        <w:tabs>
          <w:tab w:val="num" w:pos="5760"/>
        </w:tabs>
        <w:ind w:left="5760" w:hanging="360"/>
      </w:pPr>
      <w:rPr>
        <w:rFonts w:ascii="Wingdings" w:hAnsi="Wingdings" w:hint="default"/>
      </w:rPr>
    </w:lvl>
    <w:lvl w:ilvl="8" w:tplc="F8A0C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4659F3"/>
    <w:multiLevelType w:val="hybridMultilevel"/>
    <w:tmpl w:val="1E9EF6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6A4DD1"/>
    <w:multiLevelType w:val="hybridMultilevel"/>
    <w:tmpl w:val="92402EF2"/>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9450C0"/>
    <w:multiLevelType w:val="hybridMultilevel"/>
    <w:tmpl w:val="484C1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3BC532B"/>
    <w:multiLevelType w:val="hybridMultilevel"/>
    <w:tmpl w:val="B22CB66C"/>
    <w:lvl w:ilvl="0" w:tplc="4790E118">
      <w:start w:val="1"/>
      <w:numFmt w:val="bullet"/>
      <w:lvlText w:val=""/>
      <w:lvlJc w:val="left"/>
      <w:pPr>
        <w:tabs>
          <w:tab w:val="num" w:pos="720"/>
        </w:tabs>
        <w:ind w:left="720" w:hanging="360"/>
      </w:pPr>
      <w:rPr>
        <w:rFonts w:ascii="Symbol" w:hAnsi="Symbol" w:hint="default"/>
      </w:rPr>
    </w:lvl>
    <w:lvl w:ilvl="1" w:tplc="D7A4448C">
      <w:numFmt w:val="bullet"/>
      <w:lvlText w:val="•"/>
      <w:lvlJc w:val="left"/>
      <w:pPr>
        <w:tabs>
          <w:tab w:val="num" w:pos="1440"/>
        </w:tabs>
        <w:ind w:left="1440" w:hanging="360"/>
      </w:pPr>
      <w:rPr>
        <w:rFonts w:ascii="Arial" w:hAnsi="Arial" w:hint="default"/>
        <w:sz w:val="20"/>
        <w:szCs w:val="20"/>
      </w:rPr>
    </w:lvl>
    <w:lvl w:ilvl="2" w:tplc="A93CEE6A" w:tentative="1">
      <w:start w:val="1"/>
      <w:numFmt w:val="bullet"/>
      <w:lvlText w:val=""/>
      <w:lvlJc w:val="left"/>
      <w:pPr>
        <w:tabs>
          <w:tab w:val="num" w:pos="2160"/>
        </w:tabs>
        <w:ind w:left="2160" w:hanging="360"/>
      </w:pPr>
      <w:rPr>
        <w:rFonts w:ascii="Symbol" w:hAnsi="Symbol" w:hint="default"/>
      </w:rPr>
    </w:lvl>
    <w:lvl w:ilvl="3" w:tplc="F484FE28" w:tentative="1">
      <w:start w:val="1"/>
      <w:numFmt w:val="bullet"/>
      <w:lvlText w:val=""/>
      <w:lvlJc w:val="left"/>
      <w:pPr>
        <w:tabs>
          <w:tab w:val="num" w:pos="2880"/>
        </w:tabs>
        <w:ind w:left="2880" w:hanging="360"/>
      </w:pPr>
      <w:rPr>
        <w:rFonts w:ascii="Symbol" w:hAnsi="Symbol" w:hint="default"/>
      </w:rPr>
    </w:lvl>
    <w:lvl w:ilvl="4" w:tplc="E6AABE48" w:tentative="1">
      <w:start w:val="1"/>
      <w:numFmt w:val="bullet"/>
      <w:lvlText w:val=""/>
      <w:lvlJc w:val="left"/>
      <w:pPr>
        <w:tabs>
          <w:tab w:val="num" w:pos="3600"/>
        </w:tabs>
        <w:ind w:left="3600" w:hanging="360"/>
      </w:pPr>
      <w:rPr>
        <w:rFonts w:ascii="Symbol" w:hAnsi="Symbol" w:hint="default"/>
      </w:rPr>
    </w:lvl>
    <w:lvl w:ilvl="5" w:tplc="7280F644" w:tentative="1">
      <w:start w:val="1"/>
      <w:numFmt w:val="bullet"/>
      <w:lvlText w:val=""/>
      <w:lvlJc w:val="left"/>
      <w:pPr>
        <w:tabs>
          <w:tab w:val="num" w:pos="4320"/>
        </w:tabs>
        <w:ind w:left="4320" w:hanging="360"/>
      </w:pPr>
      <w:rPr>
        <w:rFonts w:ascii="Symbol" w:hAnsi="Symbol" w:hint="default"/>
      </w:rPr>
    </w:lvl>
    <w:lvl w:ilvl="6" w:tplc="4F4EE5B0" w:tentative="1">
      <w:start w:val="1"/>
      <w:numFmt w:val="bullet"/>
      <w:lvlText w:val=""/>
      <w:lvlJc w:val="left"/>
      <w:pPr>
        <w:tabs>
          <w:tab w:val="num" w:pos="5040"/>
        </w:tabs>
        <w:ind w:left="5040" w:hanging="360"/>
      </w:pPr>
      <w:rPr>
        <w:rFonts w:ascii="Symbol" w:hAnsi="Symbol" w:hint="default"/>
      </w:rPr>
    </w:lvl>
    <w:lvl w:ilvl="7" w:tplc="10247EAC" w:tentative="1">
      <w:start w:val="1"/>
      <w:numFmt w:val="bullet"/>
      <w:lvlText w:val=""/>
      <w:lvlJc w:val="left"/>
      <w:pPr>
        <w:tabs>
          <w:tab w:val="num" w:pos="5760"/>
        </w:tabs>
        <w:ind w:left="5760" w:hanging="360"/>
      </w:pPr>
      <w:rPr>
        <w:rFonts w:ascii="Symbol" w:hAnsi="Symbol" w:hint="default"/>
      </w:rPr>
    </w:lvl>
    <w:lvl w:ilvl="8" w:tplc="F558E2C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3"/>
  </w:num>
  <w:num w:numId="4">
    <w:abstractNumId w:val="20"/>
  </w:num>
  <w:num w:numId="5">
    <w:abstractNumId w:val="33"/>
  </w:num>
  <w:num w:numId="6">
    <w:abstractNumId w:val="16"/>
  </w:num>
  <w:num w:numId="7">
    <w:abstractNumId w:val="27"/>
  </w:num>
  <w:num w:numId="8">
    <w:abstractNumId w:val="25"/>
  </w:num>
  <w:num w:numId="9">
    <w:abstractNumId w:val="15"/>
  </w:num>
  <w:num w:numId="10">
    <w:abstractNumId w:val="7"/>
  </w:num>
  <w:num w:numId="11">
    <w:abstractNumId w:val="32"/>
  </w:num>
  <w:num w:numId="12">
    <w:abstractNumId w:val="1"/>
  </w:num>
  <w:num w:numId="13">
    <w:abstractNumId w:val="31"/>
  </w:num>
  <w:num w:numId="14">
    <w:abstractNumId w:val="10"/>
  </w:num>
  <w:num w:numId="15">
    <w:abstractNumId w:val="14"/>
  </w:num>
  <w:num w:numId="16">
    <w:abstractNumId w:val="2"/>
  </w:num>
  <w:num w:numId="17">
    <w:abstractNumId w:val="18"/>
  </w:num>
  <w:num w:numId="18">
    <w:abstractNumId w:val="24"/>
  </w:num>
  <w:num w:numId="19">
    <w:abstractNumId w:val="23"/>
  </w:num>
  <w:num w:numId="20">
    <w:abstractNumId w:val="17"/>
  </w:num>
  <w:num w:numId="21">
    <w:abstractNumId w:val="0"/>
  </w:num>
  <w:num w:numId="22">
    <w:abstractNumId w:val="21"/>
  </w:num>
  <w:num w:numId="23">
    <w:abstractNumId w:val="9"/>
  </w:num>
  <w:num w:numId="24">
    <w:abstractNumId w:val="26"/>
  </w:num>
  <w:num w:numId="25">
    <w:abstractNumId w:val="19"/>
  </w:num>
  <w:num w:numId="26">
    <w:abstractNumId w:val="34"/>
  </w:num>
  <w:num w:numId="27">
    <w:abstractNumId w:val="4"/>
  </w:num>
  <w:num w:numId="28">
    <w:abstractNumId w:val="28"/>
  </w:num>
  <w:num w:numId="29">
    <w:abstractNumId w:val="11"/>
    <w:lvlOverride w:ilvl="0">
      <w:startOverride w:val="9"/>
    </w:lvlOverride>
    <w:lvlOverride w:ilvl="1">
      <w:startOverride w:val="4"/>
    </w:lvlOverride>
    <w:lvlOverride w:ilvl="2">
      <w:startOverride w:val="1"/>
    </w:lvlOverride>
    <w:lvlOverride w:ilvl="3">
      <w:startOverride w:val="2"/>
    </w:lvlOverride>
  </w:num>
  <w:num w:numId="30">
    <w:abstractNumId w:val="11"/>
  </w:num>
  <w:num w:numId="31">
    <w:abstractNumId w:val="8"/>
  </w:num>
  <w:num w:numId="32">
    <w:abstractNumId w:val="29"/>
  </w:num>
  <w:num w:numId="33">
    <w:abstractNumId w:val="11"/>
  </w:num>
  <w:num w:numId="34">
    <w:abstractNumId w:val="12"/>
  </w:num>
  <w:num w:numId="35">
    <w:abstractNumId w:val="6"/>
  </w:num>
  <w:num w:numId="36">
    <w:abstractNumId w:val="35"/>
  </w:num>
  <w:num w:numId="37">
    <w:abstractNumId w:val="11"/>
  </w:num>
  <w:num w:numId="38">
    <w:abstractNumId w:val="5"/>
  </w:num>
  <w:num w:numId="39">
    <w:abstractNumId w:val="22"/>
  </w:num>
  <w:num w:numId="40">
    <w:abstractNumId w:val="11"/>
  </w:num>
  <w:num w:numId="41">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95E"/>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87F9C"/>
    <w:rsid w:val="00087FFA"/>
    <w:rsid w:val="0009001E"/>
    <w:rsid w:val="000902C8"/>
    <w:rsid w:val="000902DC"/>
    <w:rsid w:val="0009076B"/>
    <w:rsid w:val="00090D8D"/>
    <w:rsid w:val="000911AE"/>
    <w:rsid w:val="00091CC7"/>
    <w:rsid w:val="00092637"/>
    <w:rsid w:val="00092A06"/>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6D8"/>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4E2"/>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191"/>
    <w:rsid w:val="00141287"/>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2B"/>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823"/>
    <w:rsid w:val="001A48C6"/>
    <w:rsid w:val="001A49A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D42"/>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3D6"/>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7CC"/>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0346"/>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802"/>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526"/>
    <w:rsid w:val="00331608"/>
    <w:rsid w:val="0033171D"/>
    <w:rsid w:val="003318F6"/>
    <w:rsid w:val="00331FC3"/>
    <w:rsid w:val="00332182"/>
    <w:rsid w:val="003325DA"/>
    <w:rsid w:val="0033299F"/>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57E01"/>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A4B"/>
    <w:rsid w:val="00424C97"/>
    <w:rsid w:val="004256C0"/>
    <w:rsid w:val="004257DF"/>
    <w:rsid w:val="0042589D"/>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82"/>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6EB2"/>
    <w:rsid w:val="00467090"/>
    <w:rsid w:val="00467187"/>
    <w:rsid w:val="004671BB"/>
    <w:rsid w:val="00467488"/>
    <w:rsid w:val="00467549"/>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0A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C73"/>
    <w:rsid w:val="00535D7C"/>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8F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8DB"/>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BA9"/>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78"/>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6AC"/>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2F96"/>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3A"/>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7E"/>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5FC"/>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802"/>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BCA"/>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1DD"/>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416"/>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B7D"/>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6D93"/>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B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0B6"/>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C4A"/>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09"/>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0EA4"/>
    <w:rsid w:val="008712FD"/>
    <w:rsid w:val="00871609"/>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15"/>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BC"/>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A4"/>
    <w:rsid w:val="008E5BF2"/>
    <w:rsid w:val="008E5C81"/>
    <w:rsid w:val="008E5F7F"/>
    <w:rsid w:val="008E5FEB"/>
    <w:rsid w:val="008E62F9"/>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5F50"/>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30"/>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5F2"/>
    <w:rsid w:val="009438EF"/>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9D3"/>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26"/>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AEA"/>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2A"/>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DD5"/>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8"/>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AB7"/>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2BF"/>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4A"/>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0F03"/>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4F"/>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D5"/>
    <w:rsid w:val="00C33BC3"/>
    <w:rsid w:val="00C33CE0"/>
    <w:rsid w:val="00C3400F"/>
    <w:rsid w:val="00C34163"/>
    <w:rsid w:val="00C34398"/>
    <w:rsid w:val="00C343F9"/>
    <w:rsid w:val="00C34712"/>
    <w:rsid w:val="00C3473F"/>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097"/>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DE3"/>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226"/>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27A3B"/>
    <w:rsid w:val="00D3001F"/>
    <w:rsid w:val="00D30103"/>
    <w:rsid w:val="00D3011B"/>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EC2"/>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0E6"/>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75"/>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EA7"/>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03D"/>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3B6"/>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17"/>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DB"/>
    <w:rsid w:val="00EC2E2D"/>
    <w:rsid w:val="00EC2FF0"/>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57D71"/>
    <w:rsid w:val="00F605A5"/>
    <w:rsid w:val="00F60BE9"/>
    <w:rsid w:val="00F60D8B"/>
    <w:rsid w:val="00F612EF"/>
    <w:rsid w:val="00F61322"/>
    <w:rsid w:val="00F6148A"/>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69F"/>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C4A"/>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
    <w:basedOn w:val="Normal"/>
    <w:next w:val="Normal"/>
    <w:link w:val="CaptionChar"/>
    <w:uiPriority w:val="99"/>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uiPriority w:val="99"/>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7267"/>
    <w:rPr>
      <w:b/>
      <w:bCs/>
      <w:sz w:val="28"/>
      <w:szCs w:val="28"/>
    </w:rPr>
  </w:style>
  <w:style w:type="paragraph" w:customStyle="1" w:styleId="3GPPAgreements">
    <w:name w:val="3GPP Agreements"/>
    <w:basedOn w:val="Normal"/>
    <w:link w:val="3GPPAgreementsChar"/>
    <w:qFormat/>
    <w:rsid w:val="00D33293"/>
    <w:pPr>
      <w:numPr>
        <w:numId w:val="14"/>
      </w:numPr>
    </w:pPr>
  </w:style>
  <w:style w:type="character" w:customStyle="1" w:styleId="3GPPAgreementsChar">
    <w:name w:val="3GPP Agreements Char"/>
    <w:link w:val="3GPPAgreements"/>
    <w:qFormat/>
    <w:rsid w:val="00D33293"/>
    <w:rPr>
      <w:sz w:val="22"/>
      <w:szCs w:val="22"/>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907403"/>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673008">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185751737">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6991172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287159">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28A63-4E1C-4D32-BECA-855D12AD9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Matthew Webb2</cp:lastModifiedBy>
  <cp:revision>3</cp:revision>
  <cp:lastPrinted>2018-12-18T01:25:00Z</cp:lastPrinted>
  <dcterms:created xsi:type="dcterms:W3CDTF">2024-09-02T17:09:00Z</dcterms:created>
  <dcterms:modified xsi:type="dcterms:W3CDTF">2024-09-02T17:10:00Z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(3)lNrsdz7Ni51BmHF/NsrbRsDJwD1uVbRFmuJfc7wU30daC8BM0fDHsuqmyDMFYXQhk6FjhCCb
MwQEi24byS+DZLQ5xZfs2NvCoU6DvoT3+BQZvlvycwhWiVg0LRYmV+ZpsuxJkAjGSG4Rp6fD
PC2Jqj5oiMCi/bgHwSdME4cM3klsZnO4FrwHJElXOeDzYS+vgDrUi2qZPSDiKqzjhba4OFwg
4S8mizICZKZaXG5zHE</vt:lpwstr>
  </property>
  <property fmtid="{D5CDD505-2E9C-101B-9397-08002B2CF9AE}" pid="13" name="_2015_ms_pID_725343_00">
    <vt:lpwstr>_2015_ms_pID_725343</vt:lpwstr>
  </property>
  <property fmtid="{D5CDD505-2E9C-101B-9397-08002B2CF9AE}" pid="14" name="_2015_ms_pID_7253431">
    <vt:lpwstr>bET2WYL9zTDi1MuSUtgeYoUj/wx0mDMTAyjpafU6B8x6fsgzm4JVOw
lHvDYEST9Gj1qbgdwvNezr1g3X5CzknQznv9xs/vdeUW303Zn8+jVlUtbV4Isve3xy3yD/Ai
Hpk70nSG4LuMwTKxCsZgutdAWL/CNAJNuCTqJMKS8Vv8tHst3OTj14htlCt2pCBEYtBQflLV
MJyWE/hiJXnaPcMOzJs4OwKi4jMzRqLWKhuA</vt:lpwstr>
  </property>
  <property fmtid="{D5CDD505-2E9C-101B-9397-08002B2CF9AE}" pid="15" name="_2015_ms_pID_7253431_00">
    <vt:lpwstr>_2015_ms_pID_7253431</vt:lpwstr>
  </property>
  <property fmtid="{D5CDD505-2E9C-101B-9397-08002B2CF9AE}" pid="16" name="_2015_ms_pID_7253432">
    <vt:lpwstr>o/bKuZp3Ie8epWBm8wtKBEDd7+ECYK3drtGg
QizRCg24+rBPPtYx3/GUXi4Dwk+TcEAxqJ2KYKvx6IYKcWpUa3Q=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1700707151</vt:lpwstr>
  </property>
</Properties>
</file>