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rPr>
          <w:rFonts w:hint="eastAsia"/>
          <w:b/>
          <w:sz w:val="24"/>
          <w:lang w:val="en-US" w:eastAsia="zh-CN"/>
        </w:rPr>
        <w:t>RAN</w:t>
      </w:r>
      <w:r>
        <w:rPr>
          <w:b/>
          <w:sz w:val="24"/>
        </w:rPr>
        <w:t xml:space="preserve"> </w:t>
      </w:r>
      <w:r>
        <w:rPr>
          <w:rFonts w:hint="eastAsia" w:eastAsia="宋体"/>
          <w:b/>
          <w:sz w:val="24"/>
          <w:lang w:val="en-US" w:eastAsia="zh-CN"/>
        </w:rPr>
        <w:t xml:space="preserve">WG4 </w:t>
      </w:r>
      <w:r>
        <w:rPr>
          <w:b/>
          <w:sz w:val="24"/>
        </w:rPr>
        <w:t xml:space="preserve">Meeting </w:t>
      </w:r>
      <w:r>
        <w:rPr>
          <w:rFonts w:hint="eastAsia"/>
          <w:b/>
          <w:sz w:val="24"/>
        </w:rPr>
        <w:t># 108</w:t>
      </w:r>
      <w:r>
        <w:rPr>
          <w:b/>
          <w:i/>
          <w:sz w:val="28"/>
        </w:rPr>
        <w:tab/>
      </w:r>
      <w:bookmarkStart w:id="0" w:name="OLE_LINK1"/>
      <w:r>
        <w:fldChar w:fldCharType="begin"/>
      </w:r>
      <w:r>
        <w:instrText xml:space="preserve"> DOCPROPERTY  Tdoc#  \* MERGEFORMAT </w:instrText>
      </w:r>
      <w:r>
        <w:fldChar w:fldCharType="end"/>
      </w:r>
      <w:r>
        <w:rPr>
          <w:rFonts w:eastAsia="宋体"/>
          <w:b/>
          <w:i/>
          <w:sz w:val="28"/>
          <w:lang w:val="en-US" w:eastAsia="zh-CN"/>
        </w:rPr>
        <w:t>R4-2314</w:t>
      </w:r>
      <w:r>
        <w:rPr>
          <w:rFonts w:hint="eastAsia" w:eastAsia="宋体"/>
          <w:b/>
          <w:i/>
          <w:sz w:val="28"/>
          <w:lang w:val="en-US" w:eastAsia="zh-CN"/>
        </w:rPr>
        <w:t>4</w:t>
      </w:r>
      <w:bookmarkEnd w:id="0"/>
      <w:r>
        <w:rPr>
          <w:rFonts w:eastAsia="宋体"/>
          <w:b/>
          <w:i/>
          <w:sz w:val="28"/>
          <w:lang w:val="en-US" w:eastAsia="zh-CN"/>
        </w:rPr>
        <w:t>74</w:t>
      </w:r>
    </w:p>
    <w:p>
      <w:pPr>
        <w:pStyle w:val="81"/>
        <w:outlineLvl w:val="0"/>
        <w:rPr>
          <w:b/>
          <w:sz w:val="24"/>
        </w:rPr>
      </w:pPr>
      <w:r>
        <w:rPr>
          <w:rFonts w:hint="eastAsia"/>
          <w:b/>
          <w:sz w:val="24"/>
        </w:rPr>
        <w:t>Toulouse, France, August 21 – August 25,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38.133</w:t>
            </w:r>
            <w:r>
              <w:rPr>
                <w:rFonts w:hint="eastAsia" w:eastAsia="宋体"/>
                <w:b/>
                <w:sz w:val="28"/>
                <w:lang w:val="en-US"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eastAsia="宋体"/>
                <w:b/>
                <w:sz w:val="28"/>
                <w:lang w:val="en-US" w:eastAsia="zh-CN"/>
              </w:rPr>
              <w:t>3646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Theme="minorEastAsia"/>
                <w:b/>
                <w:lang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18.2.0</w:t>
            </w:r>
            <w:r>
              <w:rPr>
                <w:rFonts w:hint="eastAsia" w:eastAsia="宋体"/>
                <w:b/>
                <w:sz w:val="28"/>
                <w:lang w:val="en-US"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 xml:space="preserve">Introduction </w:t>
            </w:r>
            <w:r>
              <w:rPr>
                <w:rFonts w:hint="eastAsia" w:eastAsia="宋体"/>
                <w:lang w:val="en-US" w:eastAsia="zh-CN"/>
              </w:rPr>
              <w:t xml:space="preserve">of </w:t>
            </w:r>
            <w:r>
              <w:rPr>
                <w:rFonts w:hint="eastAsia"/>
              </w:rPr>
              <w:t xml:space="preserve">the </w:t>
            </w:r>
            <w:r>
              <w:rPr>
                <w:rFonts w:hint="eastAsia" w:eastAsia="宋体"/>
                <w:lang w:val="en-US" w:eastAsia="zh-CN"/>
              </w:rPr>
              <w:t>requirements for IDC enhancements for NR and MR-DC</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eastAsia" w:eastAsia="宋体"/>
                <w:lang w:val="en-US" w:eastAsia="zh-CN"/>
              </w:rPr>
              <w:t>Xiaomi</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rPr>
                <w:rFonts w:hint="eastAsia" w:eastAsia="宋体"/>
                <w:lang w:val="en-US" w:eastAsia="zh-CN"/>
              </w:rPr>
              <w:t>R4</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val="en-US"/>
              </w:rPr>
            </w:pPr>
            <w:bookmarkStart w:id="2" w:name="OLE_LINK2"/>
            <w:bookmarkStart w:id="3" w:name="OLE_LINK3"/>
            <w:r>
              <w:rPr>
                <w:rFonts w:hint="eastAsia" w:eastAsia="宋体"/>
                <w:lang w:val="en-US" w:eastAsia="zh-CN"/>
              </w:rPr>
              <w:fldChar w:fldCharType="begin"/>
            </w:r>
            <w:r>
              <w:rPr>
                <w:rFonts w:hint="eastAsia" w:eastAsia="宋体"/>
                <w:lang w:val="en-US" w:eastAsia="zh-CN"/>
              </w:rPr>
              <w:instrText xml:space="preserve"> DOCPROPERTY  RelatedWis  \* MERGEFORMAT </w:instrText>
            </w:r>
            <w:r>
              <w:rPr>
                <w:rFonts w:hint="eastAsia" w:eastAsia="宋体"/>
                <w:lang w:val="en-US" w:eastAsia="zh-CN"/>
              </w:rPr>
              <w:fldChar w:fldCharType="separate"/>
            </w:r>
            <w:r>
              <w:rPr>
                <w:rFonts w:eastAsia="宋体"/>
                <w:lang w:val="en-US" w:eastAsia="zh-CN"/>
              </w:rPr>
              <w:t>NR_IDC_enh</w:t>
            </w:r>
            <w:r>
              <w:rPr>
                <w:rFonts w:hint="eastAsia" w:eastAsia="宋体"/>
                <w:lang w:val="en-US" w:eastAsia="zh-CN"/>
              </w:rPr>
              <w:fldChar w:fldCharType="end"/>
            </w:r>
            <w:r>
              <w:rPr>
                <w:rFonts w:hint="eastAsia" w:eastAsia="宋体"/>
                <w:lang w:val="en-US" w:eastAsia="zh-CN"/>
              </w:rPr>
              <w:t>-Core</w:t>
            </w:r>
            <w:bookmarkEnd w:id="2"/>
            <w:bookmarkEnd w:id="3"/>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rPr>
                <w:rFonts w:hint="eastAsia" w:eastAsia="宋体"/>
                <w:lang w:val="en-US" w:eastAsia="zh-CN"/>
              </w:rPr>
              <w:t>2023-07-17</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B</w:t>
            </w:r>
            <w:r>
              <w:rPr>
                <w:rFonts w:hint="eastAsia" w:eastAsia="宋体"/>
                <w:b/>
                <w:lang w:val="en-US" w:eastAsia="zh-CN"/>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-18</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209"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rPr>
              <w:t xml:space="preserve">Support for </w:t>
            </w:r>
            <w:r>
              <w:t>In-Device Co-existence (IDC) enhancements for NR and MR-DC</w:t>
            </w:r>
            <w:r>
              <w:rPr>
                <w:rFonts w:hint="eastAsia"/>
              </w:rPr>
              <w:t xml:space="preserve"> introduced in release 1</w:t>
            </w:r>
            <w:r>
              <w:rPr>
                <w:rFonts w:hint="eastAsia" w:eastAsia="宋体"/>
                <w:lang w:val="en-US" w:eastAsia="zh-CN"/>
              </w:rPr>
              <w:t>8</w:t>
            </w:r>
            <w:r>
              <w:rPr>
                <w:rFonts w:hint="eastAsi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Introduce RRM requirements for IDC enhancements for NR and MR-DC.</w:t>
            </w:r>
          </w:p>
          <w:p>
            <w:pPr>
              <w:pStyle w:val="81"/>
              <w:spacing w:after="0"/>
              <w:ind w:left="100"/>
              <w:rPr>
                <w:rFonts w:eastAsia="宋体"/>
                <w:lang w:val="en-US" w:eastAsia="zh-CN"/>
              </w:rPr>
            </w:pPr>
            <w:r>
              <w:rPr>
                <w:rFonts w:hint="eastAsia" w:eastAsia="宋体"/>
                <w:lang w:val="en-US" w:eastAsia="zh-CN"/>
              </w:rPr>
              <w:t>Change</w:t>
            </w:r>
            <w:r>
              <w:rPr>
                <w:rFonts w:eastAsia="宋体"/>
                <w:lang w:val="en-US" w:eastAsia="zh-CN"/>
              </w:rPr>
              <w:t xml:space="preserve"> </w:t>
            </w:r>
            <w:r>
              <w:rPr>
                <w:rFonts w:hint="eastAsia" w:eastAsia="宋体"/>
                <w:lang w:val="en-US" w:eastAsia="zh-CN"/>
              </w:rPr>
              <w:t>#1:</w:t>
            </w:r>
            <w:r>
              <w:rPr>
                <w:rFonts w:eastAsia="宋体"/>
                <w:lang w:val="en-US" w:eastAsia="zh-CN"/>
              </w:rPr>
              <w:t xml:space="preserve"> Clarify the IDC solution definition.</w:t>
            </w:r>
          </w:p>
          <w:p>
            <w:pPr>
              <w:pStyle w:val="81"/>
              <w:spacing w:after="0"/>
              <w:ind w:left="100"/>
              <w:rPr>
                <w:rFonts w:eastAsia="宋体" w:cs="Arial"/>
                <w:lang w:val="en-US" w:eastAsia="zh-CN"/>
              </w:rPr>
            </w:pPr>
            <w:r>
              <w:rPr>
                <w:rFonts w:eastAsia="宋体" w:cs="Arial"/>
                <w:lang w:val="en-US" w:eastAsia="zh-CN"/>
              </w:rPr>
              <w:t xml:space="preserve">Change #2: </w:t>
            </w:r>
            <w:bookmarkStart w:id="4" w:name="OLE_LINK32"/>
            <w:bookmarkStart w:id="5" w:name="OLE_LINK33"/>
            <w:r>
              <w:rPr>
                <w:rFonts w:eastAsia="宋体" w:cs="Arial"/>
                <w:lang w:val="en-US" w:eastAsia="zh-CN"/>
              </w:rPr>
              <w:t>Capture the agreements achieved in RAN4#108 meeting:</w:t>
            </w:r>
          </w:p>
          <w:p>
            <w:pPr>
              <w:pStyle w:val="89"/>
              <w:numPr>
                <w:ilvl w:val="0"/>
                <w:numId w:val="1"/>
              </w:numPr>
              <w:overflowPunct w:val="0"/>
              <w:autoSpaceDN w:val="0"/>
              <w:adjustRightInd w:val="0"/>
              <w:spacing w:line="252" w:lineRule="auto"/>
              <w:ind w:left="644"/>
              <w:rPr>
                <w:rFonts w:ascii="Arial" w:hAnsi="Arial" w:cs="Arial"/>
                <w:sz w:val="20"/>
                <w:szCs w:val="20"/>
                <w:highlight w:val="green"/>
              </w:rPr>
            </w:pPr>
            <w:r>
              <w:rPr>
                <w:rFonts w:ascii="Arial" w:hAnsi="Arial" w:cs="Arial"/>
                <w:sz w:val="20"/>
                <w:szCs w:val="20"/>
                <w:highlight w:val="green"/>
              </w:rPr>
              <w:t>Agreements</w:t>
            </w:r>
          </w:p>
          <w:p>
            <w:pPr>
              <w:pStyle w:val="89"/>
              <w:numPr>
                <w:ilvl w:val="1"/>
                <w:numId w:val="1"/>
              </w:numPr>
              <w:overflowPunct w:val="0"/>
              <w:autoSpaceDN w:val="0"/>
              <w:adjustRightInd w:val="0"/>
              <w:spacing w:line="252" w:lineRule="auto"/>
              <w:rPr>
                <w:rFonts w:ascii="Arial" w:hAnsi="Arial" w:cs="Arial"/>
                <w:sz w:val="20"/>
                <w:szCs w:val="20"/>
              </w:rPr>
            </w:pPr>
            <w:r>
              <w:rPr>
                <w:rFonts w:ascii="Arial" w:hAnsi="Arial" w:cs="Arial"/>
                <w:bCs/>
                <w:sz w:val="20"/>
                <w:szCs w:val="20"/>
                <w:highlight w:val="green"/>
              </w:rPr>
              <w:t>UE should meet the existing RRM requirements of L1 and L3 measurements for IDC solution, except for the following requirements</w:t>
            </w:r>
          </w:p>
          <w:bookmarkEnd w:id="4"/>
          <w:bookmarkEnd w:id="5"/>
          <w:p>
            <w:pPr>
              <w:pStyle w:val="89"/>
              <w:numPr>
                <w:ilvl w:val="2"/>
                <w:numId w:val="1"/>
              </w:numPr>
              <w:overflowPunct w:val="0"/>
              <w:autoSpaceDN w:val="0"/>
              <w:adjustRightInd w:val="0"/>
              <w:spacing w:line="252" w:lineRule="auto"/>
            </w:pPr>
            <w:r>
              <w:rPr>
                <w:rFonts w:ascii="Arial" w:hAnsi="Arial" w:cs="Arial"/>
                <w:bCs/>
                <w:sz w:val="20"/>
                <w:szCs w:val="20"/>
                <w:highlight w:val="green"/>
              </w:rPr>
              <w:t>Measurement reporting delay can be longer when IDC autonomous denial is configured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val="en-US"/>
              </w:rPr>
            </w:pPr>
            <w:r>
              <w:rPr>
                <w:rFonts w:hint="eastAsia" w:eastAsia="宋体"/>
                <w:lang w:val="en-US" w:eastAsia="zh-CN"/>
              </w:rPr>
              <w:t>RRM requirements for IDC enhancements for NR and MR-DC will be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rPr>
          <w:trHeight w:val="403"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 xml:space="preserve">3.1, 8.1.8 </w:t>
            </w:r>
            <w:r>
              <w:rPr>
                <w:lang w:eastAsia="zh-CN"/>
              </w:rPr>
              <w:t>(new section)</w:t>
            </w:r>
            <w:r>
              <w:rPr>
                <w:rFonts w:hint="eastAsia" w:eastAsia="宋体"/>
                <w:lang w:val="en-US" w:eastAsia="zh-CN"/>
              </w:rPr>
              <w:t xml:space="preserve">, 8.5.11 </w:t>
            </w:r>
            <w:r>
              <w:rPr>
                <w:lang w:eastAsia="zh-CN"/>
              </w:rPr>
              <w:t>(new section)</w:t>
            </w:r>
            <w:bookmarkStart w:id="14" w:name="_GoBack"/>
            <w:bookmarkEnd w:id="14"/>
            <w:r>
              <w:rPr>
                <w:rFonts w:hint="eastAsia" w:eastAsia="宋体"/>
                <w:lang w:val="en-US" w:eastAsia="zh-CN"/>
              </w:rPr>
              <w:t>, 9.1.1, 9.2.1, 9.3.1, 9.4.1, 9.5.1, 9.6.1, 9.7.1, 9.8.1, 9.9.1, 9.10.1, 9.11.1, 9.12.1, 9.13.1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t>Revision of R4-2314448</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keepNext/>
        <w:keepLines/>
        <w:spacing w:before="240"/>
        <w:ind w:left="1134" w:hanging="1134"/>
        <w:jc w:val="center"/>
        <w:outlineLvl w:val="0"/>
        <w:rPr>
          <w:rFonts w:ascii="Arial" w:hAnsi="Arial" w:eastAsia="宋体"/>
          <w:b/>
          <w:color w:val="0000FF"/>
          <w:sz w:val="36"/>
        </w:rPr>
      </w:pPr>
      <w:bookmarkStart w:id="6" w:name="OLE_LINK4"/>
      <w:r>
        <w:rPr>
          <w:rFonts w:ascii="Arial" w:hAnsi="Arial" w:eastAsia="宋体"/>
          <w:b/>
          <w:color w:val="0000FF"/>
          <w:sz w:val="36"/>
          <w:lang w:eastAsia="zh-CN"/>
        </w:rPr>
        <w:t>&lt;</w:t>
      </w:r>
      <w:r>
        <w:rPr>
          <w:rFonts w:hint="eastAsia" w:ascii="Arial" w:hAnsi="Arial" w:eastAsia="宋体"/>
          <w:b/>
          <w:color w:val="0000FF"/>
          <w:sz w:val="36"/>
        </w:rPr>
        <w:t>Start</w:t>
      </w:r>
      <w:r>
        <w:rPr>
          <w:rFonts w:ascii="Arial" w:hAnsi="Arial" w:eastAsia="宋体"/>
          <w:b/>
          <w:color w:val="0000FF"/>
          <w:sz w:val="36"/>
        </w:rPr>
        <w:t xml:space="preserve"> of Change </w:t>
      </w:r>
      <w:r>
        <w:rPr>
          <w:rFonts w:hint="eastAsia" w:ascii="Arial" w:hAnsi="Arial" w:eastAsia="宋体"/>
          <w:b/>
          <w:color w:val="0000FF"/>
          <w:sz w:val="36"/>
          <w:lang w:eastAsia="zh-CN"/>
        </w:rPr>
        <w:t>#</w:t>
      </w:r>
      <w:r>
        <w:rPr>
          <w:rFonts w:ascii="Arial" w:hAnsi="Arial" w:eastAsia="宋体"/>
          <w:b/>
          <w:color w:val="0000FF"/>
          <w:sz w:val="36"/>
        </w:rPr>
        <w:t>1&gt;</w:t>
      </w:r>
    </w:p>
    <w:p>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7" w:name="_Toc5952515"/>
      <w:r>
        <w:rPr>
          <w:rFonts w:ascii="Arial" w:hAnsi="Arial"/>
          <w:sz w:val="32"/>
          <w:lang w:eastAsia="en-GB"/>
        </w:rPr>
        <w:t>3.1</w:t>
      </w:r>
      <w:r>
        <w:rPr>
          <w:rFonts w:ascii="Arial" w:hAnsi="Arial"/>
          <w:sz w:val="32"/>
          <w:lang w:eastAsia="en-GB"/>
        </w:rPr>
        <w:tab/>
      </w:r>
      <w:r>
        <w:rPr>
          <w:rFonts w:ascii="Arial" w:hAnsi="Arial"/>
          <w:sz w:val="32"/>
          <w:lang w:eastAsia="en-GB"/>
        </w:rPr>
        <w:t>Definitions</w:t>
      </w:r>
      <w:bookmarkEnd w:id="7"/>
    </w:p>
    <w:p>
      <w:pPr>
        <w:overflowPunct w:val="0"/>
        <w:autoSpaceDE w:val="0"/>
        <w:autoSpaceDN w:val="0"/>
        <w:adjustRightInd w:val="0"/>
        <w:textAlignment w:val="baseline"/>
        <w:rPr>
          <w:lang w:eastAsia="en-GB"/>
        </w:rPr>
      </w:pPr>
      <w:r>
        <w:rPr>
          <w:lang w:eastAsia="en-GB"/>
        </w:rPr>
        <w:t>For the purposes of the present document, the terms and definitions given in TR 21.905 [11] and the following apply. A term defined in the present document takes precedence over the definition of the same term, if any, in TR 21.905 [11].</w:t>
      </w:r>
    </w:p>
    <w:p>
      <w:pPr>
        <w:overflowPunct w:val="0"/>
        <w:autoSpaceDE w:val="0"/>
        <w:autoSpaceDN w:val="0"/>
        <w:adjustRightInd w:val="0"/>
        <w:textAlignment w:val="baseline"/>
        <w:rPr>
          <w:lang w:val="en-US" w:eastAsia="zh-CN"/>
        </w:rPr>
      </w:pPr>
      <w:bookmarkStart w:id="8" w:name="_Hlk104416246"/>
      <w:r>
        <w:rPr>
          <w:b/>
          <w:lang w:val="en-US" w:eastAsia="zh-CN"/>
        </w:rPr>
        <w:t>1 Rx RedCap</w:t>
      </w:r>
      <w:r>
        <w:rPr>
          <w:lang w:val="en-US" w:eastAsia="zh-CN"/>
        </w:rPr>
        <w:t>: RedCap UE for which requirements are derived assuming 1 Rx branch.</w:t>
      </w:r>
    </w:p>
    <w:p>
      <w:pPr>
        <w:overflowPunct w:val="0"/>
        <w:autoSpaceDE w:val="0"/>
        <w:autoSpaceDN w:val="0"/>
        <w:adjustRightInd w:val="0"/>
        <w:textAlignment w:val="baseline"/>
        <w:rPr>
          <w:b/>
          <w:lang w:eastAsia="en-GB"/>
        </w:rPr>
      </w:pPr>
      <w:r>
        <w:rPr>
          <w:b/>
          <w:lang w:val="en-US" w:eastAsia="zh-CN"/>
        </w:rPr>
        <w:t>2 Rx RedCap</w:t>
      </w:r>
      <w:r>
        <w:rPr>
          <w:lang w:val="en-US" w:eastAsia="zh-CN"/>
        </w:rPr>
        <w:t>: RedCap UE for which requirements are derived assuming 2 Rx branches.</w:t>
      </w:r>
    </w:p>
    <w:bookmarkEnd w:id="8"/>
    <w:p>
      <w:pPr>
        <w:overflowPunct w:val="0"/>
        <w:autoSpaceDE w:val="0"/>
        <w:autoSpaceDN w:val="0"/>
        <w:adjustRightInd w:val="0"/>
        <w:textAlignment w:val="baseline"/>
        <w:rPr>
          <w:lang w:eastAsia="en-GB"/>
        </w:rPr>
      </w:pPr>
      <w:r>
        <w:rPr>
          <w:b/>
          <w:lang w:eastAsia="en-GB"/>
        </w:rPr>
        <w:t>Active DL BWP</w:t>
      </w:r>
      <w:r>
        <w:rPr>
          <w:lang w:eastAsia="en-GB"/>
        </w:rPr>
        <w:t>: Active DL bandwidth part as defined in TS 38.213 [3].</w:t>
      </w:r>
    </w:p>
    <w:p>
      <w:pPr>
        <w:overflowPunct w:val="0"/>
        <w:autoSpaceDE w:val="0"/>
        <w:autoSpaceDN w:val="0"/>
        <w:adjustRightInd w:val="0"/>
        <w:textAlignment w:val="baseline"/>
        <w:rPr>
          <w:lang w:eastAsia="en-GB"/>
        </w:rPr>
      </w:pPr>
      <w:r>
        <w:rPr>
          <w:b/>
          <w:lang w:eastAsia="en-GB"/>
        </w:rPr>
        <w:t>Blackbox Approach:</w:t>
      </w:r>
      <w:r>
        <w:rPr>
          <w:lang w:eastAsia="en-GB"/>
        </w:rPr>
        <w:t xml:space="preserve"> Testing methodology, in which the UE internal implementation of certain specific UE functionality involved in the test, is unknown.</w:t>
      </w:r>
    </w:p>
    <w:p>
      <w:pPr>
        <w:overflowPunct w:val="0"/>
        <w:autoSpaceDE w:val="0"/>
        <w:autoSpaceDN w:val="0"/>
        <w:adjustRightInd w:val="0"/>
        <w:textAlignment w:val="baseline"/>
        <w:rPr>
          <w:lang w:eastAsia="en-GB"/>
        </w:rPr>
      </w:pPr>
      <w:r>
        <w:rPr>
          <w:b/>
          <w:bCs/>
          <w:lang w:eastAsia="en-GB"/>
        </w:rPr>
        <w:t>CD-SSB:</w:t>
      </w:r>
      <w:r>
        <w:rPr>
          <w:lang w:eastAsia="en-GB"/>
        </w:rPr>
        <w:t xml:space="preserve"> Cell defining SSB as defined in TS 38.300 [10].</w:t>
      </w:r>
    </w:p>
    <w:p>
      <w:pPr>
        <w:overflowPunct w:val="0"/>
        <w:autoSpaceDE w:val="0"/>
        <w:autoSpaceDN w:val="0"/>
        <w:adjustRightInd w:val="0"/>
        <w:textAlignment w:val="baseline"/>
        <w:rPr>
          <w:lang w:eastAsia="en-GB"/>
        </w:rPr>
      </w:pPr>
      <w:r>
        <w:rPr>
          <w:b/>
          <w:lang w:eastAsia="en-GB"/>
        </w:rPr>
        <w:t>Control Resource Set:</w:t>
      </w:r>
      <w:r>
        <w:rPr>
          <w:lang w:eastAsia="en-GB"/>
        </w:rPr>
        <w:t xml:space="preserve"> As defined in TS 38.213 [3].</w:t>
      </w:r>
    </w:p>
    <w:p>
      <w:pPr>
        <w:overflowPunct w:val="0"/>
        <w:autoSpaceDE w:val="0"/>
        <w:autoSpaceDN w:val="0"/>
        <w:adjustRightInd w:val="0"/>
        <w:textAlignment w:val="baseline"/>
        <w:rPr>
          <w:b/>
          <w:lang w:eastAsia="en-GB"/>
        </w:rPr>
      </w:pPr>
      <w:r>
        <w:rPr>
          <w:b/>
          <w:lang w:eastAsia="en-GB"/>
        </w:rPr>
        <w:t>DL BWP</w:t>
      </w:r>
      <w:r>
        <w:rPr>
          <w:lang w:eastAsia="en-GB"/>
        </w:rPr>
        <w:t>: DL bandwidth part as defined in TS 38.213 [3].</w:t>
      </w:r>
    </w:p>
    <w:p>
      <w:pPr>
        <w:overflowPunct w:val="0"/>
        <w:autoSpaceDE w:val="0"/>
        <w:autoSpaceDN w:val="0"/>
        <w:adjustRightInd w:val="0"/>
        <w:textAlignment w:val="baseline"/>
        <w:rPr>
          <w:lang w:eastAsia="en-GB"/>
        </w:rPr>
      </w:pPr>
      <w:r>
        <w:rPr>
          <w:b/>
          <w:lang w:eastAsia="en-GB"/>
        </w:rPr>
        <w:t>EN-DC</w:t>
      </w:r>
      <w:r>
        <w:rPr>
          <w:lang w:eastAsia="en-GB"/>
        </w:rPr>
        <w:t>: E-UTRA-NR Dual Connectivity as defined in clause 4.1.2 of TS 37.340 [17].</w:t>
      </w:r>
    </w:p>
    <w:p>
      <w:pPr>
        <w:overflowPunct w:val="0"/>
        <w:autoSpaceDE w:val="0"/>
        <w:autoSpaceDN w:val="0"/>
        <w:adjustRightInd w:val="0"/>
        <w:textAlignment w:val="baseline"/>
        <w:rPr>
          <w:lang w:eastAsia="en-GB"/>
        </w:rPr>
      </w:pPr>
      <w:r>
        <w:rPr>
          <w:b/>
          <w:lang w:eastAsia="en-GB"/>
        </w:rPr>
        <w:t>en-gNB</w:t>
      </w:r>
      <w:r>
        <w:rPr>
          <w:lang w:eastAsia="en-GB"/>
        </w:rPr>
        <w:t>: As defined in TS 37.340 [17].</w:t>
      </w:r>
    </w:p>
    <w:p>
      <w:pPr>
        <w:overflowPunct w:val="0"/>
        <w:autoSpaceDE w:val="0"/>
        <w:autoSpaceDN w:val="0"/>
        <w:adjustRightInd w:val="0"/>
        <w:textAlignment w:val="baseline"/>
        <w:rPr>
          <w:b/>
          <w:lang w:eastAsia="en-GB"/>
        </w:rPr>
      </w:pPr>
      <w:r>
        <w:rPr>
          <w:b/>
          <w:lang w:eastAsia="en-GB"/>
        </w:rPr>
        <w:t>FR1</w:t>
      </w:r>
      <w:r>
        <w:rPr>
          <w:lang w:eastAsia="en-GB"/>
        </w:rPr>
        <w:t>: Frequency range 1 as defined in clause 5.1 of TS 38.104 [13].</w:t>
      </w:r>
    </w:p>
    <w:p>
      <w:pPr>
        <w:overflowPunct w:val="0"/>
        <w:autoSpaceDE w:val="0"/>
        <w:autoSpaceDN w:val="0"/>
        <w:adjustRightInd w:val="0"/>
        <w:textAlignment w:val="baseline"/>
        <w:rPr>
          <w:b/>
          <w:lang w:eastAsia="en-GB"/>
        </w:rPr>
      </w:pPr>
      <w:r>
        <w:rPr>
          <w:b/>
          <w:lang w:eastAsia="en-GB"/>
        </w:rPr>
        <w:t>FR2</w:t>
      </w:r>
      <w:r>
        <w:rPr>
          <w:lang w:eastAsia="en-GB"/>
        </w:rPr>
        <w:t>: Frequency range 2 as defined in clause 5.1 of TS 38.104 [13].</w:t>
      </w:r>
    </w:p>
    <w:p>
      <w:pPr>
        <w:overflowPunct w:val="0"/>
        <w:autoSpaceDE w:val="0"/>
        <w:autoSpaceDN w:val="0"/>
        <w:adjustRightInd w:val="0"/>
        <w:textAlignment w:val="baseline"/>
        <w:rPr>
          <w:lang w:eastAsia="ko-KR"/>
        </w:rPr>
      </w:pPr>
      <w:r>
        <w:rPr>
          <w:b/>
          <w:lang w:eastAsia="en-GB"/>
        </w:rPr>
        <w:t>gNB</w:t>
      </w:r>
      <w:r>
        <w:rPr>
          <w:lang w:eastAsia="en-GB"/>
        </w:rPr>
        <w:t>: as defined in TS 38.300 [10].</w:t>
      </w:r>
    </w:p>
    <w:p>
      <w:pPr>
        <w:overflowPunct w:val="0"/>
        <w:autoSpaceDE w:val="0"/>
        <w:autoSpaceDN w:val="0"/>
        <w:adjustRightInd w:val="0"/>
        <w:textAlignment w:val="baseline"/>
        <w:rPr>
          <w:lang w:eastAsia="zh-CN"/>
        </w:rPr>
      </w:pPr>
      <w:r>
        <w:rPr>
          <w:rFonts w:hint="eastAsia"/>
          <w:b/>
          <w:lang w:eastAsia="zh-CN"/>
        </w:rPr>
        <w:t>I</w:t>
      </w:r>
      <w:r>
        <w:rPr>
          <w:b/>
          <w:lang w:eastAsia="zh-CN"/>
        </w:rPr>
        <w:t xml:space="preserve">BM (Independent Beam Management): </w:t>
      </w:r>
      <w:r>
        <w:rPr>
          <w:lang w:eastAsia="en-GB"/>
        </w:rPr>
        <w:t>As defined in TS 38.101-2 [19]</w:t>
      </w:r>
      <w:r>
        <w:rPr>
          <w:lang w:eastAsia="zh-CN"/>
        </w:rPr>
        <w:t>.</w:t>
      </w:r>
    </w:p>
    <w:p>
      <w:pPr>
        <w:overflowPunct w:val="0"/>
        <w:autoSpaceDE w:val="0"/>
        <w:autoSpaceDN w:val="0"/>
        <w:adjustRightInd w:val="0"/>
        <w:textAlignment w:val="baseline"/>
        <w:rPr>
          <w:bCs/>
          <w:lang w:eastAsia="en-GB"/>
        </w:rPr>
      </w:pPr>
      <w:r>
        <w:rPr>
          <w:b/>
          <w:lang w:eastAsia="en-GB"/>
        </w:rPr>
        <w:t>LMF</w:t>
      </w:r>
      <w:r>
        <w:rPr>
          <w:bCs/>
          <w:lang w:eastAsia="en-GB"/>
        </w:rPr>
        <w:t>: as defined in TS 38.305 [22].</w:t>
      </w:r>
    </w:p>
    <w:p>
      <w:pPr>
        <w:overflowPunct w:val="0"/>
        <w:autoSpaceDE w:val="0"/>
        <w:autoSpaceDN w:val="0"/>
        <w:adjustRightInd w:val="0"/>
        <w:textAlignment w:val="baseline"/>
        <w:rPr>
          <w:lang w:eastAsia="en-GB"/>
        </w:rPr>
      </w:pPr>
      <w:r>
        <w:rPr>
          <w:b/>
          <w:lang w:eastAsia="en-GB"/>
        </w:rPr>
        <w:t>Master Cell Group:</w:t>
      </w:r>
      <w:r>
        <w:rPr>
          <w:lang w:eastAsia="en-GB"/>
        </w:rPr>
        <w:t xml:space="preserve"> As defined in TS 38.331 [2].</w:t>
      </w:r>
    </w:p>
    <w:p>
      <w:pPr>
        <w:overflowPunct w:val="0"/>
        <w:autoSpaceDE w:val="0"/>
        <w:autoSpaceDN w:val="0"/>
        <w:adjustRightInd w:val="0"/>
        <w:textAlignment w:val="baseline"/>
        <w:rPr>
          <w:lang w:eastAsia="en-GB"/>
        </w:rPr>
      </w:pPr>
      <w:bookmarkStart w:id="9" w:name="_Hlk827074"/>
      <w:r>
        <w:rPr>
          <w:b/>
          <w:lang w:eastAsia="en-GB"/>
        </w:rPr>
        <w:t>Multi-Radio Dual Connectivity</w:t>
      </w:r>
      <w:bookmarkEnd w:id="9"/>
      <w:r>
        <w:rPr>
          <w:b/>
          <w:lang w:eastAsia="en-GB"/>
        </w:rPr>
        <w:t xml:space="preserve">: </w:t>
      </w:r>
      <w:r>
        <w:rPr>
          <w:lang w:eastAsia="en-GB"/>
        </w:rPr>
        <w:t>Dual Connectivity between E-UTRA and NR nodes, or between two NR nodes, as defined in TS 37.340 [17].</w:t>
      </w:r>
    </w:p>
    <w:p>
      <w:pPr>
        <w:overflowPunct w:val="0"/>
        <w:autoSpaceDE w:val="0"/>
        <w:autoSpaceDN w:val="0"/>
        <w:adjustRightInd w:val="0"/>
        <w:textAlignment w:val="baseline"/>
        <w:rPr>
          <w:lang w:eastAsia="en-GB"/>
        </w:rPr>
      </w:pPr>
      <w:r>
        <w:rPr>
          <w:b/>
          <w:bCs/>
          <w:lang w:eastAsia="en-GB"/>
        </w:rPr>
        <w:t>NCD-SSB:</w:t>
      </w:r>
      <w:r>
        <w:rPr>
          <w:lang w:eastAsia="en-GB"/>
        </w:rPr>
        <w:t xml:space="preserve"> Non cell defining SSB as defined in TS 38.300 [10].</w:t>
      </w:r>
    </w:p>
    <w:p>
      <w:pPr>
        <w:overflowPunct w:val="0"/>
        <w:autoSpaceDE w:val="0"/>
        <w:autoSpaceDN w:val="0"/>
        <w:adjustRightInd w:val="0"/>
        <w:textAlignment w:val="baseline"/>
        <w:rPr>
          <w:bCs/>
          <w:lang w:eastAsia="en-GB"/>
        </w:rPr>
      </w:pPr>
      <w:r>
        <w:rPr>
          <w:b/>
          <w:bCs/>
          <w:lang w:eastAsia="en-GB"/>
        </w:rPr>
        <w:t>ng-eNB</w:t>
      </w:r>
      <w:r>
        <w:rPr>
          <w:bCs/>
          <w:lang w:eastAsia="en-GB"/>
        </w:rPr>
        <w:t>: As defined in TS 38.300 [10].</w:t>
      </w:r>
    </w:p>
    <w:p>
      <w:pPr>
        <w:overflowPunct w:val="0"/>
        <w:autoSpaceDE w:val="0"/>
        <w:autoSpaceDN w:val="0"/>
        <w:adjustRightInd w:val="0"/>
        <w:textAlignment w:val="baseline"/>
        <w:rPr>
          <w:lang w:eastAsia="en-GB"/>
        </w:rPr>
      </w:pPr>
      <w:r>
        <w:rPr>
          <w:b/>
          <w:lang w:val="en-US" w:eastAsia="en-GB"/>
        </w:rPr>
        <w:t>NE-DC</w:t>
      </w:r>
      <w:r>
        <w:rPr>
          <w:lang w:val="en-US" w:eastAsia="en-GB"/>
        </w:rPr>
        <w:t xml:space="preserve">: </w:t>
      </w:r>
      <w:r>
        <w:rPr>
          <w:lang w:eastAsia="en-GB"/>
        </w:rPr>
        <w:t>NR-E-UTRA Dual Connectivity as defined in clause 4.1.3.2 of TS 37.340 [17].</w:t>
      </w:r>
    </w:p>
    <w:p>
      <w:pPr>
        <w:overflowPunct w:val="0"/>
        <w:autoSpaceDE w:val="0"/>
        <w:autoSpaceDN w:val="0"/>
        <w:adjustRightInd w:val="0"/>
        <w:textAlignment w:val="baseline"/>
        <w:rPr>
          <w:lang w:eastAsia="en-GB"/>
        </w:rPr>
      </w:pPr>
      <w:r>
        <w:rPr>
          <w:b/>
          <w:lang w:eastAsia="en-GB"/>
        </w:rPr>
        <w:t>NGEN-DC</w:t>
      </w:r>
      <w:r>
        <w:rPr>
          <w:lang w:eastAsia="en-GB"/>
        </w:rPr>
        <w:t>: NG-RAN E-UTRA-NR Dual Connectivity as defined in clause 4.1.3.1 of TS 37.340 [17].</w:t>
      </w:r>
    </w:p>
    <w:p>
      <w:pPr>
        <w:overflowPunct w:val="0"/>
        <w:autoSpaceDE w:val="0"/>
        <w:autoSpaceDN w:val="0"/>
        <w:adjustRightInd w:val="0"/>
        <w:textAlignment w:val="baseline"/>
        <w:rPr>
          <w:b/>
          <w:lang w:val="en-US" w:eastAsia="en-GB"/>
        </w:rPr>
      </w:pPr>
      <w:r>
        <w:rPr>
          <w:b/>
          <w:lang w:val="en-US" w:eastAsia="en-GB"/>
        </w:rPr>
        <w:t>NR-DC</w:t>
      </w:r>
      <w:r>
        <w:rPr>
          <w:lang w:val="en-US" w:eastAsia="en-GB"/>
        </w:rPr>
        <w:t xml:space="preserve">: </w:t>
      </w:r>
      <w:r>
        <w:rPr>
          <w:lang w:eastAsia="en-GB"/>
        </w:rPr>
        <w:t>NR-NR Dual Connectivity as defined in clause 4.1.3.3 of TS 37.340 [17].</w:t>
      </w:r>
    </w:p>
    <w:p>
      <w:pPr>
        <w:overflowPunct w:val="0"/>
        <w:autoSpaceDE w:val="0"/>
        <w:autoSpaceDN w:val="0"/>
        <w:adjustRightInd w:val="0"/>
        <w:textAlignment w:val="baseline"/>
        <w:rPr>
          <w:lang w:eastAsia="en-GB"/>
        </w:rPr>
      </w:pPr>
      <w:r>
        <w:rPr>
          <w:b/>
          <w:lang w:eastAsia="en-GB"/>
        </w:rPr>
        <w:t>Primary Cell</w:t>
      </w:r>
      <w:r>
        <w:rPr>
          <w:lang w:eastAsia="en-GB"/>
        </w:rPr>
        <w:t>: As defined in TS 38.331 [2].</w:t>
      </w:r>
    </w:p>
    <w:p>
      <w:pPr>
        <w:overflowPunct w:val="0"/>
        <w:autoSpaceDE w:val="0"/>
        <w:autoSpaceDN w:val="0"/>
        <w:adjustRightInd w:val="0"/>
        <w:textAlignment w:val="baseline"/>
        <w:rPr>
          <w:b/>
          <w:bCs/>
          <w:lang w:eastAsia="en-GB"/>
        </w:rPr>
      </w:pPr>
      <w:r>
        <w:rPr>
          <w:b/>
          <w:bCs/>
          <w:lang w:eastAsia="en-GB"/>
        </w:rPr>
        <w:t xml:space="preserve">PRS resource instance: </w:t>
      </w:r>
      <w:r>
        <w:rPr>
          <w:lang w:eastAsia="en-GB"/>
        </w:rPr>
        <w:t>An instance in time of a configured PRS resource as defined in TS 38.331 [2], which may or not overlap with a measurement gap occasion.</w:t>
      </w:r>
    </w:p>
    <w:p>
      <w:pPr>
        <w:overflowPunct w:val="0"/>
        <w:autoSpaceDE w:val="0"/>
        <w:autoSpaceDN w:val="0"/>
        <w:adjustRightInd w:val="0"/>
        <w:textAlignment w:val="baseline"/>
        <w:rPr>
          <w:lang w:eastAsia="en-GB"/>
        </w:rPr>
      </w:pPr>
      <w:r>
        <w:rPr>
          <w:b/>
          <w:lang w:eastAsia="en-GB"/>
        </w:rPr>
        <w:t>Quasi Co-Location:</w:t>
      </w:r>
      <w:r>
        <w:rPr>
          <w:lang w:eastAsia="en-GB"/>
        </w:rPr>
        <w:t xml:space="preserve"> As defined in TS 38.214 [26].</w:t>
      </w:r>
    </w:p>
    <w:p>
      <w:pPr>
        <w:overflowPunct w:val="0"/>
        <w:autoSpaceDE w:val="0"/>
        <w:autoSpaceDN w:val="0"/>
        <w:adjustRightInd w:val="0"/>
        <w:textAlignment w:val="baseline"/>
        <w:rPr>
          <w:b/>
          <w:lang w:eastAsia="en-GB"/>
        </w:rPr>
      </w:pPr>
      <w:r>
        <w:rPr>
          <w:b/>
          <w:lang w:eastAsia="en-GB"/>
        </w:rPr>
        <w:t>RedCap UE:</w:t>
      </w:r>
      <w:r>
        <w:rPr>
          <w:bCs/>
          <w:lang w:eastAsia="en-GB"/>
        </w:rPr>
        <w:t xml:space="preserve"> A UE with reduced capabilities as defined in clause 4.2 in TS 38.306 [14].</w:t>
      </w:r>
    </w:p>
    <w:p>
      <w:pPr>
        <w:overflowPunct w:val="0"/>
        <w:autoSpaceDE w:val="0"/>
        <w:autoSpaceDN w:val="0"/>
        <w:adjustRightInd w:val="0"/>
        <w:textAlignment w:val="baseline"/>
        <w:rPr>
          <w:lang w:eastAsia="en-GB"/>
        </w:rPr>
      </w:pPr>
      <w:r>
        <w:rPr>
          <w:b/>
          <w:lang w:eastAsia="en-GB"/>
        </w:rPr>
        <w:t>RLM-RS resource:</w:t>
      </w:r>
      <w:r>
        <w:rPr>
          <w:lang w:eastAsia="en-GB"/>
        </w:rPr>
        <w:t xml:space="preserve"> A resource out of the set of resources configured for RLM by higher layer parameter RLM-RS-List [2] as defined in TS 38.213 [3].</w:t>
      </w:r>
    </w:p>
    <w:p>
      <w:pPr>
        <w:overflowPunct w:val="0"/>
        <w:autoSpaceDE w:val="0"/>
        <w:autoSpaceDN w:val="0"/>
        <w:adjustRightInd w:val="0"/>
        <w:textAlignment w:val="baseline"/>
        <w:rPr>
          <w:b/>
          <w:lang w:eastAsia="en-GB"/>
        </w:rPr>
      </w:pPr>
      <w:r>
        <w:rPr>
          <w:b/>
          <w:lang w:eastAsia="en-GB"/>
        </w:rPr>
        <w:t>SA operation mode</w:t>
      </w:r>
      <w:r>
        <w:rPr>
          <w:lang w:eastAsia="en-GB"/>
        </w:rPr>
        <w:t>: Operation mode when the UE is configured with at least PCell and not any MR-DC.</w:t>
      </w:r>
    </w:p>
    <w:p>
      <w:pPr>
        <w:overflowPunct w:val="0"/>
        <w:autoSpaceDE w:val="0"/>
        <w:autoSpaceDN w:val="0"/>
        <w:adjustRightInd w:val="0"/>
        <w:textAlignment w:val="baseline"/>
        <w:rPr>
          <w:lang w:eastAsia="en-GB"/>
        </w:rPr>
      </w:pPr>
      <w:r>
        <w:rPr>
          <w:b/>
          <w:lang w:eastAsia="en-GB"/>
        </w:rPr>
        <w:t>Secondary Cell</w:t>
      </w:r>
      <w:r>
        <w:rPr>
          <w:lang w:eastAsia="en-GB"/>
        </w:rPr>
        <w:t>: As defined in TS 38.331 [2].</w:t>
      </w:r>
    </w:p>
    <w:p>
      <w:pPr>
        <w:overflowPunct w:val="0"/>
        <w:autoSpaceDE w:val="0"/>
        <w:autoSpaceDN w:val="0"/>
        <w:adjustRightInd w:val="0"/>
        <w:textAlignment w:val="baseline"/>
        <w:rPr>
          <w:lang w:eastAsia="en-GB"/>
        </w:rPr>
      </w:pPr>
      <w:r>
        <w:rPr>
          <w:b/>
          <w:lang w:eastAsia="en-GB"/>
        </w:rPr>
        <w:t>Secondary Cell Group:</w:t>
      </w:r>
      <w:r>
        <w:rPr>
          <w:lang w:eastAsia="en-GB"/>
        </w:rPr>
        <w:t xml:space="preserve"> As defined in TS 38.331 [2].</w:t>
      </w:r>
    </w:p>
    <w:p>
      <w:pPr>
        <w:overflowPunct w:val="0"/>
        <w:autoSpaceDE w:val="0"/>
        <w:autoSpaceDN w:val="0"/>
        <w:adjustRightInd w:val="0"/>
        <w:textAlignment w:val="baseline"/>
        <w:rPr>
          <w:lang w:eastAsia="en-GB"/>
        </w:rPr>
      </w:pPr>
      <w:r>
        <w:rPr>
          <w:b/>
          <w:lang w:eastAsia="en-GB"/>
        </w:rPr>
        <w:t>Serving Cell</w:t>
      </w:r>
      <w:r>
        <w:rPr>
          <w:lang w:eastAsia="en-GB"/>
        </w:rPr>
        <w:t>: As defined in TS 38.331 [2].</w:t>
      </w:r>
    </w:p>
    <w:p>
      <w:pPr>
        <w:overflowPunct w:val="0"/>
        <w:autoSpaceDE w:val="0"/>
        <w:autoSpaceDN w:val="0"/>
        <w:adjustRightInd w:val="0"/>
        <w:textAlignment w:val="baseline"/>
        <w:rPr>
          <w:lang w:eastAsia="en-GB"/>
        </w:rPr>
      </w:pPr>
      <w:r>
        <w:rPr>
          <w:b/>
          <w:lang w:eastAsia="en-GB"/>
        </w:rPr>
        <w:t>SMTC</w:t>
      </w:r>
      <w:r>
        <w:rPr>
          <w:lang w:eastAsia="en-GB"/>
        </w:rPr>
        <w:t xml:space="preserve">: An SSB-based measurement timing configuration configured by </w:t>
      </w:r>
      <w:r>
        <w:rPr>
          <w:i/>
          <w:lang w:eastAsia="en-GB"/>
        </w:rPr>
        <w:t>SSB-MeasurementTimingConfiguration</w:t>
      </w:r>
      <w:r>
        <w:rPr>
          <w:lang w:eastAsia="en-GB"/>
        </w:rPr>
        <w:t xml:space="preserve"> as specified in TS 38.331 [2].</w:t>
      </w:r>
    </w:p>
    <w:p>
      <w:pPr>
        <w:overflowPunct w:val="0"/>
        <w:autoSpaceDE w:val="0"/>
        <w:autoSpaceDN w:val="0"/>
        <w:adjustRightInd w:val="0"/>
        <w:textAlignment w:val="baseline"/>
        <w:rPr>
          <w:b/>
          <w:lang w:eastAsia="en-GB"/>
        </w:rPr>
      </w:pPr>
      <w:r>
        <w:rPr>
          <w:b/>
          <w:lang w:eastAsia="en-GB"/>
        </w:rPr>
        <w:t xml:space="preserve">Special Cell: </w:t>
      </w:r>
      <w:r>
        <w:rPr>
          <w:lang w:eastAsia="en-GB"/>
        </w:rPr>
        <w:t>As defined in TS 38.331 [2].</w:t>
      </w:r>
    </w:p>
    <w:p>
      <w:pPr>
        <w:overflowPunct w:val="0"/>
        <w:autoSpaceDE w:val="0"/>
        <w:autoSpaceDN w:val="0"/>
        <w:adjustRightInd w:val="0"/>
        <w:textAlignment w:val="baseline"/>
        <w:rPr>
          <w:b/>
          <w:lang w:eastAsia="en-GB"/>
        </w:rPr>
      </w:pPr>
      <w:r>
        <w:rPr>
          <w:b/>
          <w:lang w:eastAsia="en-GB"/>
        </w:rPr>
        <w:t xml:space="preserve">SSB: </w:t>
      </w:r>
      <w:r>
        <w:rPr>
          <w:lang w:eastAsia="en-GB"/>
        </w:rPr>
        <w:t>SS/PBCH block as defined in clause 7.8.3 of TS 38.211 [6].</w:t>
      </w:r>
    </w:p>
    <w:p>
      <w:pPr>
        <w:overflowPunct w:val="0"/>
        <w:autoSpaceDE w:val="0"/>
        <w:autoSpaceDN w:val="0"/>
        <w:adjustRightInd w:val="0"/>
        <w:textAlignment w:val="baseline"/>
        <w:rPr>
          <w:lang w:eastAsia="en-GB"/>
        </w:rPr>
      </w:pPr>
      <w:r>
        <w:rPr>
          <w:b/>
          <w:lang w:eastAsia="en-GB"/>
        </w:rPr>
        <w:t>Timing Advance Group</w:t>
      </w:r>
      <w:r>
        <w:rPr>
          <w:lang w:eastAsia="en-GB"/>
        </w:rPr>
        <w:t>: As defined in TS 38.331 [2].</w:t>
      </w:r>
    </w:p>
    <w:p>
      <w:pPr>
        <w:rPr>
          <w:rFonts w:eastAsiaTheme="minorEastAsia"/>
          <w:lang w:val="en-US" w:eastAsia="zh-CN"/>
        </w:rPr>
      </w:pPr>
      <w:ins w:id="0" w:author="Xiaomi" w:date="2023-07-17T19:17:00Z">
        <w:r>
          <w:rPr>
            <w:b/>
          </w:rPr>
          <w:t>IDC solution:</w:t>
        </w:r>
      </w:ins>
      <w:ins w:id="1" w:author="Xiaomi" w:date="2023-07-18T11:13:00Z">
        <w:r>
          <w:rPr>
            <w:b/>
          </w:rPr>
          <w:t xml:space="preserve"> </w:t>
        </w:r>
      </w:ins>
      <w:ins w:id="2" w:author="Xiaomi" w:date="2023-07-18T11:14:00Z">
        <w:r>
          <w:rPr>
            <w:rFonts w:hint="eastAsia"/>
          </w:rPr>
          <w:t>As</w:t>
        </w:r>
      </w:ins>
      <w:ins w:id="3" w:author="Xiaomi" w:date="2023-07-18T11:14:00Z">
        <w:r>
          <w:rPr/>
          <w:t xml:space="preserve"> described in TS 36.300 [24] and TS 38.300 [10].</w:t>
        </w:r>
      </w:ins>
      <w:ins w:id="4" w:author="Xiaomi" w:date="2023-07-17T19:17:00Z">
        <w:r>
          <w:rPr>
            <w:b/>
          </w:rPr>
          <w:t xml:space="preserve"> </w:t>
        </w:r>
      </w:ins>
    </w:p>
    <w:p>
      <w:pPr>
        <w:keepNext/>
        <w:keepLines/>
        <w:spacing w:before="240"/>
        <w:ind w:left="1134" w:hanging="1134"/>
        <w:jc w:val="center"/>
        <w:outlineLvl w:val="0"/>
        <w:rPr>
          <w:rFonts w:ascii="Arial" w:hAnsi="Arial" w:eastAsia="宋体"/>
          <w:b/>
          <w:color w:val="0000FF"/>
          <w:sz w:val="36"/>
        </w:rPr>
      </w:pPr>
      <w:r>
        <w:rPr>
          <w:rFonts w:ascii="Arial" w:hAnsi="Arial" w:eastAsia="宋体"/>
          <w:b/>
          <w:color w:val="0000FF"/>
          <w:sz w:val="36"/>
        </w:rPr>
        <w:t>&lt;</w:t>
      </w:r>
      <w:r>
        <w:rPr>
          <w:rFonts w:hint="eastAsia" w:ascii="Arial" w:hAnsi="Arial" w:eastAsia="宋体"/>
          <w:b/>
          <w:color w:val="0000FF"/>
          <w:sz w:val="36"/>
          <w:lang w:eastAsia="zh-CN"/>
        </w:rPr>
        <w:t>End</w:t>
      </w:r>
      <w:r>
        <w:rPr>
          <w:rFonts w:ascii="Arial" w:hAnsi="Arial" w:eastAsia="宋体"/>
          <w:b/>
          <w:color w:val="0000FF"/>
          <w:sz w:val="36"/>
        </w:rPr>
        <w:t xml:space="preserve"> of Change </w:t>
      </w:r>
      <w:r>
        <w:rPr>
          <w:rFonts w:hint="eastAsia" w:ascii="Arial" w:hAnsi="Arial" w:eastAsia="宋体"/>
          <w:b/>
          <w:color w:val="0000FF"/>
          <w:sz w:val="36"/>
          <w:lang w:eastAsia="zh-CN"/>
        </w:rPr>
        <w:t>#</w:t>
      </w:r>
      <w:r>
        <w:rPr>
          <w:rFonts w:ascii="Arial" w:hAnsi="Arial" w:eastAsia="宋体"/>
          <w:b/>
          <w:color w:val="0000FF"/>
          <w:sz w:val="36"/>
        </w:rPr>
        <w:t>1&gt;</w:t>
      </w:r>
    </w:p>
    <w:p>
      <w:pPr>
        <w:rPr>
          <w:color w:val="FF0000"/>
          <w:sz w:val="24"/>
          <w:lang w:eastAsia="zh-CN"/>
        </w:rPr>
      </w:pPr>
    </w:p>
    <w:p>
      <w:pPr>
        <w:keepNext/>
        <w:keepLines/>
        <w:spacing w:before="240"/>
        <w:ind w:left="1134" w:hanging="1134"/>
        <w:jc w:val="center"/>
        <w:outlineLvl w:val="0"/>
        <w:rPr>
          <w:ins w:id="5" w:author="Xiaomi2" w:date="2023-08-24T11:01:00Z"/>
          <w:rFonts w:ascii="Arial" w:hAnsi="Arial" w:eastAsia="宋体"/>
          <w:b/>
          <w:color w:val="0000FF"/>
          <w:sz w:val="36"/>
        </w:rPr>
      </w:pPr>
      <w:r>
        <w:rPr>
          <w:rFonts w:ascii="Arial" w:hAnsi="Arial" w:eastAsia="宋体"/>
          <w:b/>
          <w:color w:val="0000FF"/>
          <w:sz w:val="36"/>
        </w:rPr>
        <w:t>&lt;</w:t>
      </w:r>
      <w:r>
        <w:rPr>
          <w:rFonts w:hint="eastAsia" w:ascii="Arial" w:hAnsi="Arial" w:eastAsia="宋体"/>
          <w:b/>
          <w:color w:val="0000FF"/>
          <w:sz w:val="36"/>
        </w:rPr>
        <w:t>Start</w:t>
      </w:r>
      <w:r>
        <w:rPr>
          <w:rFonts w:ascii="Arial" w:hAnsi="Arial" w:eastAsia="宋体"/>
          <w:b/>
          <w:color w:val="0000FF"/>
          <w:sz w:val="36"/>
        </w:rPr>
        <w:t xml:space="preserve"> of Change </w:t>
      </w:r>
      <w:r>
        <w:rPr>
          <w:rFonts w:hint="eastAsia" w:ascii="Arial" w:hAnsi="Arial" w:eastAsia="宋体"/>
          <w:b/>
          <w:color w:val="0000FF"/>
          <w:sz w:val="36"/>
          <w:lang w:eastAsia="zh-CN"/>
        </w:rPr>
        <w:t>#</w:t>
      </w:r>
      <w:r>
        <w:rPr>
          <w:rFonts w:ascii="Arial" w:hAnsi="Arial" w:eastAsia="宋体"/>
          <w:b/>
          <w:color w:val="0000FF"/>
          <w:sz w:val="36"/>
        </w:rPr>
        <w:t>2&gt;</w:t>
      </w:r>
    </w:p>
    <w:p>
      <w:pPr>
        <w:overflowPunct w:val="0"/>
        <w:autoSpaceDE w:val="0"/>
        <w:autoSpaceDN w:val="0"/>
        <w:adjustRightInd w:val="0"/>
        <w:textAlignment w:val="baseline"/>
      </w:pPr>
    </w:p>
    <w:p>
      <w:pPr>
        <w:rPr>
          <w:rFonts w:eastAsia="宋体"/>
          <w:color w:val="0000FF"/>
          <w:sz w:val="24"/>
          <w:szCs w:val="24"/>
        </w:rPr>
      </w:pPr>
      <w:r>
        <w:rPr>
          <w:rFonts w:hint="eastAsia" w:eastAsia="宋体"/>
          <w:color w:val="0000FF"/>
          <w:sz w:val="24"/>
          <w:szCs w:val="24"/>
        </w:rPr>
        <w:t>=========================</w:t>
      </w:r>
      <w:r>
        <w:rPr>
          <w:rFonts w:eastAsia="宋体"/>
          <w:color w:val="0000FF"/>
          <w:sz w:val="24"/>
          <w:szCs w:val="24"/>
        </w:rPr>
        <w:t xml:space="preserve"> UNCHANGED TEXT </w:t>
      </w:r>
      <w:r>
        <w:rPr>
          <w:rFonts w:hint="eastAsia" w:eastAsia="宋体"/>
          <w:color w:val="0000FF"/>
          <w:sz w:val="24"/>
          <w:szCs w:val="24"/>
        </w:rPr>
        <w:t>===========================</w:t>
      </w:r>
      <w:r>
        <w:rPr>
          <w:rFonts w:eastAsia="宋体"/>
          <w:color w:val="0000FF"/>
          <w:sz w:val="24"/>
          <w:szCs w:val="24"/>
        </w:rPr>
        <w:t xml:space="preserve"> </w:t>
      </w:r>
    </w:p>
    <w:p>
      <w:pPr>
        <w:rPr>
          <w:rFonts w:eastAsia="宋体"/>
          <w:color w:val="0000FF"/>
          <w:sz w:val="24"/>
          <w:szCs w:val="24"/>
        </w:rPr>
      </w:pPr>
    </w:p>
    <w:p>
      <w:pPr>
        <w:pStyle w:val="4"/>
        <w:overflowPunct w:val="0"/>
        <w:autoSpaceDE w:val="0"/>
        <w:autoSpaceDN w:val="0"/>
        <w:adjustRightInd w:val="0"/>
        <w:textAlignment w:val="baseline"/>
        <w:rPr>
          <w:ins w:id="6" w:author="Xiaomi" w:date="2023-07-17T19:26:00Z"/>
          <w:lang w:eastAsia="en-GB"/>
        </w:rPr>
      </w:pPr>
      <w:ins w:id="7" w:author="Xiaomi" w:date="2023-07-17T19:27:00Z">
        <w:r>
          <w:rPr>
            <w:lang w:eastAsia="en-GB"/>
          </w:rPr>
          <w:t>8.1.8</w:t>
        </w:r>
      </w:ins>
      <w:ins w:id="8" w:author="Xiaomi" w:date="2023-07-17T19:26:00Z">
        <w:bookmarkStart w:id="10" w:name="_Toc383690767"/>
        <w:r>
          <w:rPr>
            <w:lang w:eastAsia="en-GB"/>
          </w:rPr>
          <w:tab/>
        </w:r>
      </w:ins>
      <w:ins w:id="9" w:author="Xiaomi" w:date="2023-07-17T19:26:00Z">
        <w:r>
          <w:rPr>
            <w:lang w:eastAsia="en-GB"/>
          </w:rPr>
          <w:t>Minimum requirement under IDC Interference</w:t>
        </w:r>
        <w:bookmarkEnd w:id="10"/>
      </w:ins>
    </w:p>
    <w:p>
      <w:ins w:id="10" w:author="Xiaomi" w:date="2023-07-17T19:26:00Z">
        <w:r>
          <w:rPr/>
          <w:t>When the UE is provided with IDC solution, the UE shall also perform radio link monitoring and meet the corresponding requirements in clause </w:t>
        </w:r>
      </w:ins>
      <w:ins w:id="11" w:author="Xiaomi" w:date="2023-07-17T19:27:00Z">
        <w:r>
          <w:rPr/>
          <w:t>8.1</w:t>
        </w:r>
      </w:ins>
      <w:ins w:id="12" w:author="Xiaomi" w:date="2023-07-17T19:26:00Z">
        <w:r>
          <w:rPr/>
          <w:t>.</w:t>
        </w:r>
      </w:ins>
    </w:p>
    <w:p>
      <w:pPr>
        <w:rPr>
          <w:color w:val="FF0000"/>
          <w:sz w:val="24"/>
          <w:lang w:eastAsia="zh-CN"/>
        </w:rPr>
      </w:pPr>
      <w:r>
        <w:rPr>
          <w:rFonts w:hint="eastAsia" w:eastAsia="宋体"/>
          <w:color w:val="0000FF"/>
          <w:sz w:val="24"/>
          <w:szCs w:val="24"/>
        </w:rPr>
        <w:t>=========================</w:t>
      </w:r>
      <w:r>
        <w:rPr>
          <w:rFonts w:eastAsia="宋体"/>
          <w:color w:val="0000FF"/>
          <w:sz w:val="24"/>
          <w:szCs w:val="24"/>
        </w:rPr>
        <w:t xml:space="preserve"> UNCHANGED TEXT </w:t>
      </w:r>
      <w:r>
        <w:rPr>
          <w:rFonts w:hint="eastAsia" w:eastAsia="宋体"/>
          <w:color w:val="0000FF"/>
          <w:sz w:val="24"/>
          <w:szCs w:val="24"/>
        </w:rPr>
        <w:t>===========================</w:t>
      </w:r>
      <w:ins w:id="13" w:author="Xiaomi" w:date="2023-07-17T19:28:00Z">
        <w:r>
          <w:rPr>
            <w:color w:val="FF0000"/>
            <w:sz w:val="24"/>
            <w:lang w:eastAsia="zh-CN"/>
          </w:rPr>
          <w:t xml:space="preserve"> </w:t>
        </w:r>
      </w:ins>
    </w:p>
    <w:p>
      <w:pPr>
        <w:pStyle w:val="4"/>
        <w:overflowPunct w:val="0"/>
        <w:autoSpaceDE w:val="0"/>
        <w:autoSpaceDN w:val="0"/>
        <w:adjustRightInd w:val="0"/>
        <w:textAlignment w:val="baseline"/>
        <w:rPr>
          <w:ins w:id="14" w:author="Xiaomi" w:date="2023-07-17T19:27:00Z"/>
          <w:lang w:eastAsia="en-GB"/>
        </w:rPr>
      </w:pPr>
      <w:ins w:id="15" w:author="Xiaomi" w:date="2023-07-17T19:27:00Z">
        <w:r>
          <w:rPr>
            <w:lang w:eastAsia="en-GB"/>
          </w:rPr>
          <w:t>8.</w:t>
        </w:r>
      </w:ins>
      <w:ins w:id="16" w:author="Xiaomi" w:date="2023-07-17T19:28:00Z">
        <w:r>
          <w:rPr>
            <w:lang w:eastAsia="en-GB"/>
          </w:rPr>
          <w:t>5</w:t>
        </w:r>
      </w:ins>
      <w:ins w:id="17" w:author="Xiaomi" w:date="2023-07-17T19:27:00Z">
        <w:r>
          <w:rPr>
            <w:lang w:eastAsia="en-GB"/>
          </w:rPr>
          <w:t>.</w:t>
        </w:r>
      </w:ins>
      <w:ins w:id="18" w:author="Xiaomi" w:date="2023-07-17T19:28:00Z">
        <w:r>
          <w:rPr>
            <w:lang w:eastAsia="en-GB"/>
          </w:rPr>
          <w:t>11</w:t>
        </w:r>
      </w:ins>
      <w:ins w:id="19" w:author="Xiaomi" w:date="2023-07-17T19:27:00Z">
        <w:r>
          <w:rPr>
            <w:lang w:eastAsia="en-GB"/>
          </w:rPr>
          <w:tab/>
        </w:r>
      </w:ins>
      <w:ins w:id="20" w:author="Xiaomi" w:date="2023-07-17T19:27:00Z">
        <w:r>
          <w:rPr>
            <w:lang w:eastAsia="en-GB"/>
          </w:rPr>
          <w:t>Minimum requirement under IDC Interference</w:t>
        </w:r>
      </w:ins>
    </w:p>
    <w:p>
      <w:ins w:id="21" w:author="Xiaomi" w:date="2023-07-17T19:27:00Z">
        <w:r>
          <w:rPr/>
          <w:t xml:space="preserve">When the UE is provided with IDC solution, the UE shall also </w:t>
        </w:r>
      </w:ins>
      <w:ins w:id="22" w:author="Ziquan-Xiaomi" w:date="2023-08-25T12:06:00Z">
        <w:r>
          <w:rPr>
            <w:rFonts w:hint="eastAsia"/>
          </w:rPr>
          <w:t>assess the downlink radio link quality</w:t>
        </w:r>
      </w:ins>
      <w:ins w:id="23" w:author="Xiaomi" w:date="2023-07-17T19:27:00Z">
        <w:r>
          <w:rPr/>
          <w:t xml:space="preserve"> and meet the corresponding requirements in clause 8.</w:t>
        </w:r>
      </w:ins>
      <w:ins w:id="24" w:author="Xiaomi" w:date="2023-07-17T19:28:00Z">
        <w:r>
          <w:rPr/>
          <w:t>5</w:t>
        </w:r>
      </w:ins>
      <w:ins w:id="25" w:author="Xiaomi" w:date="2023-07-17T19:27:00Z">
        <w:r>
          <w:rPr/>
          <w:t>.</w:t>
        </w:r>
      </w:ins>
    </w:p>
    <w:p/>
    <w:p>
      <w:pPr>
        <w:rPr>
          <w:rFonts w:eastAsia="宋体"/>
          <w:color w:val="0000FF"/>
          <w:sz w:val="24"/>
          <w:szCs w:val="24"/>
        </w:rPr>
      </w:pPr>
      <w:r>
        <w:rPr>
          <w:rFonts w:hint="eastAsia" w:eastAsia="宋体"/>
          <w:color w:val="0000FF"/>
          <w:sz w:val="24"/>
          <w:szCs w:val="24"/>
        </w:rPr>
        <w:t>=========================</w:t>
      </w:r>
      <w:r>
        <w:rPr>
          <w:rFonts w:eastAsia="宋体"/>
          <w:color w:val="0000FF"/>
          <w:sz w:val="24"/>
          <w:szCs w:val="24"/>
        </w:rPr>
        <w:t xml:space="preserve"> UNCHANGED TEXT </w:t>
      </w:r>
      <w:r>
        <w:rPr>
          <w:rFonts w:hint="eastAsia" w:eastAsia="宋体"/>
          <w:color w:val="0000FF"/>
          <w:sz w:val="24"/>
          <w:szCs w:val="24"/>
        </w:rPr>
        <w:t>===========================</w:t>
      </w:r>
    </w:p>
    <w:p>
      <w:pPr>
        <w:pStyle w:val="4"/>
      </w:pPr>
      <w:r>
        <w:t>9.1.1</w:t>
      </w:r>
      <w:r>
        <w:tab/>
      </w:r>
      <w:r>
        <w:t>Introduction</w:t>
      </w:r>
    </w:p>
    <w:p>
      <w:pPr>
        <w:rPr>
          <w:rFonts w:cs="v4.2.0"/>
        </w:rPr>
      </w:pPr>
      <w:r>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t>TS 3</w:t>
      </w:r>
      <w:r>
        <w:rPr>
          <w:rFonts w:hint="eastAsia"/>
          <w:lang w:val="en-US" w:eastAsia="zh-CN"/>
        </w:rPr>
        <w:t>8</w:t>
      </w:r>
      <w:r>
        <w:t>.331 </w:t>
      </w:r>
      <w:r>
        <w:rPr>
          <w:rFonts w:cs="v4.2.0"/>
        </w:rPr>
        <w:t>[</w:t>
      </w:r>
      <w:r>
        <w:rPr>
          <w:rFonts w:hint="eastAsia" w:cs="v4.2.0"/>
          <w:lang w:val="en-US" w:eastAsia="zh-CN"/>
        </w:rPr>
        <w:t>2</w:t>
      </w:r>
      <w:r>
        <w:rPr>
          <w:rFonts w:cs="v4.2.0"/>
        </w:rPr>
        <w:t>].</w:t>
      </w:r>
    </w:p>
    <w:p>
      <w:ins w:id="26" w:author="Xiaomi2" w:date="2023-08-24T16:05:00Z">
        <w:r>
          <w:rPr/>
          <w:t>Unless explicitly stated otherwise, the UE shall perform RRM measurements and meet the corresponding requirements in clause 9 when the UE is provided with IDC solution.</w:t>
        </w:r>
      </w:ins>
    </w:p>
    <w:p>
      <w:r>
        <w:t>In the requirements of clause 9, the exceptions for side conditions apply as follows:</w:t>
      </w:r>
    </w:p>
    <w:p>
      <w:pPr>
        <w:pStyle w:val="75"/>
      </w:pPr>
      <w:r>
        <w:t>-</w:t>
      </w:r>
      <w:r>
        <w:tab/>
      </w:r>
      <w:r>
        <w:t>for the UE capable of CA but not configured with any SCell, the applicable exceptions for side conditions are specified in Annex B, clause B.3.2.1 for UE supporting CA in FR1, and clause B.3.2.3 for UE supporting CA in FR2, respectively;</w:t>
      </w:r>
    </w:p>
    <w:p>
      <w:pPr>
        <w:pStyle w:val="75"/>
      </w:pPr>
      <w:r>
        <w:t>-</w:t>
      </w:r>
      <w:r>
        <w:tab/>
      </w:r>
      <w:r>
        <w:t xml:space="preserve">for the UE capable of CA and configured with </w:t>
      </w:r>
      <w:r>
        <w:rPr>
          <w:lang w:eastAsia="zh-CN"/>
        </w:rPr>
        <w:t xml:space="preserve">at least one </w:t>
      </w:r>
      <w:r>
        <w:t>SCell, the applicable exceptions for side conditions are specified in Annex B, clause B.3.2.2 for UE configured with CA in FR1, and clause B.3.2.4 for UE supporting CA in FR2, respectively;</w:t>
      </w:r>
    </w:p>
    <w:p>
      <w:pPr>
        <w:pStyle w:val="75"/>
      </w:pPr>
      <w:r>
        <w:t>-</w:t>
      </w:r>
      <w:r>
        <w:tab/>
      </w:r>
      <w:r>
        <w:t>for the UE capable of SUL but not configured with SUL, the applicable exceptions for side conditions are specified in Annex B, clause B.3.4.1 for UE supporting SUL in FR1;</w:t>
      </w:r>
    </w:p>
    <w:p>
      <w:pPr>
        <w:pStyle w:val="75"/>
      </w:pPr>
      <w:r>
        <w:t>-</w:t>
      </w:r>
      <w:r>
        <w:tab/>
      </w:r>
      <w:r>
        <w:t>for the UE capable of SUL and configured with at least one SUL, the applicable exceptions for side conditions are specified in Annex B, clause B.3.4.2 for UE configured with SUL in FR1.</w:t>
      </w:r>
    </w:p>
    <w:p>
      <w:pPr>
        <w:pStyle w:val="75"/>
      </w:pPr>
    </w:p>
    <w:p>
      <w:pPr>
        <w:rPr>
          <w:color w:val="FF0000"/>
          <w:sz w:val="24"/>
          <w:lang w:eastAsia="zh-CN"/>
        </w:rPr>
      </w:pPr>
      <w:r>
        <w:rPr>
          <w:rFonts w:hint="eastAsia" w:eastAsia="宋体"/>
          <w:color w:val="0000FF"/>
          <w:sz w:val="24"/>
          <w:szCs w:val="24"/>
        </w:rPr>
        <w:t>=========================</w:t>
      </w:r>
      <w:r>
        <w:rPr>
          <w:rFonts w:eastAsia="宋体"/>
          <w:color w:val="0000FF"/>
          <w:sz w:val="24"/>
          <w:szCs w:val="24"/>
        </w:rPr>
        <w:t xml:space="preserve"> UNCHANGED TEXT </w:t>
      </w:r>
      <w:r>
        <w:rPr>
          <w:rFonts w:hint="eastAsia" w:eastAsia="宋体"/>
          <w:color w:val="0000FF"/>
          <w:sz w:val="24"/>
          <w:szCs w:val="24"/>
        </w:rPr>
        <w:t>===========================</w:t>
      </w:r>
    </w:p>
    <w:p>
      <w:pPr>
        <w:pStyle w:val="3"/>
      </w:pPr>
      <w:r>
        <w:t>9.2</w:t>
      </w:r>
      <w:r>
        <w:tab/>
      </w:r>
      <w:r>
        <w:t>NR intra-frequency measurements</w:t>
      </w:r>
    </w:p>
    <w:p>
      <w:pPr>
        <w:pStyle w:val="4"/>
      </w:pPr>
      <w:r>
        <w:t>9.2.1</w:t>
      </w:r>
      <w:r>
        <w:tab/>
      </w:r>
      <w:r>
        <w:t>Introduction</w:t>
      </w:r>
    </w:p>
    <w:p>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r>
        <w:t>The UE can perform intra-frequency SSB based measurements without measurement gaps (either legacy measurement gap or NCSG) if</w:t>
      </w:r>
    </w:p>
    <w:p>
      <w:pPr>
        <w:pStyle w:val="75"/>
        <w:rPr>
          <w:lang w:eastAsia="zh-CN"/>
        </w:rPr>
      </w:pPr>
      <w:r>
        <w:t>-</w:t>
      </w:r>
      <w:r>
        <w:tab/>
      </w:r>
      <w:r>
        <w:t xml:space="preserve">the UE indicates ‘no-gap’ via </w:t>
      </w:r>
      <w:r>
        <w:rPr>
          <w:i/>
        </w:rPr>
        <w:t>intraFreq-needForGap</w:t>
      </w:r>
      <w:r>
        <w:t xml:space="preserve"> for intra-frequency measurement</w:t>
      </w:r>
      <w:r>
        <w:rPr>
          <w:lang w:eastAsia="zh-CN"/>
        </w:rPr>
        <w:t>, or</w:t>
      </w:r>
    </w:p>
    <w:p>
      <w:pPr>
        <w:pStyle w:val="75"/>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75"/>
      </w:pPr>
      <w:r>
        <w:rPr>
          <w:lang w:eastAsia="zh-CN"/>
        </w:rPr>
        <w:t>-</w:t>
      </w:r>
      <w:r>
        <w:tab/>
      </w:r>
      <w:r>
        <w:t>the active downlink BWP is initial BWP</w:t>
      </w:r>
      <w:r>
        <w:rPr>
          <w:lang w:eastAsia="zh-CN"/>
        </w:rPr>
        <w:t>[3]</w:t>
      </w:r>
      <w:r>
        <w:t>.</w:t>
      </w:r>
    </w:p>
    <w:p>
      <w:pPr>
        <w:rPr>
          <w:lang w:eastAsia="zh-CN"/>
        </w:rPr>
      </w:pPr>
      <w:bookmarkStart w:id="11" w:name="_Hlk114855381"/>
      <w:r>
        <w:rPr>
          <w:rFonts w:hint="eastAsia"/>
          <w:lang w:eastAsia="zh-CN"/>
        </w:rPr>
        <w:t>F</w:t>
      </w:r>
      <w:r>
        <w:rPr>
          <w:lang w:eastAsia="zh-CN"/>
        </w:rPr>
        <w:t xml:space="preserve">or UE </w:t>
      </w:r>
      <w:r>
        <w:rPr>
          <w:rFonts w:hint="eastAsia"/>
          <w:lang w:eastAsia="zh-CN"/>
        </w:rPr>
        <w:t>supporting</w:t>
      </w:r>
      <w:r>
        <w:t xml:space="preserve"> </w:t>
      </w:r>
      <w:r>
        <w:rPr>
          <w:i/>
          <w:lang w:eastAsia="zh-CN"/>
        </w:rPr>
        <w:t>nr-NeedForGapNCSG-reporting-r17</w:t>
      </w:r>
      <w:r>
        <w:rPr>
          <w:lang w:eastAsia="zh-CN"/>
        </w:rPr>
        <w:t xml:space="preserve"> and indicating </w:t>
      </w:r>
      <w:r>
        <w:rPr>
          <w:i/>
          <w:iCs/>
          <w:lang w:val="en-US" w:eastAsia="zh-CN"/>
        </w:rPr>
        <w:t>NeedForGapNCSG-InfoNR</w:t>
      </w:r>
      <w:r>
        <w:rPr>
          <w:i/>
        </w:rPr>
        <w:t xml:space="preserve"> </w:t>
      </w:r>
      <w:r>
        <w:rPr>
          <w:lang w:eastAsia="zh-CN"/>
        </w:rPr>
        <w:t xml:space="preserve">for intra-frequency measurement, </w:t>
      </w:r>
    </w:p>
    <w:p>
      <w:pPr>
        <w:pStyle w:val="75"/>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without gap if</w:t>
      </w:r>
    </w:p>
    <w:p>
      <w:pPr>
        <w:pStyle w:val="76"/>
        <w:rPr>
          <w:lang w:eastAsia="zh-CN"/>
        </w:rPr>
      </w:pPr>
      <w:r>
        <w:rPr>
          <w:lang w:eastAsia="zh-CN"/>
        </w:rPr>
        <w:t>-</w:t>
      </w:r>
      <w:r>
        <w:rPr>
          <w:lang w:eastAsia="zh-CN"/>
        </w:rPr>
        <w:tab/>
      </w:r>
      <w:r>
        <w:rPr>
          <w:lang w:eastAsia="zh-CN"/>
        </w:rPr>
        <w:t>the UE indicates ‘</w:t>
      </w:r>
      <w:r>
        <w:t>nogap-noncsg</w:t>
      </w:r>
      <w:r>
        <w:rPr>
          <w:lang w:eastAsia="zh-CN"/>
        </w:rPr>
        <w:t xml:space="preserve">’ via </w:t>
      </w:r>
      <w:r>
        <w:rPr>
          <w:i/>
          <w:iCs/>
          <w:lang w:val="en-US" w:eastAsia="zh-CN"/>
        </w:rPr>
        <w:t>NeedForGapNCSG-InfoNR</w:t>
      </w:r>
      <w:r>
        <w:rPr>
          <w:i/>
        </w:rPr>
        <w:t xml:space="preserve"> </w:t>
      </w:r>
      <w:r>
        <w:rPr>
          <w:lang w:eastAsia="zh-CN"/>
        </w:rPr>
        <w:t>for the intra-frequency measurement, and</w:t>
      </w:r>
    </w:p>
    <w:p>
      <w:pPr>
        <w:pStyle w:val="76"/>
        <w:rPr>
          <w:lang w:eastAsia="zh-CN"/>
        </w:rPr>
      </w:pPr>
      <w:r>
        <w:t>-</w:t>
      </w:r>
      <w:r>
        <w:tab/>
      </w:r>
      <w:r>
        <w:t xml:space="preserve">the SSB is not completely contained in the </w:t>
      </w:r>
      <w:r>
        <w:rPr>
          <w:lang w:eastAsia="zh-CN"/>
        </w:rPr>
        <w:t>active BWP</w:t>
      </w:r>
      <w:r>
        <w:t xml:space="preserve"> of the UE</w:t>
      </w:r>
      <w:r>
        <w:rPr>
          <w:lang w:eastAsia="zh-CN"/>
        </w:rPr>
        <w:t>, and</w:t>
      </w:r>
    </w:p>
    <w:p>
      <w:pPr>
        <w:pStyle w:val="76"/>
        <w:rPr>
          <w:lang w:eastAsia="zh-CN"/>
        </w:rPr>
      </w:pPr>
      <w:r>
        <w:rPr>
          <w:lang w:eastAsia="zh-CN"/>
        </w:rPr>
        <w:t>-</w:t>
      </w:r>
      <w:r>
        <w:tab/>
      </w:r>
      <w:r>
        <w:t xml:space="preserve">the active downlink BWP is not an initial BWP </w:t>
      </w:r>
      <w:r>
        <w:rPr>
          <w:lang w:eastAsia="zh-CN"/>
        </w:rPr>
        <w:t>[3]</w:t>
      </w:r>
    </w:p>
    <w:p>
      <w:pPr>
        <w:pStyle w:val="75"/>
        <w:rPr>
          <w:lang w:eastAsia="zh-CN"/>
        </w:rPr>
      </w:pPr>
      <w:r>
        <w:rPr>
          <w:lang w:eastAsia="zh-CN"/>
        </w:rPr>
        <w:tab/>
      </w:r>
      <w:r>
        <w:rPr>
          <w:lang w:eastAsia="zh-CN"/>
        </w:rPr>
        <w:t xml:space="preserve">The delay requirements are specified in clause 9.2.5 </w:t>
      </w:r>
    </w:p>
    <w:p>
      <w:pPr>
        <w:pStyle w:val="75"/>
        <w:rPr>
          <w:lang w:eastAsia="zh-CN"/>
        </w:rPr>
      </w:pPr>
      <w:r>
        <w:rPr>
          <w:lang w:eastAsia="zh-CN"/>
        </w:rPr>
        <w:tab/>
      </w:r>
      <w:r>
        <w:rPr>
          <w:rFonts w:hint="eastAsia"/>
          <w:lang w:eastAsia="zh-CN"/>
        </w:rPr>
        <w:t>A</w:t>
      </w:r>
      <w:r>
        <w:rPr>
          <w:lang w:eastAsia="zh-CN"/>
        </w:rPr>
        <w:t>n intra-frequency SSB measurement is defined as measurement with NCSG if</w:t>
      </w:r>
    </w:p>
    <w:p>
      <w:pPr>
        <w:pStyle w:val="76"/>
        <w:rPr>
          <w:lang w:eastAsia="zh-CN"/>
        </w:rPr>
      </w:pPr>
      <w:r>
        <w:rPr>
          <w:lang w:eastAsia="zh-CN"/>
        </w:rPr>
        <w:t>-</w:t>
      </w:r>
      <w:r>
        <w:rPr>
          <w:lang w:eastAsia="zh-CN"/>
        </w:rPr>
        <w:tab/>
      </w:r>
      <w:r>
        <w:rPr>
          <w:lang w:eastAsia="zh-CN"/>
        </w:rPr>
        <w:t xml:space="preserve">the UE indicates ‘ncsg’ via </w:t>
      </w:r>
      <w:r>
        <w:rPr>
          <w:i/>
          <w:iCs/>
          <w:lang w:val="en-US" w:eastAsia="zh-CN"/>
        </w:rPr>
        <w:t>NeedForGapNCSG-InfoNR</w:t>
      </w:r>
      <w:r>
        <w:rPr>
          <w:lang w:eastAsia="zh-CN"/>
        </w:rPr>
        <w:t xml:space="preserve"> for the intra-frequency measurement, and</w:t>
      </w:r>
    </w:p>
    <w:p>
      <w:pPr>
        <w:pStyle w:val="76"/>
        <w:rPr>
          <w:lang w:eastAsia="zh-CN"/>
        </w:rPr>
      </w:pPr>
      <w:r>
        <w:t>-</w:t>
      </w:r>
      <w:r>
        <w:tab/>
      </w:r>
      <w:r>
        <w:t xml:space="preserve">the SSB is not completely contained in the </w:t>
      </w:r>
      <w:r>
        <w:rPr>
          <w:lang w:eastAsia="zh-CN"/>
        </w:rPr>
        <w:t>active BWP</w:t>
      </w:r>
      <w:r>
        <w:t xml:space="preserve"> of the UE</w:t>
      </w:r>
      <w:r>
        <w:rPr>
          <w:lang w:eastAsia="zh-CN"/>
        </w:rPr>
        <w:t>, and</w:t>
      </w:r>
    </w:p>
    <w:p>
      <w:pPr>
        <w:pStyle w:val="76"/>
        <w:rPr>
          <w:lang w:eastAsia="zh-CN"/>
        </w:rPr>
      </w:pPr>
      <w:r>
        <w:rPr>
          <w:lang w:eastAsia="zh-CN"/>
        </w:rPr>
        <w:t>-</w:t>
      </w:r>
      <w:r>
        <w:tab/>
      </w:r>
      <w:r>
        <w:t xml:space="preserve">the active downlink BWP is not an initial BWP </w:t>
      </w:r>
      <w:r>
        <w:rPr>
          <w:lang w:eastAsia="zh-CN"/>
        </w:rPr>
        <w:t>[3]</w:t>
      </w:r>
    </w:p>
    <w:p>
      <w:pPr>
        <w:pStyle w:val="75"/>
        <w:rPr>
          <w:lang w:eastAsia="zh-CN"/>
        </w:rPr>
      </w:pPr>
      <w:r>
        <w:rPr>
          <w:lang w:eastAsia="zh-CN"/>
        </w:rPr>
        <w:tab/>
      </w:r>
      <w:r>
        <w:rPr>
          <w:lang w:eastAsia="zh-CN"/>
        </w:rPr>
        <w:t xml:space="preserve">When network configures NCSG, the delay requirements are specified in clause 9.2.7 </w:t>
      </w:r>
    </w:p>
    <w:p>
      <w:pPr>
        <w:pStyle w:val="75"/>
        <w:rPr>
          <w:lang w:eastAsia="zh-CN"/>
        </w:rPr>
      </w:pPr>
      <w:r>
        <w:rPr>
          <w:lang w:eastAsia="zh-CN"/>
        </w:rPr>
        <w:tab/>
      </w:r>
      <w:r>
        <w:rPr>
          <w:lang w:eastAsia="zh-CN"/>
        </w:rPr>
        <w:t>When network configures measurement gap, the delay requirements are specified in clause 9.2.6</w:t>
      </w:r>
    </w:p>
    <w:p>
      <w:pPr>
        <w:pStyle w:val="75"/>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 gap if</w:t>
      </w:r>
    </w:p>
    <w:p>
      <w:pPr>
        <w:ind w:left="968" w:leftChars="342" w:hanging="284"/>
        <w:rPr>
          <w:lang w:eastAsia="zh-CN"/>
        </w:rPr>
      </w:pPr>
      <w:r>
        <w:rPr>
          <w:lang w:eastAsia="zh-CN"/>
        </w:rPr>
        <w:t>-</w:t>
      </w:r>
      <w:r>
        <w:rPr>
          <w:lang w:eastAsia="zh-CN"/>
        </w:rPr>
        <w:tab/>
      </w:r>
      <w:r>
        <w:rPr>
          <w:lang w:eastAsia="zh-CN"/>
        </w:rPr>
        <w:t xml:space="preserve">the UE indicates ‘gap’ via </w:t>
      </w:r>
      <w:r>
        <w:rPr>
          <w:i/>
          <w:iCs/>
          <w:lang w:val="en-US" w:eastAsia="zh-CN"/>
        </w:rPr>
        <w:t>NeedForGapNCSG-InfoNR</w:t>
      </w:r>
      <w:r>
        <w:rPr>
          <w:i/>
        </w:rPr>
        <w:t xml:space="preserve"> </w:t>
      </w:r>
      <w:r>
        <w:rPr>
          <w:lang w:eastAsia="zh-CN"/>
        </w:rPr>
        <w:t>for the intra-frequency measurement, and</w:t>
      </w:r>
    </w:p>
    <w:p>
      <w:pPr>
        <w:ind w:left="968" w:leftChars="342" w:hanging="284"/>
        <w:rPr>
          <w:lang w:eastAsia="zh-CN"/>
        </w:rPr>
      </w:pPr>
      <w:r>
        <w:t>-</w:t>
      </w:r>
      <w:r>
        <w:tab/>
      </w:r>
      <w:r>
        <w:t xml:space="preserve">the SSB is not completely contained in the </w:t>
      </w:r>
      <w:r>
        <w:rPr>
          <w:lang w:eastAsia="zh-CN"/>
        </w:rPr>
        <w:t>active BWP</w:t>
      </w:r>
      <w:r>
        <w:t xml:space="preserve"> of the UE</w:t>
      </w:r>
      <w:r>
        <w:rPr>
          <w:lang w:eastAsia="zh-CN"/>
        </w:rPr>
        <w:t>, and</w:t>
      </w:r>
    </w:p>
    <w:p>
      <w:pPr>
        <w:ind w:left="968" w:leftChars="342" w:hanging="284"/>
        <w:rPr>
          <w:lang w:eastAsia="zh-CN"/>
        </w:rPr>
      </w:pPr>
      <w:r>
        <w:rPr>
          <w:lang w:eastAsia="zh-CN"/>
        </w:rPr>
        <w:t>-</w:t>
      </w:r>
      <w:r>
        <w:tab/>
      </w:r>
      <w:r>
        <w:t xml:space="preserve">the active downlink BWP is not an initial BWP </w:t>
      </w:r>
      <w:r>
        <w:rPr>
          <w:lang w:eastAsia="zh-CN"/>
        </w:rPr>
        <w:t>[3]</w:t>
      </w:r>
    </w:p>
    <w:p>
      <w:pPr>
        <w:pStyle w:val="75"/>
        <w:rPr>
          <w:lang w:eastAsia="zh-CN"/>
        </w:rPr>
      </w:pPr>
      <w:r>
        <w:rPr>
          <w:lang w:eastAsia="zh-CN"/>
        </w:rPr>
        <w:tab/>
      </w:r>
      <w:r>
        <w:rPr>
          <w:lang w:eastAsia="zh-CN"/>
        </w:rPr>
        <w:t>When network configures measurement gap, the delay requirements are specified in clause 9.2.6</w:t>
      </w:r>
    </w:p>
    <w:p>
      <w:pPr>
        <w:pStyle w:val="75"/>
        <w:rPr>
          <w:lang w:eastAsia="zh-CN"/>
        </w:rPr>
      </w:pPr>
      <w:r>
        <w:rPr>
          <w:lang w:eastAsia="zh-CN"/>
        </w:rPr>
        <w:t>-</w:t>
      </w:r>
      <w:r>
        <w:rPr>
          <w:lang w:eastAsia="zh-CN"/>
        </w:rPr>
        <w:tab/>
      </w:r>
      <w:r>
        <w:rPr>
          <w:lang w:eastAsia="zh-CN"/>
        </w:rPr>
        <w:t xml:space="preserve">The UE can perform </w:t>
      </w:r>
      <w:r>
        <w:rPr>
          <w:rFonts w:hint="eastAsia"/>
          <w:lang w:eastAsia="zh-CN"/>
        </w:rPr>
        <w:t>intra-frequenc</w:t>
      </w:r>
      <w:r>
        <w:rPr>
          <w:lang w:eastAsia="zh-CN"/>
        </w:rPr>
        <w:t>y SSB based measurement corresponding to a deactivated SCell or dormant SCell with NCSG.</w:t>
      </w:r>
      <w:bookmarkEnd w:id="11"/>
    </w:p>
    <w:p>
      <w:pPr>
        <w:pStyle w:val="75"/>
        <w:rPr>
          <w:lang w:eastAsia="zh-CN"/>
        </w:rPr>
      </w:pPr>
      <w:r>
        <w:rPr>
          <w:lang w:eastAsia="zh-CN"/>
        </w:rPr>
        <w:t>-</w:t>
      </w:r>
      <w:r>
        <w:rPr>
          <w:lang w:eastAsia="zh-CN"/>
        </w:rPr>
        <w:tab/>
      </w:r>
      <w:r>
        <w:rPr>
          <w:lang w:eastAsia="zh-CN"/>
        </w:rPr>
        <w:t>For intra-frequency SSB based measurements with NCSG, UE may cause scheduling restriction as specified in clause 9.2.7.3.</w:t>
      </w:r>
    </w:p>
    <w:p>
      <w:r>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pPr>
        <w:rPr>
          <w:rFonts w:cs="v4.2.0"/>
        </w:rPr>
      </w:pPr>
      <w:bookmarkStart w:id="12" w:name="_Hlk45470000"/>
      <w: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r>
        <w:t>The measurement requirements defined for an activated SCell with a non-dormant active BWP defined in this clause shall also apply to an activated SCell with dormant BWP as active BWP.</w:t>
      </w:r>
    </w:p>
    <w:bookmarkEnd w:id="12"/>
    <w:p>
      <w:pPr>
        <w:rPr>
          <w:ins w:id="27" w:author="Xiaomi2" w:date="2023-08-24T12:50:00Z"/>
          <w:rFonts w:cs="v4.2.0"/>
        </w:rPr>
      </w:pPr>
      <w:ins w:id="28" w:author="Xiaomi2" w:date="2023-08-24T12:50:00Z">
        <w:r>
          <w:rPr>
            <w:rFonts w:hint="eastAsia" w:cs="v4.2.0"/>
          </w:rPr>
          <w:t>The</w:t>
        </w:r>
      </w:ins>
      <w:ins w:id="29" w:author="Xiaomi2" w:date="2023-08-24T12:50:00Z">
        <w:r>
          <w:rPr>
            <w:rFonts w:cs="v4.2.0"/>
          </w:rPr>
          <w:t xml:space="preserve"> measurement reporting delay can be longer </w:t>
        </w:r>
      </w:ins>
      <w:ins w:id="30" w:author="Xiaomi2" w:date="2023-08-24T12:50:00Z">
        <w:r>
          <w:rPr/>
          <w:t>for the measurement reporting requirements</w:t>
        </w:r>
      </w:ins>
      <w:ins w:id="31" w:author="Xiaomi2" w:date="2023-08-24T12:50:00Z">
        <w:r>
          <w:rPr>
            <w:rFonts w:cs="v4.2.0"/>
          </w:rPr>
          <w:t xml:space="preserve"> in this clause when IDC autonomous denial is configured.</w:t>
        </w:r>
      </w:ins>
    </w:p>
    <w:p>
      <w:pPr>
        <w:rPr>
          <w:rFonts w:eastAsia="宋体"/>
          <w:color w:val="0000FF"/>
          <w:sz w:val="24"/>
          <w:szCs w:val="24"/>
        </w:rPr>
      </w:pPr>
      <w:r>
        <w:rPr>
          <w:rFonts w:hint="eastAsia" w:eastAsia="宋体"/>
          <w:color w:val="0000FF"/>
          <w:sz w:val="24"/>
          <w:szCs w:val="24"/>
        </w:rPr>
        <w:t>=========================</w:t>
      </w:r>
      <w:r>
        <w:rPr>
          <w:rFonts w:eastAsia="宋体"/>
          <w:color w:val="0000FF"/>
          <w:sz w:val="24"/>
          <w:szCs w:val="24"/>
        </w:rPr>
        <w:t xml:space="preserve"> UNCHANGED TEXT </w:t>
      </w:r>
      <w:r>
        <w:rPr>
          <w:rFonts w:hint="eastAsia" w:eastAsia="宋体"/>
          <w:color w:val="0000FF"/>
          <w:sz w:val="24"/>
          <w:szCs w:val="24"/>
        </w:rPr>
        <w:t>===========================</w:t>
      </w:r>
      <w:r>
        <w:rPr>
          <w:rFonts w:eastAsia="宋体"/>
          <w:color w:val="0000FF"/>
          <w:sz w:val="24"/>
          <w:szCs w:val="24"/>
        </w:rPr>
        <w:t xml:space="preserve"> </w:t>
      </w:r>
    </w:p>
    <w:p>
      <w:pPr>
        <w:pStyle w:val="3"/>
      </w:pPr>
      <w:r>
        <w:t>9.3</w:t>
      </w:r>
      <w:r>
        <w:tab/>
      </w:r>
      <w:r>
        <w:t>NR inter-frequency measurements</w:t>
      </w:r>
    </w:p>
    <w:p>
      <w:pPr>
        <w:pStyle w:val="4"/>
      </w:pPr>
      <w:r>
        <w:rPr>
          <w:rFonts w:eastAsia="Malgun Gothic"/>
        </w:rPr>
        <w:t>9.3.1</w:t>
      </w:r>
      <w:r>
        <w:rPr>
          <w:rFonts w:eastAsia="Malgun Gothic"/>
        </w:rPr>
        <w:tab/>
      </w:r>
      <w:r>
        <w:rPr>
          <w:rFonts w:eastAsia="Malgun Gothic"/>
        </w:rPr>
        <w:t>Introduction</w:t>
      </w:r>
    </w:p>
    <w:p>
      <w:pPr>
        <w:rPr>
          <w:rFonts w:eastAsia="Malgun Gothic"/>
        </w:rPr>
      </w:pPr>
      <w:r>
        <w:rPr>
          <w:rFonts w:eastAsia="Malgun Gothic"/>
        </w:rPr>
        <w:t>A measurement is defined as an SSB based inter-frequency measurement provided it is not defined as an intra-frequency measurement according to clause 9.2.</w:t>
      </w:r>
    </w:p>
    <w:p>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pPr>
        <w:rPr>
          <w:rFonts w:eastAsia="Malgun Gothic"/>
        </w:rPr>
      </w:pPr>
      <w:r>
        <w:rPr>
          <w:rFonts w:eastAsia="Malgun Gothic"/>
        </w:rPr>
        <w:t xml:space="preserve">A measurement is defined as an </w:t>
      </w:r>
      <w:r>
        <w:t xml:space="preserve">inter-frequency SSB based measurements without measurement gaps (either legacy measurement gap or NCSG) in active BWP </w:t>
      </w:r>
      <w:r>
        <w:rPr>
          <w:rFonts w:eastAsia="PMingLiU"/>
          <w:lang w:eastAsia="zh-TW"/>
        </w:rPr>
        <w:t xml:space="preserve">and its delay requirements are specified in clause 9.3.9, </w:t>
      </w:r>
      <w:r>
        <w:t xml:space="preserve">for UE capable of </w:t>
      </w:r>
      <w:r>
        <w:rPr>
          <w:i/>
          <w:iCs/>
        </w:rPr>
        <w:t>interFrequencyMeas-NoGap</w:t>
      </w:r>
      <w:r>
        <w:t xml:space="preserve"> </w:t>
      </w:r>
      <w:r>
        <w:rPr>
          <w:rFonts w:eastAsia="Malgun Gothic"/>
        </w:rPr>
        <w:t>provided that</w:t>
      </w:r>
    </w:p>
    <w:p>
      <w:pPr>
        <w:pStyle w:val="75"/>
        <w:rPr>
          <w:lang w:eastAsia="zh-CN"/>
        </w:rPr>
      </w:pPr>
      <w:r>
        <w:t>-</w:t>
      </w:r>
      <w:r>
        <w:tab/>
      </w:r>
      <w:r>
        <w:rPr>
          <w:rFonts w:hint="eastAsia"/>
          <w:lang w:eastAsia="zh-CN"/>
        </w:rPr>
        <w:t xml:space="preserve">the UE supports </w:t>
      </w:r>
      <w:r>
        <w:rPr>
          <w:i/>
          <w:iCs/>
          <w:lang w:eastAsia="zh-CN"/>
        </w:rPr>
        <w:t>interFrequencyMeas-Nogap-r16</w:t>
      </w:r>
      <w:r>
        <w:rPr>
          <w:rFonts w:hint="eastAsia"/>
          <w:lang w:eastAsia="zh-CN"/>
        </w:rPr>
        <w:t xml:space="preserve"> [15], and</w:t>
      </w:r>
    </w:p>
    <w:p>
      <w:pPr>
        <w:pStyle w:val="75"/>
        <w:rPr>
          <w:lang w:eastAsia="zh-CN"/>
        </w:rPr>
      </w:pPr>
      <w:r>
        <w:t>-</w:t>
      </w:r>
      <w:r>
        <w:tab/>
      </w:r>
      <w:r>
        <w:t>the SSB is completely contained in the active BWP of the UE</w:t>
      </w:r>
      <w:r>
        <w:rPr>
          <w:rFonts w:hint="eastAsia"/>
          <w:lang w:eastAsia="zh-CN"/>
        </w:rPr>
        <w:t>.</w:t>
      </w:r>
    </w:p>
    <w:p>
      <w:pPr>
        <w:rPr>
          <w:lang w:eastAsia="zh-CN"/>
        </w:rPr>
      </w:pPr>
      <w:r>
        <w:rPr>
          <w:rFonts w:hint="eastAsia"/>
          <w:lang w:eastAsia="zh-CN"/>
        </w:rPr>
        <w:t>F</w:t>
      </w:r>
      <w:r>
        <w:rPr>
          <w:lang w:eastAsia="zh-CN"/>
        </w:rPr>
        <w:t>or UE supporting</w:t>
      </w:r>
      <w:r>
        <w:t xml:space="preserve"> </w:t>
      </w:r>
      <w:r>
        <w:rPr>
          <w:i/>
          <w:lang w:eastAsia="zh-CN"/>
        </w:rPr>
        <w:t>nr-NeedForGapNCSG-reporting-r17</w:t>
      </w:r>
      <w:r>
        <w:rPr>
          <w:lang w:eastAsia="zh-CN"/>
        </w:rPr>
        <w:t xml:space="preserve"> and indicating </w:t>
      </w:r>
      <w:r>
        <w:rPr>
          <w:i/>
          <w:iCs/>
          <w:lang w:val="en-US" w:eastAsia="zh-CN"/>
        </w:rPr>
        <w:t>NeedForGapNCSG-InfoNR</w:t>
      </w:r>
      <w:r>
        <w:rPr>
          <w:lang w:eastAsia="zh-CN"/>
        </w:rPr>
        <w:t xml:space="preserve"> for inter-frequency measurement, </w:t>
      </w:r>
    </w:p>
    <w:p>
      <w:pPr>
        <w:pStyle w:val="75"/>
        <w:rPr>
          <w:lang w:eastAsia="zh-CN"/>
        </w:rPr>
      </w:pPr>
      <w:r>
        <w:rPr>
          <w:lang w:eastAsia="zh-CN"/>
        </w:rPr>
        <w:t>-</w:t>
      </w:r>
      <w:r>
        <w:rPr>
          <w:lang w:eastAsia="zh-CN"/>
        </w:rPr>
        <w:tab/>
      </w:r>
      <w:r>
        <w:rPr>
          <w:rFonts w:hint="eastAsia"/>
          <w:lang w:eastAsia="zh-CN"/>
        </w:rPr>
        <w:t>A</w:t>
      </w:r>
      <w:r>
        <w:rPr>
          <w:lang w:eastAsia="zh-CN"/>
        </w:rPr>
        <w:t>n inter-frequency SSB measurement is defined as measurement without gap if</w:t>
      </w:r>
    </w:p>
    <w:p>
      <w:pPr>
        <w:pStyle w:val="76"/>
        <w:rPr>
          <w:lang w:eastAsia="zh-CN"/>
        </w:rPr>
      </w:pPr>
      <w:r>
        <w:rPr>
          <w:lang w:eastAsia="zh-CN"/>
        </w:rPr>
        <w:t>-</w:t>
      </w:r>
      <w:r>
        <w:rPr>
          <w:lang w:eastAsia="zh-CN"/>
        </w:rPr>
        <w:tab/>
      </w:r>
      <w:r>
        <w:rPr>
          <w:lang w:eastAsia="zh-CN"/>
        </w:rPr>
        <w:t>the UE indicates ‘</w:t>
      </w:r>
      <w:r>
        <w:t>nogap-noncsg</w:t>
      </w:r>
      <w:r>
        <w:rPr>
          <w:lang w:eastAsia="zh-CN"/>
        </w:rPr>
        <w:t xml:space="preserve">’ via </w:t>
      </w:r>
      <w:r>
        <w:rPr>
          <w:i/>
          <w:iCs/>
          <w:lang w:val="en-US" w:eastAsia="zh-CN"/>
        </w:rPr>
        <w:t>NeedForGapNCSG-InfoNR</w:t>
      </w:r>
      <w:r>
        <w:rPr>
          <w:lang w:eastAsia="zh-CN"/>
        </w:rPr>
        <w:t xml:space="preserve"> for the inter-frequency measurement, and</w:t>
      </w:r>
    </w:p>
    <w:p>
      <w:pPr>
        <w:pStyle w:val="76"/>
        <w:rPr>
          <w:lang w:eastAsia="zh-CN"/>
        </w:rPr>
      </w:pPr>
      <w:r>
        <w:t>-</w:t>
      </w:r>
      <w:r>
        <w:tab/>
      </w:r>
      <w:r>
        <w:t xml:space="preserve">the SSB is not completely contained in the </w:t>
      </w:r>
      <w:r>
        <w:rPr>
          <w:lang w:eastAsia="zh-CN"/>
        </w:rPr>
        <w:t>active BWP</w:t>
      </w:r>
      <w:r>
        <w:t xml:space="preserve"> of the UE</w:t>
      </w:r>
    </w:p>
    <w:p>
      <w:pPr>
        <w:pStyle w:val="75"/>
        <w:rPr>
          <w:lang w:eastAsia="zh-CN"/>
        </w:rPr>
      </w:pPr>
      <w:r>
        <w:rPr>
          <w:lang w:eastAsia="zh-CN"/>
        </w:rPr>
        <w:tab/>
      </w:r>
      <w:r>
        <w:rPr>
          <w:lang w:eastAsia="zh-CN"/>
        </w:rPr>
        <w:t>The delay requirements are specified in clause 9.3.9.</w:t>
      </w:r>
    </w:p>
    <w:p>
      <w:pPr>
        <w:pStyle w:val="75"/>
        <w:rPr>
          <w:lang w:eastAsia="zh-CN"/>
        </w:rPr>
      </w:pPr>
      <w:r>
        <w:rPr>
          <w:lang w:eastAsia="zh-CN"/>
        </w:rPr>
        <w:t>-</w:t>
      </w:r>
      <w:r>
        <w:rPr>
          <w:lang w:eastAsia="zh-CN"/>
        </w:rPr>
        <w:tab/>
      </w:r>
      <w:r>
        <w:rPr>
          <w:rFonts w:hint="eastAsia"/>
          <w:lang w:eastAsia="zh-CN"/>
        </w:rPr>
        <w:t>A</w:t>
      </w:r>
      <w:r>
        <w:rPr>
          <w:lang w:eastAsia="zh-CN"/>
        </w:rPr>
        <w:t xml:space="preserve">n inter-frequency SSB measurement is defined as measurement with NCSG if </w:t>
      </w:r>
    </w:p>
    <w:p>
      <w:pPr>
        <w:pStyle w:val="76"/>
        <w:rPr>
          <w:lang w:eastAsia="zh-CN"/>
        </w:rPr>
      </w:pPr>
      <w:r>
        <w:rPr>
          <w:lang w:eastAsia="zh-CN"/>
        </w:rPr>
        <w:t>-</w:t>
      </w:r>
      <w:r>
        <w:rPr>
          <w:lang w:eastAsia="zh-CN"/>
        </w:rPr>
        <w:tab/>
      </w:r>
      <w:r>
        <w:rPr>
          <w:lang w:eastAsia="zh-CN"/>
        </w:rPr>
        <w:t xml:space="preserve">the UE indicates ‘ncsg’ via </w:t>
      </w:r>
      <w:r>
        <w:rPr>
          <w:i/>
          <w:iCs/>
          <w:lang w:val="en-US" w:eastAsia="zh-CN"/>
        </w:rPr>
        <w:t>NeedForGapNCSG-InfoNR</w:t>
      </w:r>
      <w:r>
        <w:rPr>
          <w:lang w:eastAsia="zh-CN"/>
        </w:rPr>
        <w:t xml:space="preserve"> for the inter-frequency measurement, and</w:t>
      </w:r>
    </w:p>
    <w:p>
      <w:pPr>
        <w:pStyle w:val="76"/>
        <w:rPr>
          <w:lang w:eastAsia="zh-CN"/>
        </w:rPr>
      </w:pPr>
      <w:r>
        <w:t>-</w:t>
      </w:r>
      <w:r>
        <w:tab/>
      </w:r>
      <w:r>
        <w:t xml:space="preserve">the SSB is not completely contained in the </w:t>
      </w:r>
      <w:r>
        <w:rPr>
          <w:lang w:eastAsia="zh-CN"/>
        </w:rPr>
        <w:t>active BWP</w:t>
      </w:r>
      <w:r>
        <w:t xml:space="preserve"> of the UE</w:t>
      </w:r>
    </w:p>
    <w:p>
      <w:pPr>
        <w:pStyle w:val="75"/>
        <w:rPr>
          <w:lang w:eastAsia="zh-CN"/>
        </w:rPr>
      </w:pPr>
      <w:r>
        <w:rPr>
          <w:lang w:eastAsia="zh-CN"/>
        </w:rPr>
        <w:tab/>
      </w:r>
      <w:r>
        <w:rPr>
          <w:lang w:eastAsia="zh-CN"/>
        </w:rPr>
        <w:t>When network configures NCSG, the delay requirements are specified in clause 9.3.10.</w:t>
      </w:r>
    </w:p>
    <w:p>
      <w:pPr>
        <w:pStyle w:val="75"/>
        <w:rPr>
          <w:lang w:eastAsia="zh-CN"/>
        </w:rPr>
      </w:pPr>
      <w:r>
        <w:rPr>
          <w:lang w:eastAsia="zh-CN"/>
        </w:rPr>
        <w:tab/>
      </w:r>
      <w:r>
        <w:rPr>
          <w:lang w:eastAsia="zh-CN"/>
        </w:rPr>
        <w:t>When network configures measurement gap, the delay requirements are specified in clauses 9.3.4 and 9.3.5.</w:t>
      </w:r>
    </w:p>
    <w:p>
      <w:pPr>
        <w:pStyle w:val="75"/>
        <w:rPr>
          <w:lang w:eastAsia="zh-CN"/>
        </w:rPr>
      </w:pPr>
      <w:r>
        <w:rPr>
          <w:lang w:eastAsia="zh-CN"/>
        </w:rPr>
        <w:t>-</w:t>
      </w:r>
      <w:r>
        <w:rPr>
          <w:lang w:eastAsia="zh-CN"/>
        </w:rPr>
        <w:tab/>
      </w:r>
      <w:r>
        <w:rPr>
          <w:rFonts w:hint="eastAsia"/>
          <w:lang w:eastAsia="zh-CN"/>
        </w:rPr>
        <w:t>A</w:t>
      </w:r>
      <w:r>
        <w:rPr>
          <w:lang w:eastAsia="zh-CN"/>
        </w:rPr>
        <w:t>n inter-frequency SSB measurement is defined as measurement with gap if</w:t>
      </w:r>
    </w:p>
    <w:p>
      <w:pPr>
        <w:pStyle w:val="76"/>
        <w:rPr>
          <w:lang w:eastAsia="zh-CN"/>
        </w:rPr>
      </w:pPr>
      <w:r>
        <w:rPr>
          <w:lang w:eastAsia="zh-CN"/>
        </w:rPr>
        <w:t>-</w:t>
      </w:r>
      <w:r>
        <w:rPr>
          <w:lang w:eastAsia="zh-CN"/>
        </w:rPr>
        <w:tab/>
      </w:r>
      <w:r>
        <w:rPr>
          <w:lang w:eastAsia="zh-CN"/>
        </w:rPr>
        <w:t xml:space="preserve">the UE indicates ‘gap’ via </w:t>
      </w:r>
      <w:r>
        <w:rPr>
          <w:i/>
          <w:iCs/>
          <w:lang w:val="en-US" w:eastAsia="zh-CN"/>
        </w:rPr>
        <w:t>NeedForGapNCSG-InfoNR</w:t>
      </w:r>
      <w:r>
        <w:rPr>
          <w:lang w:eastAsia="zh-CN"/>
        </w:rPr>
        <w:t xml:space="preserve"> for the inter-frequency measurement, and</w:t>
      </w:r>
    </w:p>
    <w:p>
      <w:pPr>
        <w:pStyle w:val="76"/>
        <w:rPr>
          <w:lang w:eastAsia="zh-CN"/>
        </w:rPr>
      </w:pPr>
      <w:r>
        <w:t>-</w:t>
      </w:r>
      <w:r>
        <w:tab/>
      </w:r>
      <w:r>
        <w:t xml:space="preserve">the SSB is not completely contained in the </w:t>
      </w:r>
      <w:r>
        <w:rPr>
          <w:lang w:eastAsia="zh-CN"/>
        </w:rPr>
        <w:t>active BWP</w:t>
      </w:r>
      <w:r>
        <w:t xml:space="preserve"> of the UE</w:t>
      </w:r>
    </w:p>
    <w:p>
      <w:pPr>
        <w:pStyle w:val="75"/>
        <w:rPr>
          <w:lang w:eastAsia="zh-CN"/>
        </w:rPr>
      </w:pPr>
      <w:r>
        <w:rPr>
          <w:lang w:eastAsia="zh-CN"/>
        </w:rPr>
        <w:tab/>
      </w:r>
      <w:r>
        <w:rPr>
          <w:lang w:eastAsia="zh-CN"/>
        </w:rPr>
        <w:t>When network configures measurement gap, the delay requirements are specified in clauses 9.3.4 and 9.3.5.</w:t>
      </w:r>
    </w:p>
    <w:p>
      <w:pPr>
        <w:pStyle w:val="75"/>
        <w:rPr>
          <w:lang w:eastAsia="zh-CN"/>
        </w:rPr>
      </w:pPr>
      <w:r>
        <w:rPr>
          <w:lang w:eastAsia="zh-CN"/>
        </w:rPr>
        <w:t>-</w:t>
      </w:r>
      <w:r>
        <w:rPr>
          <w:lang w:eastAsia="zh-CN"/>
        </w:rPr>
        <w:tab/>
      </w:r>
      <w:r>
        <w:t xml:space="preserve">For </w:t>
      </w:r>
      <w:r>
        <w:rPr>
          <w:lang w:eastAsia="zh-CN"/>
        </w:rPr>
        <w:t>inter</w:t>
      </w:r>
      <w:r>
        <w:t>-frequency SSB based measurements with NCSG, UE may cause scheduling restriction as specified in clause 9.3.10.3.</w:t>
      </w:r>
    </w:p>
    <w:p>
      <w:pPr>
        <w:rPr>
          <w:lang w:eastAsia="zh-CN"/>
        </w:rPr>
      </w:pPr>
      <w:r>
        <w:t>For inter-frequency SSB based measurements without measurement gaps, UE may cause scheduling restriction as specified in clause 9.3.5.3</w:t>
      </w:r>
      <w:r>
        <w:rPr>
          <w:lang w:eastAsia="zh-CN"/>
        </w:rPr>
        <w:t>.</w:t>
      </w:r>
    </w:p>
    <w:p>
      <w:pPr>
        <w:pStyle w:val="56"/>
        <w:rPr>
          <w:lang w:eastAsia="zh-CN"/>
        </w:rPr>
      </w:pPr>
      <w:r>
        <w:rPr>
          <w:lang w:eastAsia="zh-CN"/>
        </w:rPr>
        <w:t xml:space="preserve">Note: Non-CA capable UE is not expected to indicate support of </w:t>
      </w:r>
      <w:r>
        <w:rPr>
          <w:i/>
          <w:iCs/>
          <w:lang w:eastAsia="zh-CN"/>
        </w:rPr>
        <w:t>interFrequencyMeas-Nogap-r16</w:t>
      </w:r>
      <w:r>
        <w:rPr>
          <w:rFonts w:hint="eastAsia"/>
          <w:lang w:eastAsia="zh-CN"/>
        </w:rPr>
        <w:t xml:space="preserve"> [15]</w:t>
      </w:r>
      <w:r>
        <w:rPr>
          <w:lang w:eastAsia="zh-CN"/>
        </w:rPr>
        <w:t>.</w:t>
      </w:r>
    </w:p>
    <w:p>
      <w:pPr>
        <w:rPr>
          <w:rFonts w:eastAsia="Malgun Gothic"/>
        </w:rPr>
      </w:pPr>
      <w:r>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pPr>
        <w:rPr>
          <w:rFonts w:cs="v4.2.0"/>
          <w:lang w:eastAsia="zh-CN"/>
        </w:rPr>
      </w:pPr>
      <w:r>
        <w:rPr>
          <w:rFonts w:eastAsia="Malgun Gothic"/>
        </w:rPr>
        <w:t xml:space="preserve">When measurement gaps are needed, the UE is not expected to detect SSB </w:t>
      </w:r>
      <w:r>
        <w:t xml:space="preserve">and measure RSSI of RSRQ </w:t>
      </w:r>
      <w:r>
        <w:rPr>
          <w:rFonts w:eastAsia="Malgun Gothic"/>
        </w:rPr>
        <w:t xml:space="preserve">on an inter-frequency measurement object which start earlier than the gap starting time + switching time, nor detect SSB </w:t>
      </w:r>
      <w:r>
        <w:t xml:space="preserve">and measure RSSI of RSRQ </w:t>
      </w:r>
      <w:r>
        <w:rPr>
          <w:rFonts w:eastAsia="Malgun Gothic"/>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r>
        <w:rPr>
          <w:rFonts w:eastAsia="?? ??"/>
        </w:rPr>
        <w:t>Longer measurement period would be expected during the period T</w:t>
      </w:r>
      <w:r>
        <w:rPr>
          <w:rFonts w:eastAsia="?? ??"/>
          <w:vertAlign w:val="subscript"/>
        </w:rPr>
        <w:t>identify_CGI</w:t>
      </w:r>
      <w:r>
        <w:rPr>
          <w:rFonts w:eastAsia="?? ??"/>
        </w:rPr>
        <w:t xml:space="preserve"> when the UE is requested to decode an NR CGI.</w:t>
      </w:r>
    </w:p>
    <w:p>
      <w:pPr>
        <w:rPr>
          <w:ins w:id="32" w:author="Xiaomi2" w:date="2023-08-24T14:27:00Z"/>
          <w:rFonts w:cs="v4.2.0"/>
        </w:rPr>
      </w:pPr>
      <w:ins w:id="33" w:author="Xiaomi2" w:date="2023-08-24T14:27:00Z">
        <w:r>
          <w:rPr>
            <w:rFonts w:hint="eastAsia" w:cs="v4.2.0"/>
          </w:rPr>
          <w:t>The</w:t>
        </w:r>
      </w:ins>
      <w:ins w:id="34" w:author="Xiaomi2" w:date="2023-08-24T14:27:00Z">
        <w:r>
          <w:rPr>
            <w:rFonts w:cs="v4.2.0"/>
          </w:rPr>
          <w:t xml:space="preserve"> measurement reporting delay can be longer </w:t>
        </w:r>
      </w:ins>
      <w:ins w:id="35" w:author="Xiaomi2" w:date="2023-08-24T14:27:00Z">
        <w:r>
          <w:rPr/>
          <w:t>for the measurement reporting requirements</w:t>
        </w:r>
      </w:ins>
      <w:ins w:id="36" w:author="Xiaomi2" w:date="2023-08-24T14:27:00Z">
        <w:r>
          <w:rPr>
            <w:rFonts w:cs="v4.2.0"/>
          </w:rPr>
          <w:t xml:space="preserve"> in this clause when IDC autonomous denial is configured.</w:t>
        </w:r>
      </w:ins>
    </w:p>
    <w:p>
      <w:pPr>
        <w:rPr>
          <w:rFonts w:eastAsia="宋体"/>
          <w:color w:val="0000FF"/>
          <w:sz w:val="24"/>
          <w:szCs w:val="24"/>
        </w:rPr>
      </w:pPr>
    </w:p>
    <w:p>
      <w:pPr>
        <w:rPr>
          <w:rFonts w:eastAsia="宋体"/>
          <w:color w:val="0000FF"/>
          <w:sz w:val="24"/>
          <w:szCs w:val="24"/>
        </w:rPr>
      </w:pPr>
      <w:r>
        <w:rPr>
          <w:rFonts w:hint="eastAsia" w:eastAsia="宋体"/>
          <w:color w:val="0000FF"/>
          <w:sz w:val="24"/>
          <w:szCs w:val="24"/>
        </w:rPr>
        <w:t>=========================</w:t>
      </w:r>
      <w:r>
        <w:rPr>
          <w:rFonts w:eastAsia="宋体"/>
          <w:color w:val="0000FF"/>
          <w:sz w:val="24"/>
          <w:szCs w:val="24"/>
        </w:rPr>
        <w:t xml:space="preserve"> UNCHANGED TEXT </w:t>
      </w:r>
      <w:r>
        <w:rPr>
          <w:rFonts w:hint="eastAsia" w:eastAsia="宋体"/>
          <w:color w:val="0000FF"/>
          <w:sz w:val="24"/>
          <w:szCs w:val="24"/>
        </w:rPr>
        <w:t>===========================</w:t>
      </w:r>
      <w:r>
        <w:rPr>
          <w:rFonts w:eastAsia="宋体"/>
          <w:color w:val="0000FF"/>
          <w:sz w:val="24"/>
          <w:szCs w:val="24"/>
        </w:rPr>
        <w:t xml:space="preserve"> </w:t>
      </w:r>
    </w:p>
    <w:p>
      <w:pPr>
        <w:pStyle w:val="3"/>
      </w:pPr>
      <w:r>
        <w:t>9.4</w:t>
      </w:r>
      <w:r>
        <w:tab/>
      </w:r>
      <w:r>
        <w:t>Inter-RAT measurements</w:t>
      </w:r>
    </w:p>
    <w:p>
      <w:pPr>
        <w:pStyle w:val="4"/>
      </w:pPr>
      <w:r>
        <w:t>9.4.1</w:t>
      </w:r>
      <w:r>
        <w:tab/>
      </w:r>
      <w:r>
        <w:t>Introduction</w:t>
      </w:r>
    </w:p>
    <w:p>
      <w:r>
        <w:t>The requirements in this clause are specified for NR−E-UTRAN FDD and NR−E-UTRAN TDD measurements and are applicable without an explicit E-UTRAN neighbour cell list containing physical layer cell identities, for a UE:</w:t>
      </w:r>
    </w:p>
    <w:p>
      <w:pPr>
        <w:pStyle w:val="75"/>
      </w:pPr>
      <w:r>
        <w:t>-</w:t>
      </w:r>
      <w:r>
        <w:tab/>
      </w:r>
      <w:r>
        <w:t>in RRC_CONNECTED state, and</w:t>
      </w:r>
    </w:p>
    <w:p>
      <w:pPr>
        <w:pStyle w:val="75"/>
      </w:pPr>
      <w:r>
        <w:t>-</w:t>
      </w:r>
      <w:r>
        <w:tab/>
      </w:r>
      <w:r>
        <w:t xml:space="preserve">configured </w:t>
      </w:r>
    </w:p>
    <w:p>
      <w:pPr>
        <w:pStyle w:val="76"/>
      </w:pPr>
      <w:r>
        <w:t>-</w:t>
      </w:r>
      <w:r>
        <w:tab/>
      </w:r>
      <w:r>
        <w:t>with SA or NR-DC operation mode or configured in NE-DC operation mode by PCell with NR</w:t>
      </w:r>
      <w:r>
        <w:rPr>
          <w:rFonts w:eastAsia="MS Mincho"/>
        </w:rPr>
        <w:sym w:font="Symbol" w:char="F02D"/>
      </w:r>
      <w:r>
        <w:t>E-UTRAN FDD or TDD measurement (RSRP, RSRQ, RS-SINR, RSTD, or E-CID</w:t>
      </w:r>
      <w:r>
        <w:rPr>
          <w:lang w:val="en-US"/>
        </w:rPr>
        <w:t xml:space="preserve"> RSRP and RSRQ</w:t>
      </w:r>
      <w:r>
        <w:t>) on E-UTRA non-serving frequency carrier, or</w:t>
      </w:r>
    </w:p>
    <w:p>
      <w:pPr>
        <w:pStyle w:val="76"/>
        <w:rPr>
          <w:lang w:val="en-US"/>
        </w:rPr>
      </w:pPr>
      <w:r>
        <w:t>-</w:t>
      </w:r>
      <w:r>
        <w:tab/>
      </w:r>
      <w:r>
        <w:t>with SA operation mode on NR carrier frequencies with CCA by PCell with NR</w:t>
      </w:r>
      <w:r>
        <w:rPr/>
        <w:sym w:font="Symbol" w:char="F02D"/>
      </w:r>
      <w:r>
        <w:t>E-UTRAN FDD or TDD measurement (RSRP, RSRQ, RS-SINR) on E-UTRA non-serving frequency carrier, and</w:t>
      </w:r>
    </w:p>
    <w:p>
      <w:pPr>
        <w:pStyle w:val="75"/>
      </w:pPr>
      <w:r>
        <w:t>-</w:t>
      </w:r>
      <w:r>
        <w:tab/>
      </w:r>
      <w:r>
        <w:t>configured with an appropriate measurement gap pattern according to Table 9.1.2-3.</w:t>
      </w:r>
    </w:p>
    <w:p>
      <w:pPr>
        <w:pStyle w:val="75"/>
        <w:ind w:left="0" w:firstLine="0"/>
      </w:pPr>
      <w:r>
        <w:t>The requirements in this clause for concurrent measurement gaps are only applied for UE in NR SA operation mode.</w:t>
      </w:r>
    </w:p>
    <w:p>
      <w:pPr>
        <w:rPr>
          <w:lang w:eastAsia="zh-CN"/>
        </w:rPr>
      </w:pPr>
      <w:r>
        <w:rPr>
          <w:rFonts w:hint="eastAsia"/>
          <w:lang w:eastAsia="zh-CN"/>
        </w:rPr>
        <w:t>F</w:t>
      </w:r>
      <w:r>
        <w:rPr>
          <w:lang w:eastAsia="zh-CN"/>
        </w:rPr>
        <w:t xml:space="preserve">or UE supporting </w:t>
      </w:r>
      <w:r>
        <w:rPr>
          <w:i/>
          <w:iCs/>
          <w:lang w:eastAsia="zh-CN"/>
        </w:rPr>
        <w:t>eutra-NeedForGapNCSG-reporting-r17</w:t>
      </w:r>
      <w:r>
        <w:rPr>
          <w:lang w:eastAsia="zh-CN"/>
        </w:rPr>
        <w:t xml:space="preserve"> and indicating </w:t>
      </w:r>
      <w:r>
        <w:rPr>
          <w:rFonts w:eastAsia="宋体"/>
          <w:i/>
        </w:rPr>
        <w:t>NeedForGapNCSG-InfoEUTRA</w:t>
      </w:r>
      <w:r>
        <w:rPr>
          <w:lang w:eastAsia="zh-CN"/>
        </w:rPr>
        <w:t xml:space="preserve"> for inter-RAT measurement, </w:t>
      </w:r>
    </w:p>
    <w:p>
      <w:pPr>
        <w:pStyle w:val="75"/>
        <w:rPr>
          <w:lang w:eastAsia="zh-CN"/>
        </w:rPr>
      </w:pPr>
      <w:r>
        <w:rPr>
          <w:lang w:eastAsia="zh-CN"/>
        </w:rPr>
        <w:t>-</w:t>
      </w:r>
      <w:r>
        <w:rPr>
          <w:lang w:eastAsia="zh-CN"/>
        </w:rPr>
        <w:tab/>
      </w:r>
      <w:r>
        <w:rPr>
          <w:rFonts w:hint="eastAsia"/>
          <w:lang w:eastAsia="zh-CN"/>
        </w:rPr>
        <w:t>A</w:t>
      </w:r>
      <w:r>
        <w:rPr>
          <w:lang w:eastAsia="zh-CN"/>
        </w:rPr>
        <w:t>n inter-RAT measurement is defined as measurement without gap if</w:t>
      </w:r>
    </w:p>
    <w:p>
      <w:pPr>
        <w:pStyle w:val="76"/>
        <w:rPr>
          <w:lang w:eastAsia="zh-CN"/>
        </w:rPr>
      </w:pPr>
      <w:r>
        <w:rPr>
          <w:lang w:eastAsia="zh-CN"/>
        </w:rPr>
        <w:t>-</w:t>
      </w:r>
      <w:r>
        <w:rPr>
          <w:lang w:eastAsia="zh-CN"/>
        </w:rPr>
        <w:tab/>
      </w:r>
      <w:r>
        <w:rPr>
          <w:lang w:eastAsia="zh-CN"/>
        </w:rPr>
        <w:t>the UE indicates ‘</w:t>
      </w:r>
      <w:r>
        <w:t>nogap-noncsg</w:t>
      </w:r>
      <w:r>
        <w:rPr>
          <w:lang w:eastAsia="zh-CN"/>
        </w:rPr>
        <w:t xml:space="preserve">’ via </w:t>
      </w:r>
      <w:r>
        <w:rPr>
          <w:rFonts w:eastAsia="宋体"/>
          <w:i/>
        </w:rPr>
        <w:t>NeedForGapNCSG-InfoEUTRA</w:t>
      </w:r>
      <w:r>
        <w:rPr>
          <w:lang w:eastAsia="zh-CN"/>
        </w:rPr>
        <w:t xml:space="preserve"> for the inter-RAT measurement</w:t>
      </w:r>
    </w:p>
    <w:p>
      <w:pPr>
        <w:pStyle w:val="75"/>
        <w:rPr>
          <w:lang w:eastAsia="zh-CN"/>
        </w:rPr>
      </w:pPr>
      <w:r>
        <w:rPr>
          <w:lang w:eastAsia="zh-CN"/>
        </w:rPr>
        <w:t>-</w:t>
      </w:r>
      <w:r>
        <w:rPr>
          <w:lang w:eastAsia="zh-CN"/>
        </w:rPr>
        <w:tab/>
      </w:r>
      <w:r>
        <w:rPr>
          <w:rFonts w:hint="eastAsia"/>
          <w:lang w:eastAsia="zh-CN"/>
        </w:rPr>
        <w:t>A</w:t>
      </w:r>
      <w:r>
        <w:rPr>
          <w:lang w:eastAsia="zh-CN"/>
        </w:rPr>
        <w:t xml:space="preserve">n inter-RAT measurement is defined as measurement with NCSG if </w:t>
      </w:r>
    </w:p>
    <w:p>
      <w:pPr>
        <w:pStyle w:val="76"/>
        <w:rPr>
          <w:lang w:eastAsia="zh-CN"/>
        </w:rPr>
      </w:pPr>
      <w:r>
        <w:rPr>
          <w:lang w:eastAsia="zh-CN"/>
        </w:rPr>
        <w:t>-</w:t>
      </w:r>
      <w:r>
        <w:rPr>
          <w:lang w:eastAsia="zh-CN"/>
        </w:rPr>
        <w:tab/>
      </w:r>
      <w:r>
        <w:rPr>
          <w:lang w:eastAsia="zh-CN"/>
        </w:rPr>
        <w:t xml:space="preserve">the UE indicates ‘ncsg’ via </w:t>
      </w:r>
      <w:r>
        <w:rPr>
          <w:rFonts w:eastAsia="宋体"/>
          <w:i/>
        </w:rPr>
        <w:t>NeedForGapNCSG-InfoEUTRA</w:t>
      </w:r>
      <w:r>
        <w:rPr>
          <w:lang w:eastAsia="zh-CN"/>
        </w:rPr>
        <w:t xml:space="preserve"> for the inter-RAT measurement</w:t>
      </w:r>
    </w:p>
    <w:p>
      <w:pPr>
        <w:pStyle w:val="75"/>
        <w:rPr>
          <w:lang w:eastAsia="zh-CN"/>
        </w:rPr>
      </w:pPr>
      <w:r>
        <w:rPr>
          <w:lang w:eastAsia="zh-CN"/>
        </w:rPr>
        <w:tab/>
      </w:r>
      <w:r>
        <w:rPr>
          <w:lang w:eastAsia="zh-CN"/>
        </w:rPr>
        <w:t>When network configures measurement gap or NCSG, the delay requirements are specified in clause 9.4.2 and 9.4.3.</w:t>
      </w:r>
    </w:p>
    <w:p>
      <w:pPr>
        <w:pStyle w:val="75"/>
        <w:rPr>
          <w:lang w:eastAsia="zh-CN"/>
        </w:rPr>
      </w:pPr>
      <w:r>
        <w:rPr>
          <w:lang w:eastAsia="zh-CN"/>
        </w:rPr>
        <w:t>-</w:t>
      </w:r>
      <w:r>
        <w:rPr>
          <w:lang w:eastAsia="zh-CN"/>
        </w:rPr>
        <w:tab/>
      </w:r>
      <w:r>
        <w:rPr>
          <w:rFonts w:hint="eastAsia"/>
          <w:lang w:eastAsia="zh-CN"/>
        </w:rPr>
        <w:t>A</w:t>
      </w:r>
      <w:r>
        <w:rPr>
          <w:lang w:eastAsia="zh-CN"/>
        </w:rPr>
        <w:t>n inter-</w:t>
      </w:r>
      <w:r>
        <w:rPr>
          <w:rFonts w:hint="eastAsia"/>
          <w:lang w:eastAsia="zh-CN"/>
        </w:rPr>
        <w:t>RAT</w:t>
      </w:r>
      <w:r>
        <w:rPr>
          <w:lang w:eastAsia="zh-CN"/>
        </w:rPr>
        <w:t xml:space="preserve"> SSB measurement is defined as measurement with gap if</w:t>
      </w:r>
    </w:p>
    <w:p>
      <w:pPr>
        <w:pStyle w:val="76"/>
        <w:rPr>
          <w:lang w:eastAsia="zh-CN"/>
        </w:rPr>
      </w:pPr>
      <w:r>
        <w:rPr>
          <w:lang w:eastAsia="zh-CN"/>
        </w:rPr>
        <w:t>-</w:t>
      </w:r>
      <w:r>
        <w:rPr>
          <w:lang w:eastAsia="zh-CN"/>
        </w:rPr>
        <w:tab/>
      </w:r>
      <w:r>
        <w:rPr>
          <w:lang w:eastAsia="zh-CN"/>
        </w:rPr>
        <w:t xml:space="preserve">the UE indicates ‘gap’ via </w:t>
      </w:r>
      <w:r>
        <w:rPr>
          <w:rFonts w:eastAsia="宋体"/>
          <w:i/>
        </w:rPr>
        <w:t>NeedForGapNCSG-InfoEUTRA</w:t>
      </w:r>
      <w:r>
        <w:rPr>
          <w:lang w:eastAsia="zh-CN"/>
        </w:rPr>
        <w:t xml:space="preserve"> for the inter-</w:t>
      </w:r>
      <w:r>
        <w:rPr>
          <w:rFonts w:hint="eastAsia"/>
          <w:lang w:eastAsia="zh-CN"/>
        </w:rPr>
        <w:t>RAT</w:t>
      </w:r>
      <w:r>
        <w:rPr>
          <w:lang w:eastAsia="zh-CN"/>
        </w:rPr>
        <w:t xml:space="preserve"> measurement</w:t>
      </w:r>
    </w:p>
    <w:p>
      <w:pPr>
        <w:pStyle w:val="75"/>
        <w:rPr>
          <w:lang w:eastAsia="zh-CN"/>
        </w:rPr>
      </w:pPr>
      <w:r>
        <w:rPr>
          <w:lang w:eastAsia="zh-CN"/>
        </w:rPr>
        <w:tab/>
      </w:r>
      <w:r>
        <w:rPr>
          <w:lang w:eastAsia="zh-CN"/>
        </w:rPr>
        <w:t>When network configures measurement gap, the delay requirements are specified in clauses 9.4.2 and 9.4.3.</w:t>
      </w:r>
    </w:p>
    <w:p>
      <w:pPr>
        <w:pStyle w:val="75"/>
        <w:rPr>
          <w:lang w:eastAsia="zh-CN"/>
        </w:rPr>
      </w:pPr>
      <w:r>
        <w:rPr>
          <w:lang w:eastAsia="zh-CN"/>
        </w:rPr>
        <w:t>-</w:t>
      </w:r>
      <w:r>
        <w:rPr>
          <w:lang w:eastAsia="zh-CN"/>
        </w:rPr>
        <w:tab/>
      </w:r>
      <w:r>
        <w:t xml:space="preserve">For </w:t>
      </w:r>
      <w:r>
        <w:rPr>
          <w:lang w:eastAsia="zh-CN"/>
        </w:rPr>
        <w:t>inter</w:t>
      </w:r>
      <w:r>
        <w:t>-RAT measurements with NCSG, UE may cause scheduling restriction as specified in clause 9.4.3.5.</w:t>
      </w:r>
    </w:p>
    <w:p>
      <w:r>
        <w:rPr>
          <w:rFonts w:eastAsia="MS Mincho"/>
        </w:rPr>
        <w:t>When the UE is in NE-DC operation mode and an NR</w:t>
      </w:r>
      <w:r>
        <w:rPr>
          <w:rFonts w:eastAsia="MS Mincho"/>
        </w:rPr>
        <w:sym w:font="Symbol" w:char="F02D"/>
      </w:r>
      <w:r>
        <w:rPr>
          <w:rFonts w:eastAsia="MS Mincho"/>
        </w:rPr>
        <w:t xml:space="preserve">E-UTRAN FDD or TDD measurement </w:t>
      </w:r>
      <w:r>
        <w:t>(RSRP, RSRQ, RS-SINR, or E-CID</w:t>
      </w:r>
      <w:r>
        <w:rPr>
          <w:lang w:val="en-US"/>
        </w:rPr>
        <w:t xml:space="preserve"> RSRP and RSRQ</w:t>
      </w:r>
      <w:r>
        <w:t xml:space="preserve">) </w:t>
      </w:r>
      <w:r>
        <w:rPr>
          <w:rFonts w:eastAsia="MS Mincho"/>
        </w:rPr>
        <w:t xml:space="preserve">configured </w:t>
      </w:r>
      <w:r>
        <w:t>by NR PCell is on a E-UTRA serving frequency carrier, then the corresponding E-UTRA intra-frequency measurements requirements specified in clause 8.19 of TS 36.133 [15] shall apply.</w:t>
      </w:r>
    </w:p>
    <w:p>
      <w:r>
        <w:t xml:space="preserve">When </w:t>
      </w:r>
      <w:r>
        <w:rPr>
          <w:rFonts w:eastAsia="Malgun Gothic"/>
          <w:i/>
          <w:iCs/>
          <w:lang w:val="en-US" w:eastAsia="zh-CN"/>
        </w:rPr>
        <w:t xml:space="preserve">highSpeedMeasFlag-r16 </w:t>
      </w:r>
      <w:r>
        <w:t xml:space="preserve">is configured but UE does not support either </w:t>
      </w:r>
      <w:r>
        <w:rPr>
          <w:i/>
          <w:iCs/>
        </w:rPr>
        <w:t>measurementEnhancement-r16 or</w:t>
      </w:r>
      <w:r>
        <w:t xml:space="preserve"> </w:t>
      </w:r>
      <w:r>
        <w:rPr>
          <w:i/>
          <w:iCs/>
        </w:rPr>
        <w:t>interRAT-</w:t>
      </w:r>
      <w:r>
        <w:rPr>
          <w:i/>
          <w:iCs/>
          <w:lang w:val="en-US"/>
        </w:rPr>
        <w:t>M</w:t>
      </w:r>
      <w:r>
        <w:rPr>
          <w:i/>
          <w:iCs/>
        </w:rPr>
        <w:t>easurementEnhancement-r16</w:t>
      </w:r>
      <w:r>
        <w:t>, the UE is not required to meet the requirements specified in Table 9.4.2.3-2 and Table 9.4.3.3-2.</w:t>
      </w:r>
    </w:p>
    <w:p>
      <w:r>
        <w:rPr>
          <w:i/>
          <w:iCs/>
        </w:rPr>
        <w:t>Editor’s note: the exact signalling names in the above brackets and in Table 9.4.2.3-2 and Table 9.4.3.3-2 are subject to RAN2 definitions and the brackets shall be replaced by the correct signalling names according to RAN2 specification.</w:t>
      </w:r>
    </w:p>
    <w:p>
      <w:r>
        <w:t xml:space="preserve">Parameter </w:t>
      </w:r>
      <w:r>
        <w:rPr>
          <w:rFonts w:cs="v4.2.0"/>
        </w:rPr>
        <w:t>T</w:t>
      </w:r>
      <w:r>
        <w:rPr>
          <w:rFonts w:cs="v4.2.0"/>
          <w:vertAlign w:val="subscript"/>
        </w:rPr>
        <w:t>Inter1</w:t>
      </w:r>
      <w:r>
        <w:t xml:space="preserve"> used in inter-RAT requirements in clause 9.4 is specified in Table 9.4.1-1 when measurement gap is used, and in Table 9.4.1-2 when NCSG is used.</w:t>
      </w:r>
    </w:p>
    <w:p>
      <w:pPr>
        <w:rPr>
          <w:ins w:id="37" w:author="Xiaomi2" w:date="2023-08-24T14:27:00Z"/>
          <w:rFonts w:cs="v4.2.0"/>
        </w:rPr>
      </w:pPr>
      <w:ins w:id="38" w:author="Xiaomi2" w:date="2023-08-24T14:27:00Z">
        <w:r>
          <w:rPr>
            <w:rFonts w:hint="eastAsia" w:cs="v4.2.0"/>
          </w:rPr>
          <w:t>The</w:t>
        </w:r>
      </w:ins>
      <w:ins w:id="39" w:author="Xiaomi2" w:date="2023-08-24T14:27:00Z">
        <w:r>
          <w:rPr>
            <w:rFonts w:cs="v4.2.0"/>
          </w:rPr>
          <w:t xml:space="preserve"> measurement reporting delay can be longer </w:t>
        </w:r>
      </w:ins>
      <w:ins w:id="40" w:author="Xiaomi2" w:date="2023-08-24T14:27:00Z">
        <w:r>
          <w:rPr/>
          <w:t>for the measurement reporting requirements</w:t>
        </w:r>
      </w:ins>
      <w:ins w:id="41" w:author="Xiaomi2" w:date="2023-08-24T14:27:00Z">
        <w:r>
          <w:rPr>
            <w:rFonts w:cs="v4.2.0"/>
          </w:rPr>
          <w:t xml:space="preserve"> in this clause when IDC autonomous denial is configured.</w:t>
        </w:r>
      </w:ins>
    </w:p>
    <w:p>
      <w:pPr>
        <w:rPr>
          <w:ins w:id="42" w:author="Xiaomi2" w:date="2023-08-24T14:27:00Z"/>
          <w:rFonts w:cs="v4.2.0"/>
        </w:rPr>
      </w:pPr>
    </w:p>
    <w:p>
      <w:pPr>
        <w:rPr>
          <w:rFonts w:eastAsia="宋体"/>
          <w:color w:val="0000FF"/>
          <w:sz w:val="24"/>
          <w:szCs w:val="24"/>
        </w:rPr>
      </w:pPr>
    </w:p>
    <w:p>
      <w:pPr>
        <w:rPr>
          <w:rFonts w:eastAsia="宋体"/>
          <w:color w:val="0000FF"/>
          <w:sz w:val="24"/>
          <w:szCs w:val="24"/>
        </w:rPr>
      </w:pPr>
      <w:r>
        <w:rPr>
          <w:rFonts w:hint="eastAsia" w:eastAsia="宋体"/>
          <w:color w:val="0000FF"/>
          <w:sz w:val="24"/>
          <w:szCs w:val="24"/>
        </w:rPr>
        <w:t>=========================</w:t>
      </w:r>
      <w:r>
        <w:rPr>
          <w:rFonts w:eastAsia="宋体"/>
          <w:color w:val="0000FF"/>
          <w:sz w:val="24"/>
          <w:szCs w:val="24"/>
        </w:rPr>
        <w:t xml:space="preserve"> UNCHANGED TEXT </w:t>
      </w:r>
      <w:r>
        <w:rPr>
          <w:rFonts w:hint="eastAsia" w:eastAsia="宋体"/>
          <w:color w:val="0000FF"/>
          <w:sz w:val="24"/>
          <w:szCs w:val="24"/>
        </w:rPr>
        <w:t>===========================</w:t>
      </w:r>
      <w:r>
        <w:rPr>
          <w:rFonts w:eastAsia="宋体"/>
          <w:color w:val="0000FF"/>
          <w:sz w:val="24"/>
          <w:szCs w:val="24"/>
        </w:rPr>
        <w:t xml:space="preserve"> </w:t>
      </w:r>
    </w:p>
    <w:p>
      <w:pPr>
        <w:pStyle w:val="3"/>
      </w:pPr>
      <w:r>
        <w:t>9.5</w:t>
      </w:r>
      <w:r>
        <w:tab/>
      </w:r>
      <w:r>
        <w:t>L1-RSRP measurements for Reporting</w:t>
      </w:r>
    </w:p>
    <w:p>
      <w:pPr>
        <w:pStyle w:val="4"/>
      </w:pPr>
      <w:r>
        <w:t>9.5.1</w:t>
      </w:r>
      <w:r>
        <w:tab/>
      </w:r>
      <w:r>
        <w:t>Introduction</w:t>
      </w:r>
    </w:p>
    <w:p>
      <w:r>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r>
        <w:t xml:space="preserve">The UE shall be able to measure all CSI-RS resources and/or SSB resources of the </w:t>
      </w:r>
      <w:r>
        <w:rPr>
          <w:i/>
        </w:rPr>
        <w:t xml:space="preserve">nzp-CSI-RS-ResourceSet </w:t>
      </w:r>
      <w:r>
        <w:t>and/or</w:t>
      </w:r>
      <w:r>
        <w:rPr>
          <w:i/>
        </w:rPr>
        <w:t xml:space="preserve"> csi-SSB-ResourceSet</w:t>
      </w:r>
      <w:r>
        <w:t xml:space="preserve"> within the CSI-Resource</w:t>
      </w:r>
      <w:r>
        <w:rPr>
          <w:i/>
        </w:rPr>
        <w:t>Config</w:t>
      </w:r>
      <w:r>
        <w:t xml:space="preserve"> settings configured for L1-RSRP for the active BWP, provided that the number of resources</w:t>
      </w:r>
      <w:r>
        <w:rPr>
          <w:lang w:eastAsia="zh-CN"/>
        </w:rPr>
        <w:t xml:space="preserve">, </w:t>
      </w:r>
      <w:r>
        <w:t xml:space="preserve">including the number of SSB resources of the cell with PCI different from serving cell configured for L1-RSRP measurements in 9.13, does not exceed the UE capability indicated by </w:t>
      </w:r>
      <w:r>
        <w:rPr>
          <w:i/>
        </w:rPr>
        <w:t>beamManagementSSB-CSI-RS</w:t>
      </w:r>
      <w:r>
        <w:t>.</w:t>
      </w:r>
    </w:p>
    <w:p>
      <w:r>
        <w:rPr>
          <w:lang w:val="en-US"/>
        </w:rPr>
        <w:t>The UE shall report the measurement quantity (</w:t>
      </w:r>
      <w:r>
        <w:rPr>
          <w:i/>
          <w:lang w:val="en-US"/>
        </w:rPr>
        <w:t>reportQuantity</w:t>
      </w:r>
      <w:r>
        <w:rPr>
          <w:lang w:val="en-US"/>
        </w:rPr>
        <w:t xml:space="preserve">) and send periodic, semi-persistent or aperiodic reports, according to the </w:t>
      </w:r>
      <w:r>
        <w:rPr>
          <w:i/>
          <w:lang w:val="en-US"/>
        </w:rPr>
        <w:t>reportConfigType</w:t>
      </w:r>
      <w:r>
        <w:rPr>
          <w:lang w:val="en-US"/>
        </w:rPr>
        <w:t xml:space="preserve"> according to the CSI reporting configuration(s) (</w:t>
      </w:r>
      <w:r>
        <w:rPr>
          <w:i/>
          <w:lang w:val="en-US"/>
        </w:rPr>
        <w:t>CSI-ReportConfig</w:t>
      </w:r>
      <w:r>
        <w:rPr>
          <w:lang w:val="en-US"/>
        </w:rPr>
        <w:t>) for the active BWP</w:t>
      </w:r>
      <w:r>
        <w:t>.</w:t>
      </w:r>
    </w:p>
    <w:p>
      <w:pPr>
        <w:rPr>
          <w:ins w:id="43" w:author="Xiaomi2" w:date="2023-08-24T14:27:00Z"/>
          <w:rFonts w:cs="v4.2.0"/>
        </w:rPr>
      </w:pPr>
      <w:ins w:id="44" w:author="Xiaomi2" w:date="2023-08-24T14:27:00Z">
        <w:r>
          <w:rPr>
            <w:rFonts w:hint="eastAsia" w:cs="v4.2.0"/>
          </w:rPr>
          <w:t>The</w:t>
        </w:r>
      </w:ins>
      <w:ins w:id="45" w:author="Xiaomi2" w:date="2023-08-24T14:27:00Z">
        <w:r>
          <w:rPr>
            <w:rFonts w:cs="v4.2.0"/>
          </w:rPr>
          <w:t xml:space="preserve"> measurement reporting delay can be longer </w:t>
        </w:r>
      </w:ins>
      <w:ins w:id="46" w:author="Xiaomi2" w:date="2023-08-24T14:27:00Z">
        <w:r>
          <w:rPr/>
          <w:t>for the measurement reporting requirements</w:t>
        </w:r>
      </w:ins>
      <w:ins w:id="47" w:author="Xiaomi2" w:date="2023-08-24T14:27:00Z">
        <w:r>
          <w:rPr>
            <w:rFonts w:cs="v4.2.0"/>
          </w:rPr>
          <w:t xml:space="preserve"> in this clause when IDC autonomous denial is configured.</w:t>
        </w:r>
      </w:ins>
    </w:p>
    <w:p>
      <w:pPr>
        <w:rPr>
          <w:ins w:id="48" w:author="Xiaomi2" w:date="2023-08-24T14:27:00Z"/>
          <w:rFonts w:cs="v4.2.0"/>
        </w:rPr>
      </w:pPr>
    </w:p>
    <w:p>
      <w:pPr>
        <w:rPr>
          <w:rFonts w:eastAsia="宋体"/>
          <w:color w:val="0000FF"/>
          <w:sz w:val="24"/>
          <w:szCs w:val="24"/>
        </w:rPr>
      </w:pPr>
    </w:p>
    <w:p>
      <w:pPr>
        <w:rPr>
          <w:rFonts w:eastAsia="宋体"/>
          <w:color w:val="0000FF"/>
          <w:sz w:val="24"/>
          <w:szCs w:val="24"/>
        </w:rPr>
      </w:pPr>
      <w:r>
        <w:rPr>
          <w:rFonts w:hint="eastAsia" w:eastAsia="宋体"/>
          <w:color w:val="0000FF"/>
          <w:sz w:val="24"/>
          <w:szCs w:val="24"/>
        </w:rPr>
        <w:t>=========================</w:t>
      </w:r>
      <w:r>
        <w:rPr>
          <w:rFonts w:eastAsia="宋体"/>
          <w:color w:val="0000FF"/>
          <w:sz w:val="24"/>
          <w:szCs w:val="24"/>
        </w:rPr>
        <w:t xml:space="preserve"> UNCHANGED TEXT </w:t>
      </w:r>
      <w:r>
        <w:rPr>
          <w:rFonts w:hint="eastAsia" w:eastAsia="宋体"/>
          <w:color w:val="0000FF"/>
          <w:sz w:val="24"/>
          <w:szCs w:val="24"/>
        </w:rPr>
        <w:t>===========================</w:t>
      </w:r>
      <w:r>
        <w:rPr>
          <w:rFonts w:eastAsia="宋体"/>
          <w:color w:val="0000FF"/>
          <w:sz w:val="24"/>
          <w:szCs w:val="24"/>
        </w:rPr>
        <w:t xml:space="preserve"> </w:t>
      </w:r>
    </w:p>
    <w:p>
      <w:pPr>
        <w:pStyle w:val="3"/>
      </w:pPr>
      <w:r>
        <w:t>9.6</w:t>
      </w:r>
      <w:r>
        <w:tab/>
      </w:r>
      <w:r>
        <w:t>NE-DC: Measurements</w:t>
      </w:r>
    </w:p>
    <w:p>
      <w:pPr>
        <w:pStyle w:val="4"/>
      </w:pPr>
      <w:r>
        <w:t>9.6.1</w:t>
      </w:r>
      <w:r>
        <w:tab/>
      </w:r>
      <w:r>
        <w:t>Introduction</w:t>
      </w:r>
    </w:p>
    <w:p>
      <w:r>
        <w:t>This clause contains requirements for UE supporting dual connectivity with NR PCell and E-UTRA FDD or TDD PSCell. The requirements apply to UEs that have been configured with NE-DC.</w:t>
      </w:r>
    </w:p>
    <w:p>
      <w:pPr>
        <w:rPr>
          <w:ins w:id="49" w:author="Xiaomi2" w:date="2023-08-24T14:27:00Z"/>
          <w:rFonts w:cs="v4.2.0"/>
        </w:rPr>
      </w:pPr>
      <w:ins w:id="50" w:author="Xiaomi2" w:date="2023-08-24T14:27:00Z">
        <w:r>
          <w:rPr>
            <w:rFonts w:hint="eastAsia" w:cs="v4.2.0"/>
          </w:rPr>
          <w:t>The</w:t>
        </w:r>
      </w:ins>
      <w:ins w:id="51" w:author="Xiaomi2" w:date="2023-08-24T14:27:00Z">
        <w:r>
          <w:rPr>
            <w:rFonts w:cs="v4.2.0"/>
          </w:rPr>
          <w:t xml:space="preserve"> measurement reporting delay can be longer </w:t>
        </w:r>
      </w:ins>
      <w:ins w:id="52" w:author="Xiaomi2" w:date="2023-08-24T14:27:00Z">
        <w:r>
          <w:rPr/>
          <w:t>for the measurement reporting requirements</w:t>
        </w:r>
      </w:ins>
      <w:ins w:id="53" w:author="Xiaomi2" w:date="2023-08-24T14:27:00Z">
        <w:r>
          <w:rPr>
            <w:rFonts w:cs="v4.2.0"/>
          </w:rPr>
          <w:t xml:space="preserve"> in this clause when IDC autonomous denial is configured.</w:t>
        </w:r>
      </w:ins>
    </w:p>
    <w:p>
      <w:pPr>
        <w:rPr>
          <w:ins w:id="54" w:author="Xiaomi2" w:date="2023-08-24T14:27:00Z"/>
          <w:rFonts w:cs="v4.2.0"/>
        </w:rPr>
      </w:pPr>
    </w:p>
    <w:p>
      <w:pPr>
        <w:rPr>
          <w:rFonts w:eastAsia="宋体"/>
          <w:color w:val="0000FF"/>
          <w:sz w:val="24"/>
          <w:szCs w:val="24"/>
        </w:rPr>
      </w:pPr>
    </w:p>
    <w:p>
      <w:pPr>
        <w:rPr>
          <w:rFonts w:eastAsia="宋体"/>
          <w:color w:val="0000FF"/>
          <w:sz w:val="24"/>
          <w:szCs w:val="24"/>
        </w:rPr>
      </w:pPr>
      <w:r>
        <w:rPr>
          <w:rFonts w:hint="eastAsia" w:eastAsia="宋体"/>
          <w:color w:val="0000FF"/>
          <w:sz w:val="24"/>
          <w:szCs w:val="24"/>
        </w:rPr>
        <w:t>=========================</w:t>
      </w:r>
      <w:r>
        <w:rPr>
          <w:rFonts w:eastAsia="宋体"/>
          <w:color w:val="0000FF"/>
          <w:sz w:val="24"/>
          <w:szCs w:val="24"/>
        </w:rPr>
        <w:t xml:space="preserve"> UNCHANGED TEXT </w:t>
      </w:r>
      <w:r>
        <w:rPr>
          <w:rFonts w:hint="eastAsia" w:eastAsia="宋体"/>
          <w:color w:val="0000FF"/>
          <w:sz w:val="24"/>
          <w:szCs w:val="24"/>
        </w:rPr>
        <w:t>===========================</w:t>
      </w:r>
      <w:r>
        <w:rPr>
          <w:rFonts w:eastAsia="宋体"/>
          <w:color w:val="0000FF"/>
          <w:sz w:val="24"/>
          <w:szCs w:val="24"/>
        </w:rPr>
        <w:t xml:space="preserve"> </w:t>
      </w:r>
    </w:p>
    <w:p>
      <w:pPr>
        <w:pStyle w:val="3"/>
      </w:pPr>
      <w:r>
        <w:t>9.7</w:t>
      </w:r>
      <w:r>
        <w:tab/>
      </w:r>
      <w:r>
        <w:t>Cross Link Interference measurements</w:t>
      </w:r>
    </w:p>
    <w:p>
      <w:pPr>
        <w:pStyle w:val="4"/>
        <w:rPr>
          <w:lang w:val="en-US"/>
        </w:rPr>
      </w:pPr>
      <w:r>
        <w:rPr>
          <w:lang w:val="en-US"/>
        </w:rPr>
        <w:t>9.7.1</w:t>
      </w:r>
      <w:r>
        <w:rPr>
          <w:lang w:val="en-US"/>
        </w:rPr>
        <w:tab/>
      </w:r>
      <w:r>
        <w:rPr>
          <w:lang w:val="en-US"/>
        </w:rPr>
        <w:t>Introduction</w:t>
      </w:r>
    </w:p>
    <w:p>
      <w:pPr>
        <w:rPr>
          <w:lang w:eastAsia="ko-KR"/>
        </w:rPr>
      </w:pPr>
      <w:r>
        <w:rPr>
          <w:lang w:eastAsia="ko-KR"/>
        </w:rPr>
        <w:t>The UE capable of performing CLI measurements shall be able to measure SRS-RSRP and CLI-RSSI which are defined in TS38.215 [4] within active DL BWP. The measurements requirements in this clause apply for TDD mode only.</w:t>
      </w:r>
    </w:p>
    <w:p>
      <w:pPr>
        <w:rPr>
          <w:lang w:eastAsia="ko-KR"/>
        </w:rPr>
      </w:pPr>
      <w:r>
        <w:rPr>
          <w:lang w:eastAsia="ko-KR"/>
        </w:rPr>
        <w:t>CLI measurements are only applicable for RRC_CONNECTED intra-frequency:</w:t>
      </w:r>
    </w:p>
    <w:p>
      <w:pPr>
        <w:pStyle w:val="75"/>
        <w:rPr>
          <w:lang w:eastAsia="ko-KR"/>
        </w:rPr>
      </w:pPr>
      <w:r>
        <w:rPr>
          <w:lang w:eastAsia="ko-KR"/>
        </w:rPr>
        <w:t>-</w:t>
      </w:r>
      <w:r>
        <w:rPr>
          <w:lang w:eastAsia="ko-KR"/>
        </w:rPr>
        <w:tab/>
      </w:r>
      <w:r>
        <w:rPr>
          <w:lang w:eastAsia="ko-KR"/>
        </w:rPr>
        <w:t>when SRS-RSRP measurement resource is fully confined within BW of DL active BWP</w:t>
      </w:r>
    </w:p>
    <w:p>
      <w:pPr>
        <w:pStyle w:val="75"/>
        <w:rPr>
          <w:lang w:eastAsia="ko-KR"/>
        </w:rPr>
      </w:pPr>
      <w:r>
        <w:rPr>
          <w:lang w:eastAsia="ko-KR"/>
        </w:rPr>
        <w:t>-</w:t>
      </w:r>
      <w:r>
        <w:rPr>
          <w:lang w:eastAsia="ko-KR"/>
        </w:rPr>
        <w:tab/>
      </w:r>
      <w:r>
        <w:rPr>
          <w:lang w:eastAsia="ko-KR"/>
        </w:rPr>
        <w:t>when CLI-RSSI measurement resouce is configured within active BWP</w:t>
      </w:r>
    </w:p>
    <w:p>
      <w:pPr>
        <w:jc w:val="both"/>
        <w:rPr>
          <w:rFonts w:cs="v4.2.0"/>
          <w:lang w:eastAsia="ko-KR"/>
        </w:rPr>
      </w:pPr>
      <w:r>
        <w:rPr>
          <w:rFonts w:cs="v4.2.0"/>
          <w:lang w:eastAsia="ko-KR"/>
        </w:rPr>
        <w:t xml:space="preserve">When the UE measures SRS-RSRP and CLI-RSSI, a constant offset relative to the downlink reference timing in the serving cell shall be applied. The constant offset value is derived by UE implementation and shall be at least </w:t>
      </w:r>
      <w:r>
        <w:rPr>
          <w:rFonts w:eastAsia="Malgun Gothic"/>
          <w:lang w:val="en-US" w:eastAsia="ko-KR"/>
        </w:rPr>
        <w:t>Tc*</w:t>
      </w:r>
      <w:r>
        <w:rPr>
          <w:rFonts w:cs="v4.2.0"/>
          <w:lang w:eastAsia="ko-KR"/>
        </w:rPr>
        <w:t>N</w:t>
      </w:r>
      <w:r>
        <w:rPr>
          <w:rFonts w:cs="v4.2.0"/>
          <w:vertAlign w:val="subscript"/>
          <w:lang w:eastAsia="ko-KR"/>
        </w:rPr>
        <w:t>TA_offset</w:t>
      </w:r>
      <w:r>
        <w:rPr>
          <w:rFonts w:cs="v4.2.0"/>
          <w:lang w:eastAsia="ko-KR"/>
        </w:rPr>
        <w:t>.</w:t>
      </w:r>
    </w:p>
    <w:p>
      <w:pPr>
        <w:rPr>
          <w:lang w:eastAsia="ko-KR"/>
        </w:rPr>
      </w:pPr>
      <w:r>
        <w:rPr>
          <w:lang w:eastAsia="ko-KR"/>
        </w:rPr>
        <w:t>For performing CLI measurement in FR2, UE can assume the configured CLI measurement resources are QCL-ed with TypeD to one of the latest received PDSCH and the latest monitored CORESET.</w:t>
      </w:r>
    </w:p>
    <w:p>
      <w:pPr>
        <w:rPr>
          <w:lang w:eastAsia="zh-CN"/>
        </w:rPr>
      </w:pPr>
      <w:r>
        <w:rPr>
          <w:lang w:eastAsia="zh-CN"/>
        </w:rPr>
        <w:t xml:space="preserve">CLI measurement requirements defined in clause 9.7 are applicable if </w:t>
      </w:r>
    </w:p>
    <w:p>
      <w:pPr>
        <w:pStyle w:val="75"/>
        <w:rPr>
          <w:lang w:val="en-US" w:eastAsia="zh-CN"/>
        </w:rPr>
      </w:pPr>
      <w:r>
        <w:rPr>
          <w:lang w:eastAsia="zh-CN"/>
        </w:rPr>
        <w:t>-</w:t>
      </w:r>
      <w:r>
        <w:rPr>
          <w:lang w:eastAsia="zh-CN"/>
        </w:rPr>
        <w:tab/>
      </w:r>
      <w:r>
        <w:rPr>
          <w:lang w:val="en-US" w:eastAsia="zh-CN"/>
        </w:rPr>
        <w:t xml:space="preserve">CLI measurement is not performed on an NR carrier in the same band as E-UTRA serving carrier; and </w:t>
      </w:r>
    </w:p>
    <w:p>
      <w:pPr>
        <w:pStyle w:val="75"/>
        <w:rPr>
          <w:lang w:val="en-US" w:eastAsia="zh-CN"/>
        </w:rPr>
      </w:pPr>
      <w:r>
        <w:rPr>
          <w:lang w:val="en-US" w:eastAsia="zh-CN"/>
        </w:rPr>
        <w:t>-</w:t>
      </w:r>
      <w:r>
        <w:rPr>
          <w:lang w:val="en-US" w:eastAsia="zh-CN"/>
        </w:rPr>
        <w:tab/>
      </w:r>
      <w:r>
        <w:rPr>
          <w:lang w:val="en-US" w:eastAsia="zh-CN"/>
        </w:rPr>
        <w:t>UE supports simultaneous Rx/Tx for inter-band CA, inter-band EN-DC, inter-band NE-DC, and NR-DC.</w:t>
      </w:r>
    </w:p>
    <w:p>
      <w:pPr>
        <w:rPr>
          <w:ins w:id="55" w:author="Xiaomi2" w:date="2023-08-24T14:27:00Z"/>
          <w:rFonts w:cs="v4.2.0"/>
        </w:rPr>
      </w:pPr>
      <w:ins w:id="56" w:author="Xiaomi2" w:date="2023-08-24T14:27:00Z">
        <w:r>
          <w:rPr>
            <w:rFonts w:hint="eastAsia" w:cs="v4.2.0"/>
          </w:rPr>
          <w:t>The</w:t>
        </w:r>
      </w:ins>
      <w:ins w:id="57" w:author="Xiaomi2" w:date="2023-08-24T14:27:00Z">
        <w:r>
          <w:rPr>
            <w:rFonts w:cs="v4.2.0"/>
          </w:rPr>
          <w:t xml:space="preserve"> measurement reporting delay can be longer </w:t>
        </w:r>
      </w:ins>
      <w:ins w:id="58" w:author="Xiaomi2" w:date="2023-08-24T14:27:00Z">
        <w:r>
          <w:rPr/>
          <w:t>for the measurement reporting requirements</w:t>
        </w:r>
      </w:ins>
      <w:ins w:id="59" w:author="Xiaomi2" w:date="2023-08-24T14:27:00Z">
        <w:r>
          <w:rPr>
            <w:rFonts w:cs="v4.2.0"/>
          </w:rPr>
          <w:t xml:space="preserve"> in this clause when IDC autonomous denial is configured.</w:t>
        </w:r>
      </w:ins>
    </w:p>
    <w:p>
      <w:pPr>
        <w:rPr>
          <w:ins w:id="60" w:author="Xiaomi2" w:date="2023-08-24T14:27:00Z"/>
          <w:rFonts w:cs="v4.2.0"/>
        </w:rPr>
      </w:pPr>
    </w:p>
    <w:p>
      <w:pPr>
        <w:rPr>
          <w:rFonts w:eastAsia="宋体"/>
          <w:color w:val="0000FF"/>
          <w:sz w:val="24"/>
          <w:szCs w:val="24"/>
        </w:rPr>
      </w:pPr>
    </w:p>
    <w:p>
      <w:pPr>
        <w:rPr>
          <w:rFonts w:eastAsia="宋体"/>
          <w:color w:val="0000FF"/>
          <w:sz w:val="24"/>
          <w:szCs w:val="24"/>
        </w:rPr>
      </w:pPr>
      <w:r>
        <w:rPr>
          <w:rFonts w:hint="eastAsia" w:eastAsia="宋体"/>
          <w:color w:val="0000FF"/>
          <w:sz w:val="24"/>
          <w:szCs w:val="24"/>
        </w:rPr>
        <w:t>=========================</w:t>
      </w:r>
      <w:r>
        <w:rPr>
          <w:rFonts w:eastAsia="宋体"/>
          <w:color w:val="0000FF"/>
          <w:sz w:val="24"/>
          <w:szCs w:val="24"/>
        </w:rPr>
        <w:t xml:space="preserve"> UNCHANGED TEXT </w:t>
      </w:r>
      <w:r>
        <w:rPr>
          <w:rFonts w:hint="eastAsia" w:eastAsia="宋体"/>
          <w:color w:val="0000FF"/>
          <w:sz w:val="24"/>
          <w:szCs w:val="24"/>
        </w:rPr>
        <w:t>===========================</w:t>
      </w:r>
      <w:r>
        <w:rPr>
          <w:rFonts w:eastAsia="宋体"/>
          <w:color w:val="0000FF"/>
          <w:sz w:val="24"/>
          <w:szCs w:val="24"/>
        </w:rPr>
        <w:t xml:space="preserve"> </w:t>
      </w:r>
    </w:p>
    <w:p>
      <w:pPr>
        <w:pStyle w:val="3"/>
      </w:pPr>
      <w:r>
        <w:t>9.</w:t>
      </w:r>
      <w:r>
        <w:rPr>
          <w:lang w:eastAsia="zh-CN"/>
        </w:rPr>
        <w:t>8</w:t>
      </w:r>
      <w:r>
        <w:tab/>
      </w:r>
      <w:r>
        <w:t>L1-SINR measurements for Reporting</w:t>
      </w:r>
    </w:p>
    <w:p>
      <w:pPr>
        <w:pStyle w:val="4"/>
      </w:pPr>
      <w:r>
        <w:t>9.8.1</w:t>
      </w:r>
      <w:r>
        <w:tab/>
      </w:r>
      <w:r>
        <w:t>Introduction</w:t>
      </w:r>
    </w:p>
    <w:p>
      <w:r>
        <w:t xml:space="preserve">When configured by the network, the UE shall be able to perform L1-SINR measurements with the measurement resources configured as the selection of: </w:t>
      </w:r>
    </w:p>
    <w:p>
      <w:pPr>
        <w:pStyle w:val="75"/>
      </w:pPr>
      <w:r>
        <w:t>-</w:t>
      </w:r>
      <w:r>
        <w:tab/>
      </w:r>
      <w:r>
        <w:t>CSI-RS based CMR and no dedicated IMR configured;</w:t>
      </w:r>
    </w:p>
    <w:p>
      <w:pPr>
        <w:pStyle w:val="75"/>
      </w:pPr>
      <w:r>
        <w:t>-</w:t>
      </w:r>
      <w:r>
        <w:tab/>
      </w:r>
      <w:r>
        <w:t>SSB based CMR and dedicated IMR configured;</w:t>
      </w:r>
    </w:p>
    <w:p>
      <w:pPr>
        <w:pStyle w:val="75"/>
      </w:pPr>
      <w:r>
        <w:t>-</w:t>
      </w:r>
      <w:r>
        <w:tab/>
      </w:r>
      <w:r>
        <w:t>CSI-RS based CMR and dedicated IMR configured.</w:t>
      </w:r>
    </w:p>
    <w:p>
      <w:r>
        <w:t>The measurements shall be performed for a serving cell, including PCell, PSCell, or SCell, on the resources configured for L1-SINR measurements within the active BWP.</w:t>
      </w:r>
    </w:p>
    <w:p>
      <w:r>
        <w:t xml:space="preserve">The UE shall be able to measure all CSI-RS resources and/or SSB resources and/or CSI-IM resources of the </w:t>
      </w:r>
      <w:r>
        <w:rPr>
          <w:i/>
        </w:rPr>
        <w:t xml:space="preserve">nzp-CSI-RS-ResourceSet </w:t>
      </w:r>
      <w:r>
        <w:t>and/or</w:t>
      </w:r>
      <w:r>
        <w:rPr>
          <w:i/>
        </w:rPr>
        <w:t xml:space="preserve"> csi-SSB-ResourceSet and/or CSI-IM-ResourceSet</w:t>
      </w:r>
      <w:r>
        <w:t xml:space="preserve"> within the </w:t>
      </w:r>
      <w:r>
        <w:rPr>
          <w:i/>
        </w:rPr>
        <w:t>CSI-ResourceConfig</w:t>
      </w:r>
      <w:r>
        <w:t xml:space="preserve"> settings for L1-SINR for the active BWP and measure interference on corresponding NZP CSI-RS or CSI-IM resources if configured, provided that the number of resources does not exceed the UE capability indicated by </w:t>
      </w:r>
      <w:r>
        <w:rPr>
          <w:i/>
        </w:rPr>
        <w:t>beamManagementSSB-CSI-RS</w:t>
      </w:r>
      <w:r>
        <w:t>.</w:t>
      </w:r>
    </w:p>
    <w:p>
      <w:r>
        <w:rPr>
          <w:lang w:val="en-US"/>
        </w:rPr>
        <w:t>The UE shall report the measurement quantity (</w:t>
      </w:r>
      <w:r>
        <w:rPr>
          <w:i/>
          <w:lang w:val="en-US"/>
        </w:rPr>
        <w:t>reportQuantity</w:t>
      </w:r>
      <w:r>
        <w:rPr>
          <w:lang w:val="en-US"/>
        </w:rPr>
        <w:t xml:space="preserve">) and send periodic, semi-persistent or aperiodic reports, according to the </w:t>
      </w:r>
      <w:r>
        <w:rPr>
          <w:i/>
          <w:lang w:val="en-US"/>
        </w:rPr>
        <w:t>reportConfigType</w:t>
      </w:r>
      <w:r>
        <w:rPr>
          <w:lang w:val="en-US"/>
        </w:rPr>
        <w:t xml:space="preserve"> according to the CSI reporting configuration(s) (</w:t>
      </w:r>
      <w:r>
        <w:rPr>
          <w:i/>
          <w:lang w:val="en-US"/>
        </w:rPr>
        <w:t>CSI-ReportConfig</w:t>
      </w:r>
      <w:r>
        <w:rPr>
          <w:lang w:val="en-US"/>
        </w:rPr>
        <w:t>) for the active BWP</w:t>
      </w:r>
      <w:r>
        <w:t>.</w:t>
      </w:r>
    </w:p>
    <w:p>
      <w:pPr>
        <w:rPr>
          <w:ins w:id="61" w:author="Xiaomi2" w:date="2023-08-24T14:27:00Z"/>
          <w:rFonts w:cs="v4.2.0"/>
        </w:rPr>
      </w:pPr>
      <w:ins w:id="62" w:author="Xiaomi2" w:date="2023-08-24T14:27:00Z">
        <w:r>
          <w:rPr>
            <w:rFonts w:hint="eastAsia" w:cs="v4.2.0"/>
          </w:rPr>
          <w:t>The</w:t>
        </w:r>
      </w:ins>
      <w:ins w:id="63" w:author="Xiaomi2" w:date="2023-08-24T14:27:00Z">
        <w:r>
          <w:rPr>
            <w:rFonts w:cs="v4.2.0"/>
          </w:rPr>
          <w:t xml:space="preserve"> measurement reporting delay can be longer </w:t>
        </w:r>
      </w:ins>
      <w:ins w:id="64" w:author="Xiaomi2" w:date="2023-08-24T14:27:00Z">
        <w:r>
          <w:rPr/>
          <w:t>for the measurement reporting requirements</w:t>
        </w:r>
      </w:ins>
      <w:ins w:id="65" w:author="Xiaomi2" w:date="2023-08-24T14:27:00Z">
        <w:r>
          <w:rPr>
            <w:rFonts w:cs="v4.2.0"/>
          </w:rPr>
          <w:t xml:space="preserve"> in this clause when IDC autonomous denial is configured.</w:t>
        </w:r>
      </w:ins>
    </w:p>
    <w:p>
      <w:pPr>
        <w:rPr>
          <w:ins w:id="66" w:author="Xiaomi2" w:date="2023-08-24T14:27:00Z"/>
          <w:rFonts w:cs="v4.2.0"/>
        </w:rPr>
      </w:pPr>
    </w:p>
    <w:p>
      <w:pPr>
        <w:rPr>
          <w:rFonts w:eastAsia="宋体"/>
          <w:color w:val="0000FF"/>
          <w:sz w:val="24"/>
          <w:szCs w:val="24"/>
        </w:rPr>
      </w:pPr>
    </w:p>
    <w:p>
      <w:pPr>
        <w:rPr>
          <w:rFonts w:eastAsia="宋体"/>
          <w:color w:val="0000FF"/>
          <w:sz w:val="24"/>
          <w:szCs w:val="24"/>
        </w:rPr>
      </w:pPr>
      <w:r>
        <w:rPr>
          <w:rFonts w:hint="eastAsia" w:eastAsia="宋体"/>
          <w:color w:val="0000FF"/>
          <w:sz w:val="24"/>
          <w:szCs w:val="24"/>
        </w:rPr>
        <w:t>=========================</w:t>
      </w:r>
      <w:r>
        <w:rPr>
          <w:rFonts w:eastAsia="宋体"/>
          <w:color w:val="0000FF"/>
          <w:sz w:val="24"/>
          <w:szCs w:val="24"/>
        </w:rPr>
        <w:t xml:space="preserve"> UNCHANGED TEXT </w:t>
      </w:r>
      <w:r>
        <w:rPr>
          <w:rFonts w:hint="eastAsia" w:eastAsia="宋体"/>
          <w:color w:val="0000FF"/>
          <w:sz w:val="24"/>
          <w:szCs w:val="24"/>
        </w:rPr>
        <w:t>===========================</w:t>
      </w:r>
      <w:r>
        <w:rPr>
          <w:rFonts w:eastAsia="宋体"/>
          <w:color w:val="0000FF"/>
          <w:sz w:val="24"/>
          <w:szCs w:val="24"/>
        </w:rPr>
        <w:t xml:space="preserve"> </w:t>
      </w:r>
    </w:p>
    <w:p>
      <w:pPr>
        <w:pStyle w:val="3"/>
      </w:pPr>
      <w:r>
        <w:t>9.9</w:t>
      </w:r>
      <w:r>
        <w:tab/>
      </w:r>
      <w:r>
        <w:t xml:space="preserve"> NR measurements for positioning</w:t>
      </w:r>
    </w:p>
    <w:p>
      <w:pPr>
        <w:pStyle w:val="4"/>
      </w:pPr>
      <w:r>
        <w:t>9.9.1</w:t>
      </w:r>
      <w:r>
        <w:tab/>
      </w:r>
      <w:r>
        <w:t>Introduction</w:t>
      </w:r>
    </w:p>
    <w:p>
      <w:pPr>
        <w:rPr>
          <w:rFonts w:ascii="TimesNewRomanPSMT" w:hAnsi="TimesNewRomanPSMT"/>
        </w:rPr>
      </w:pPr>
      <w:r>
        <w:t>This clause contains requirements for UE capable of performing NR positioning measurements defined in TS 38.215 [4], including RSTD, PRS-RSRP, UE Rx-Tx time difference, NR E-CID</w:t>
      </w:r>
      <w:r>
        <w:rPr>
          <w:rFonts w:ascii="TimesNewRomanPSMT" w:hAnsi="TimesNewRomanPSMT"/>
          <w:lang w:val="en-US"/>
        </w:rPr>
        <w:t>, and PRS-RSRPP</w:t>
      </w:r>
      <w:r>
        <w:rPr>
          <w:rFonts w:ascii="TimesNewRomanPSMT" w:hAnsi="TimesNewRomanPSMT"/>
        </w:rPr>
        <w:t xml:space="preserve"> measurements. </w:t>
      </w:r>
    </w:p>
    <w:p>
      <w:pPr>
        <w:rPr>
          <w:ins w:id="67" w:author="Xiaomi2" w:date="2023-08-24T14:28:00Z"/>
          <w:rFonts w:cs="v4.2.0"/>
        </w:rPr>
      </w:pPr>
      <w:ins w:id="68" w:author="Xiaomi2" w:date="2023-08-24T14:28:00Z">
        <w:r>
          <w:rPr>
            <w:rFonts w:hint="eastAsia" w:cs="v4.2.0"/>
          </w:rPr>
          <w:t>The</w:t>
        </w:r>
      </w:ins>
      <w:ins w:id="69" w:author="Xiaomi2" w:date="2023-08-24T14:28:00Z">
        <w:r>
          <w:rPr>
            <w:rFonts w:cs="v4.2.0"/>
          </w:rPr>
          <w:t xml:space="preserve"> measurement reporting delay can be longer </w:t>
        </w:r>
      </w:ins>
      <w:ins w:id="70" w:author="Xiaomi2" w:date="2023-08-24T14:28:00Z">
        <w:r>
          <w:rPr/>
          <w:t>for the measurement reporting requirements</w:t>
        </w:r>
      </w:ins>
      <w:ins w:id="71" w:author="Xiaomi2" w:date="2023-08-24T14:28:00Z">
        <w:r>
          <w:rPr>
            <w:rFonts w:cs="v4.2.0"/>
          </w:rPr>
          <w:t xml:space="preserve"> in this clause when IDC autonomous denial is configured.</w:t>
        </w:r>
      </w:ins>
    </w:p>
    <w:p>
      <w:pPr>
        <w:rPr>
          <w:ins w:id="72" w:author="Xiaomi2" w:date="2023-08-24T14:28:00Z"/>
          <w:rFonts w:cs="v4.2.0"/>
        </w:rPr>
      </w:pPr>
    </w:p>
    <w:p>
      <w:pPr>
        <w:rPr>
          <w:rFonts w:eastAsia="宋体"/>
          <w:color w:val="0000FF"/>
          <w:sz w:val="24"/>
          <w:szCs w:val="24"/>
        </w:rPr>
      </w:pPr>
    </w:p>
    <w:p>
      <w:pPr>
        <w:rPr>
          <w:rFonts w:eastAsia="宋体"/>
          <w:color w:val="0000FF"/>
          <w:sz w:val="24"/>
          <w:szCs w:val="24"/>
        </w:rPr>
      </w:pPr>
      <w:r>
        <w:rPr>
          <w:rFonts w:hint="eastAsia" w:eastAsia="宋体"/>
          <w:color w:val="0000FF"/>
          <w:sz w:val="24"/>
          <w:szCs w:val="24"/>
        </w:rPr>
        <w:t>=========================</w:t>
      </w:r>
      <w:r>
        <w:rPr>
          <w:rFonts w:eastAsia="宋体"/>
          <w:color w:val="0000FF"/>
          <w:sz w:val="24"/>
          <w:szCs w:val="24"/>
        </w:rPr>
        <w:t xml:space="preserve"> UNCHANGED TEXT </w:t>
      </w:r>
      <w:r>
        <w:rPr>
          <w:rFonts w:hint="eastAsia" w:eastAsia="宋体"/>
          <w:color w:val="0000FF"/>
          <w:sz w:val="24"/>
          <w:szCs w:val="24"/>
        </w:rPr>
        <w:t>===========================</w:t>
      </w:r>
      <w:r>
        <w:rPr>
          <w:rFonts w:eastAsia="宋体"/>
          <w:color w:val="0000FF"/>
          <w:sz w:val="24"/>
          <w:szCs w:val="24"/>
        </w:rPr>
        <w:t xml:space="preserve"> </w:t>
      </w:r>
    </w:p>
    <w:p>
      <w:pPr>
        <w:pStyle w:val="3"/>
      </w:pPr>
      <w:r>
        <w:t>9.10</w:t>
      </w:r>
      <w:r>
        <w:tab/>
      </w:r>
      <w:r>
        <w:t>CSI-RS based L3 measurements</w:t>
      </w:r>
    </w:p>
    <w:p>
      <w:pPr>
        <w:pStyle w:val="4"/>
      </w:pPr>
      <w:r>
        <w:t>9.10.1</w:t>
      </w:r>
      <w:r>
        <w:tab/>
      </w:r>
      <w:r>
        <w:t>Introduction</w:t>
      </w:r>
    </w:p>
    <w:p>
      <w:r>
        <w:t>This clause contains general requirements on the UE regarding CSI-RS based measurement reporting in RRC_CONNECTED state. The requirements are split in intra-frequency and inter-frequency measurements requirements.</w:t>
      </w:r>
      <w:r>
        <w:rPr>
          <w:lang w:eastAsia="ja-JP" w:bidi="hi-IN"/>
        </w:rPr>
        <w:t xml:space="preserve">  </w:t>
      </w:r>
    </w:p>
    <w:p>
      <w:pPr>
        <w:rPr>
          <w:lang w:eastAsia="zh-CN"/>
        </w:rPr>
      </w:pPr>
      <w:r>
        <w:rPr>
          <w:lang w:eastAsia="zh-CN"/>
        </w:rPr>
        <w:t>The requirements in this clause apply, provided:</w:t>
      </w:r>
    </w:p>
    <w:p>
      <w:pPr>
        <w:pStyle w:val="75"/>
        <w:rPr>
          <w:lang w:eastAsia="zh-CN"/>
        </w:rPr>
      </w:pPr>
      <w:r>
        <w:rPr>
          <w:lang w:eastAsia="zh-CN"/>
        </w:rPr>
        <w:t>-</w:t>
      </w:r>
      <w:r>
        <w:rPr>
          <w:lang w:eastAsia="zh-CN"/>
        </w:rPr>
        <w:tab/>
      </w:r>
      <w:r>
        <w:rPr>
          <w:lang w:eastAsia="zh-CN"/>
        </w:rPr>
        <w:t>Only one MO is configured per CSI-RS frequency layer, and</w:t>
      </w:r>
    </w:p>
    <w:p>
      <w:pPr>
        <w:pStyle w:val="75"/>
      </w:pPr>
      <w:r>
        <w:rPr>
          <w:lang w:eastAsia="zh-CN"/>
        </w:rPr>
        <w:t>-</w:t>
      </w:r>
      <w:r>
        <w:rPr>
          <w:lang w:eastAsia="zh-CN"/>
        </w:rPr>
        <w:tab/>
      </w:r>
      <w:r>
        <w:rPr>
          <w:lang w:eastAsia="zh-CN"/>
        </w:rPr>
        <w:t xml:space="preserve">all CSI-RS resources in the same MO </w:t>
      </w:r>
      <w:r>
        <w:t>are configured with the same csi-rs-MeasurementBW, and</w:t>
      </w:r>
    </w:p>
    <w:p>
      <w:pPr>
        <w:pStyle w:val="75"/>
        <w:rPr>
          <w:lang w:eastAsia="zh-CN"/>
        </w:rPr>
      </w:pPr>
      <w:r>
        <w:rPr>
          <w:lang w:eastAsia="zh-CN"/>
        </w:rPr>
        <w:t>-</w:t>
      </w:r>
      <w:r>
        <w:rPr>
          <w:lang w:eastAsia="zh-CN"/>
        </w:rPr>
        <w:tab/>
      </w:r>
      <w:r>
        <w:rPr>
          <w:i/>
          <w:iCs/>
        </w:rPr>
        <w:t>associatedSSB</w:t>
      </w:r>
      <w:r>
        <w:t xml:space="preserve"> </w:t>
      </w:r>
      <w:r>
        <w:rPr>
          <w:lang w:eastAsia="zh-CN"/>
        </w:rPr>
        <w:t xml:space="preserve">is configured in </w:t>
      </w:r>
      <w:r>
        <w:rPr>
          <w:i/>
          <w:iCs/>
        </w:rPr>
        <w:t>CSI-RS-Resource-Mobility</w:t>
      </w:r>
      <w:r>
        <w:t xml:space="preserve"> </w:t>
      </w:r>
      <w:r>
        <w:rPr>
          <w:lang w:eastAsia="zh-CN"/>
        </w:rPr>
        <w:t xml:space="preserve">and </w:t>
      </w:r>
      <w:r>
        <w:rPr>
          <w:rFonts w:hint="eastAsia"/>
          <w:lang w:eastAsia="zh-CN"/>
        </w:rPr>
        <w:t>detectable</w:t>
      </w:r>
      <w:r>
        <w:rPr>
          <w:lang w:eastAsia="zh-CN"/>
        </w:rPr>
        <w:t>, and</w:t>
      </w:r>
    </w:p>
    <w:p>
      <w:pPr>
        <w:pStyle w:val="75"/>
        <w:rPr>
          <w:lang w:eastAsia="zh-CN"/>
        </w:rPr>
      </w:pPr>
      <w:r>
        <w:rPr>
          <w:lang w:eastAsia="zh-CN"/>
        </w:rPr>
        <w:t>-</w:t>
      </w:r>
      <w:r>
        <w:rPr>
          <w:lang w:eastAsia="zh-CN"/>
        </w:rPr>
        <w:tab/>
      </w:r>
      <w:r>
        <w:rPr>
          <w:lang w:eastAsia="zh-CN"/>
        </w:rPr>
        <w:t xml:space="preserve">all CSI-RS resources in the same MO </w:t>
      </w:r>
      <w:r>
        <w:t>are configured with the same periodicity, and</w:t>
      </w:r>
      <w:r>
        <w:rPr>
          <w:lang w:eastAsia="zh-CN"/>
        </w:rPr>
        <w:t>-</w:t>
      </w:r>
      <w:r>
        <w:rPr>
          <w:lang w:eastAsia="zh-CN"/>
        </w:rPr>
        <w:tab/>
      </w:r>
      <w:r>
        <w:rPr>
          <w:lang w:eastAsia="zh-CN"/>
        </w:rPr>
        <w:t>the associated SSB is QCLed with the corresponding CSI-RS resources in FR2, and</w:t>
      </w:r>
    </w:p>
    <w:p>
      <w:pPr>
        <w:pStyle w:val="75"/>
        <w:rPr>
          <w:lang w:eastAsia="zh-CN"/>
        </w:rPr>
      </w:pPr>
      <w:r>
        <w:rPr>
          <w:lang w:eastAsia="zh-CN"/>
        </w:rPr>
        <w:t>-</w:t>
      </w:r>
      <w:r>
        <w:rPr>
          <w:lang w:eastAsia="zh-CN"/>
        </w:rPr>
        <w:tab/>
      </w:r>
      <w:r>
        <w:rPr>
          <w:lang w:eastAsia="zh-CN"/>
        </w:rPr>
        <w:t xml:space="preserve">the number of CSI-RS resources in any duration that equals to the length of a slot is no larger than UE capability </w:t>
      </w:r>
      <w:r>
        <w:rPr>
          <w:i/>
          <w:lang w:eastAsia="zh-CN"/>
        </w:rPr>
        <w:t>maxNumberCSI-RS-RRM-RS-SINR</w:t>
      </w:r>
      <w:r>
        <w:rPr>
          <w:lang w:eastAsia="zh-CN"/>
        </w:rPr>
        <w:t>.</w:t>
      </w:r>
    </w:p>
    <w:p>
      <w:pPr>
        <w:pStyle w:val="75"/>
        <w:rPr>
          <w:lang w:eastAsia="zh-CN"/>
        </w:rPr>
      </w:pPr>
      <w:r>
        <w:rPr>
          <w:lang w:val="en-US" w:eastAsia="zh-CN"/>
        </w:rPr>
        <w:t>-</w:t>
      </w:r>
      <w:r>
        <w:rPr>
          <w:lang w:val="en-US" w:eastAsia="zh-CN"/>
        </w:rPr>
        <w:tab/>
      </w:r>
      <w:r>
        <w:rPr>
          <w:lang w:val="en-US" w:eastAsia="zh-CN"/>
        </w:rPr>
        <w:t>When there are mixed numerologies, the length of a slot is defined based on the smallest SCS</w:t>
      </w:r>
    </w:p>
    <w:p>
      <w:pPr>
        <w:rPr>
          <w:ins w:id="73" w:author="Xiaomi2" w:date="2023-08-24T14:28:00Z"/>
          <w:rFonts w:cs="v4.2.0"/>
        </w:rPr>
      </w:pPr>
      <w:ins w:id="74" w:author="Xiaomi2" w:date="2023-08-24T14:28:00Z">
        <w:r>
          <w:rPr>
            <w:rFonts w:hint="eastAsia" w:cs="v4.2.0"/>
          </w:rPr>
          <w:t>The</w:t>
        </w:r>
      </w:ins>
      <w:ins w:id="75" w:author="Xiaomi2" w:date="2023-08-24T14:28:00Z">
        <w:r>
          <w:rPr>
            <w:rFonts w:cs="v4.2.0"/>
          </w:rPr>
          <w:t xml:space="preserve"> measurement reporting delay can be longer </w:t>
        </w:r>
      </w:ins>
      <w:ins w:id="76" w:author="Xiaomi2" w:date="2023-08-24T14:28:00Z">
        <w:r>
          <w:rPr/>
          <w:t>for the measurement reporting requirements</w:t>
        </w:r>
      </w:ins>
      <w:ins w:id="77" w:author="Xiaomi2" w:date="2023-08-24T14:28:00Z">
        <w:r>
          <w:rPr>
            <w:rFonts w:cs="v4.2.0"/>
          </w:rPr>
          <w:t xml:space="preserve"> in this clause when IDC autonomous denial is configured.</w:t>
        </w:r>
      </w:ins>
    </w:p>
    <w:p>
      <w:pPr>
        <w:rPr>
          <w:rFonts w:cs="v4.2.0"/>
        </w:rPr>
      </w:pPr>
    </w:p>
    <w:p>
      <w:pPr>
        <w:rPr>
          <w:rFonts w:eastAsia="宋体"/>
          <w:color w:val="0000FF"/>
          <w:sz w:val="24"/>
          <w:szCs w:val="24"/>
        </w:rPr>
      </w:pPr>
      <w:r>
        <w:rPr>
          <w:rFonts w:hint="eastAsia" w:eastAsia="宋体"/>
          <w:color w:val="0000FF"/>
          <w:sz w:val="24"/>
          <w:szCs w:val="24"/>
        </w:rPr>
        <w:t>=========================</w:t>
      </w:r>
      <w:r>
        <w:rPr>
          <w:rFonts w:eastAsia="宋体"/>
          <w:color w:val="0000FF"/>
          <w:sz w:val="24"/>
          <w:szCs w:val="24"/>
        </w:rPr>
        <w:t xml:space="preserve"> UNCHANGED TEXT </w:t>
      </w:r>
      <w:r>
        <w:rPr>
          <w:rFonts w:hint="eastAsia" w:eastAsia="宋体"/>
          <w:color w:val="0000FF"/>
          <w:sz w:val="24"/>
          <w:szCs w:val="24"/>
        </w:rPr>
        <w:t>===========================</w:t>
      </w:r>
      <w:r>
        <w:rPr>
          <w:rFonts w:eastAsia="宋体"/>
          <w:color w:val="0000FF"/>
          <w:sz w:val="24"/>
          <w:szCs w:val="24"/>
        </w:rPr>
        <w:t xml:space="preserve"> </w:t>
      </w:r>
    </w:p>
    <w:p>
      <w:pPr>
        <w:pStyle w:val="3"/>
      </w:pPr>
      <w:r>
        <w:t>9.11</w:t>
      </w:r>
      <w:r>
        <w:tab/>
      </w:r>
      <w:r>
        <w:t>NR measurements with autonomous gaps</w:t>
      </w:r>
    </w:p>
    <w:p>
      <w:pPr>
        <w:pStyle w:val="4"/>
      </w:pPr>
      <w:r>
        <w:t>9.11.1</w:t>
      </w:r>
      <w:r>
        <w:tab/>
      </w:r>
      <w:r>
        <w:t>Introduction</w:t>
      </w:r>
    </w:p>
    <w:p>
      <w:pPr>
        <w:rPr>
          <w:rFonts w:eastAsiaTheme="minorEastAsia"/>
        </w:rPr>
      </w:pPr>
      <w:r>
        <w:rPr>
          <w:rFonts w:eastAsiaTheme="minorEastAsia"/>
        </w:rPr>
        <w:t xml:space="preserve">The requirements in this clause are applicable for CGI identification of an intra frequency </w:t>
      </w:r>
      <w:r>
        <w:rPr>
          <w:rFonts w:eastAsiaTheme="minorEastAsia"/>
          <w:lang w:eastAsia="zh-CN"/>
        </w:rPr>
        <w:t>and inter frequency</w:t>
      </w:r>
      <w:r>
        <w:rPr>
          <w:rFonts w:eastAsiaTheme="minorEastAsia"/>
        </w:rPr>
        <w:t xml:space="preserve"> NR target cell.</w:t>
      </w:r>
    </w:p>
    <w:p>
      <w:r>
        <w:t xml:space="preserve">The requirements in this </w:t>
      </w:r>
      <w:r>
        <w:rPr>
          <w:rFonts w:eastAsiaTheme="minorEastAsia"/>
        </w:rPr>
        <w:t xml:space="preserve">clause </w:t>
      </w:r>
      <w:r>
        <w:t xml:space="preserve">are specified </w:t>
      </w:r>
      <w:r>
        <w:rPr>
          <w:rFonts w:eastAsiaTheme="minorEastAsia"/>
        </w:rPr>
        <w:t>for CGI identification of an NR target cell</w:t>
      </w:r>
      <w:r>
        <w:t xml:space="preserve"> and are applicable for a UE:</w:t>
      </w:r>
    </w:p>
    <w:p>
      <w:pPr>
        <w:pStyle w:val="75"/>
      </w:pPr>
      <w:r>
        <w:t>-</w:t>
      </w:r>
      <w:r>
        <w:tab/>
      </w:r>
      <w:r>
        <w:t>in RRC_CONNECTED state, and</w:t>
      </w:r>
    </w:p>
    <w:p>
      <w:pPr>
        <w:pStyle w:val="75"/>
      </w:pPr>
      <w:r>
        <w:t>-</w:t>
      </w:r>
      <w:r>
        <w:tab/>
      </w:r>
      <w:r>
        <w:t xml:space="preserve">configured with SA or NR-DC or NE-DC operation mode, or with EN-DC operation mode for CGI identification requested by NR PSCell. </w:t>
      </w:r>
    </w:p>
    <w:p>
      <w:r>
        <w:t>The overall CGI reporting delay is defined in clause 9.11.3.</w:t>
      </w:r>
    </w:p>
    <w:p>
      <w:pPr>
        <w:rPr>
          <w:ins w:id="78" w:author="Xiaomi2" w:date="2023-08-24T16:19:00Z"/>
          <w:rFonts w:cs="v4.2.0"/>
        </w:rPr>
      </w:pPr>
      <w:ins w:id="79" w:author="Xiaomi2" w:date="2023-08-24T16:19:00Z">
        <w:r>
          <w:rPr>
            <w:rFonts w:hint="eastAsia" w:cs="v4.2.0"/>
          </w:rPr>
          <w:t>The</w:t>
        </w:r>
      </w:ins>
      <w:ins w:id="80" w:author="Xiaomi2" w:date="2023-08-24T16:19:00Z">
        <w:r>
          <w:rPr>
            <w:rFonts w:cs="v4.2.0"/>
          </w:rPr>
          <w:t xml:space="preserve"> measurement reporting delay can be longer </w:t>
        </w:r>
      </w:ins>
      <w:ins w:id="81" w:author="Xiaomi2" w:date="2023-08-24T16:19:00Z">
        <w:r>
          <w:rPr/>
          <w:t>for the measurement reporting requirements</w:t>
        </w:r>
      </w:ins>
      <w:ins w:id="82" w:author="Xiaomi2" w:date="2023-08-24T16:19:00Z">
        <w:r>
          <w:rPr>
            <w:rFonts w:cs="v4.2.0"/>
          </w:rPr>
          <w:t xml:space="preserve"> in this clause when IDC autonomous denial is configured.</w:t>
        </w:r>
      </w:ins>
    </w:p>
    <w:p>
      <w:pPr>
        <w:rPr>
          <w:rFonts w:eastAsia="宋体"/>
          <w:color w:val="0000FF"/>
          <w:sz w:val="24"/>
          <w:szCs w:val="24"/>
        </w:rPr>
      </w:pPr>
    </w:p>
    <w:p>
      <w:pPr>
        <w:rPr>
          <w:rFonts w:eastAsia="宋体"/>
          <w:color w:val="0000FF"/>
          <w:sz w:val="24"/>
          <w:szCs w:val="24"/>
        </w:rPr>
      </w:pPr>
      <w:r>
        <w:rPr>
          <w:rFonts w:hint="eastAsia" w:eastAsia="宋体"/>
          <w:color w:val="0000FF"/>
          <w:sz w:val="24"/>
          <w:szCs w:val="24"/>
        </w:rPr>
        <w:t>=========================</w:t>
      </w:r>
      <w:r>
        <w:rPr>
          <w:rFonts w:eastAsia="宋体"/>
          <w:color w:val="0000FF"/>
          <w:sz w:val="24"/>
          <w:szCs w:val="24"/>
        </w:rPr>
        <w:t xml:space="preserve"> UNCHANGED TEXT </w:t>
      </w:r>
      <w:r>
        <w:rPr>
          <w:rFonts w:hint="eastAsia" w:eastAsia="宋体"/>
          <w:color w:val="0000FF"/>
          <w:sz w:val="24"/>
          <w:szCs w:val="24"/>
        </w:rPr>
        <w:t>===========================</w:t>
      </w:r>
      <w:r>
        <w:rPr>
          <w:rFonts w:eastAsia="宋体"/>
          <w:color w:val="0000FF"/>
          <w:sz w:val="24"/>
          <w:szCs w:val="24"/>
        </w:rPr>
        <w:t xml:space="preserve"> </w:t>
      </w:r>
    </w:p>
    <w:p>
      <w:pPr>
        <w:pStyle w:val="3"/>
      </w:pPr>
      <w:r>
        <w:t>9.12</w:t>
      </w:r>
      <w:r>
        <w:tab/>
      </w:r>
      <w:r>
        <w:t>Measurement for Propagation Delay Compensation</w:t>
      </w:r>
    </w:p>
    <w:p>
      <w:pPr>
        <w:pStyle w:val="4"/>
      </w:pPr>
      <w:r>
        <w:t>9.12.1</w:t>
      </w:r>
      <w:r>
        <w:tab/>
      </w:r>
      <w:r>
        <w:t>Introduction</w:t>
      </w:r>
    </w:p>
    <w:p>
      <w:r>
        <w:t xml:space="preserve">The requirements in this clause are applicable for UE capable of RTT-based propagation delay compensation based on PRS/TRS and SRS, where the UE is configured with </w:t>
      </w:r>
      <w:r>
        <w:rPr>
          <w:i/>
          <w:iCs/>
          <w:lang w:eastAsia="zh-CN"/>
        </w:rPr>
        <w:t xml:space="preserve">measObjectRxTxDiff </w:t>
      </w:r>
      <w:r>
        <w:rPr>
          <w:lang w:eastAsia="zh-CN"/>
        </w:rPr>
        <w:t>in</w:t>
      </w:r>
      <w:r>
        <w:rPr>
          <w:i/>
          <w:iCs/>
          <w:lang w:eastAsia="zh-CN"/>
        </w:rPr>
        <w:t xml:space="preserve"> </w:t>
      </w:r>
      <w:r>
        <w:rPr>
          <w:i/>
        </w:rPr>
        <w:t xml:space="preserve">MeasObjectToAddModList </w:t>
      </w:r>
      <w:r>
        <w:rPr>
          <w:iCs/>
        </w:rPr>
        <w:t>defined in TS38.331 [2]</w:t>
      </w:r>
      <w:r>
        <w:t xml:space="preserve">. </w:t>
      </w:r>
    </w:p>
    <w:p>
      <w:pPr>
        <w:rPr>
          <w:ins w:id="83" w:author="Xiaomi2" w:date="2023-08-24T16:19:00Z"/>
          <w:rFonts w:cs="v4.2.0"/>
        </w:rPr>
      </w:pPr>
      <w:ins w:id="84" w:author="Xiaomi2" w:date="2023-08-24T16:19:00Z">
        <w:r>
          <w:rPr>
            <w:rFonts w:hint="eastAsia" w:cs="v4.2.0"/>
          </w:rPr>
          <w:t>The</w:t>
        </w:r>
      </w:ins>
      <w:ins w:id="85" w:author="Xiaomi2" w:date="2023-08-24T16:19:00Z">
        <w:r>
          <w:rPr>
            <w:rFonts w:cs="v4.2.0"/>
          </w:rPr>
          <w:t xml:space="preserve"> measurement reporting delay can be longer </w:t>
        </w:r>
      </w:ins>
      <w:ins w:id="86" w:author="Xiaomi2" w:date="2023-08-24T16:19:00Z">
        <w:r>
          <w:rPr/>
          <w:t>for the measurement reporting requirements</w:t>
        </w:r>
      </w:ins>
      <w:ins w:id="87" w:author="Xiaomi2" w:date="2023-08-24T16:19:00Z">
        <w:r>
          <w:rPr>
            <w:rFonts w:cs="v4.2.0"/>
          </w:rPr>
          <w:t xml:space="preserve"> in this clause when IDC autonomous denial is configured.</w:t>
        </w:r>
      </w:ins>
    </w:p>
    <w:p>
      <w:pPr>
        <w:rPr>
          <w:rFonts w:eastAsia="宋体"/>
          <w:color w:val="0000FF"/>
          <w:sz w:val="24"/>
          <w:szCs w:val="24"/>
        </w:rPr>
      </w:pPr>
    </w:p>
    <w:p>
      <w:pPr>
        <w:rPr>
          <w:rFonts w:eastAsia="宋体"/>
          <w:color w:val="0000FF"/>
          <w:sz w:val="24"/>
          <w:szCs w:val="24"/>
        </w:rPr>
      </w:pPr>
      <w:r>
        <w:rPr>
          <w:rFonts w:hint="eastAsia" w:eastAsia="宋体"/>
          <w:color w:val="0000FF"/>
          <w:sz w:val="24"/>
          <w:szCs w:val="24"/>
        </w:rPr>
        <w:t>=========================</w:t>
      </w:r>
      <w:r>
        <w:rPr>
          <w:rFonts w:eastAsia="宋体"/>
          <w:color w:val="0000FF"/>
          <w:sz w:val="24"/>
          <w:szCs w:val="24"/>
        </w:rPr>
        <w:t xml:space="preserve"> UNCHANGED TEXT </w:t>
      </w:r>
      <w:r>
        <w:rPr>
          <w:rFonts w:hint="eastAsia" w:eastAsia="宋体"/>
          <w:color w:val="0000FF"/>
          <w:sz w:val="24"/>
          <w:szCs w:val="24"/>
        </w:rPr>
        <w:t>===========================</w:t>
      </w:r>
      <w:r>
        <w:rPr>
          <w:rFonts w:eastAsia="宋体"/>
          <w:color w:val="0000FF"/>
          <w:sz w:val="24"/>
          <w:szCs w:val="24"/>
        </w:rPr>
        <w:t xml:space="preserve"> </w:t>
      </w:r>
    </w:p>
    <w:p>
      <w:pPr>
        <w:pStyle w:val="3"/>
      </w:pPr>
      <w:r>
        <w:t>9.</w:t>
      </w:r>
      <w:r>
        <w:rPr>
          <w:lang w:eastAsia="zh-CN"/>
        </w:rPr>
        <w:t>13</w:t>
      </w:r>
      <w:r>
        <w:tab/>
      </w:r>
      <w:r>
        <w:t>L1-RSRP measurements for a cell with different PCI from serving cell</w:t>
      </w:r>
    </w:p>
    <w:p>
      <w:pPr>
        <w:pStyle w:val="4"/>
      </w:pPr>
      <w:r>
        <w:t>9.13.1</w:t>
      </w:r>
      <w:r>
        <w:tab/>
      </w:r>
      <w:r>
        <w:t>Introduction</w:t>
      </w:r>
    </w:p>
    <w:p>
      <w:pPr>
        <w:rPr>
          <w:rFonts w:eastAsia="宋体"/>
          <w:lang w:eastAsia="zh-CN"/>
        </w:rPr>
      </w:pPr>
      <w:r>
        <w:rPr>
          <w:rFonts w:eastAsia="宋体"/>
        </w:rPr>
        <w:t xml:space="preserve">When configured by the network, the UE shall be able to perform L1-RSRP measurements of configured measurement resources from a cell with different PCI in addition to serving cell (PCI indicated in </w:t>
      </w:r>
      <w:r>
        <w:rPr>
          <w:rFonts w:eastAsia="宋体"/>
          <w:i/>
          <w:iCs/>
        </w:rPr>
        <w:t>additionalPCI-r17</w:t>
      </w:r>
      <w:r>
        <w:rPr>
          <w:rFonts w:eastAsia="宋体"/>
        </w:rPr>
        <w:t>)</w:t>
      </w:r>
      <w:r>
        <w:rPr>
          <w:rFonts w:eastAsia="宋体"/>
          <w:lang w:eastAsia="zh-CN"/>
        </w:rPr>
        <w:t xml:space="preserve">, with the measurement resources configured as SSBs of the cell with different PCI. </w:t>
      </w:r>
    </w:p>
    <w:p>
      <w:bookmarkStart w:id="13" w:name="_Hlk101792135"/>
      <w:r>
        <w:t xml:space="preserve">The UE shall be able to measure all SSB resources of the </w:t>
      </w:r>
      <w:r>
        <w:rPr>
          <w:rFonts w:hint="eastAsia"/>
          <w:lang w:eastAsia="zh-CN"/>
        </w:rPr>
        <w:t>c</w:t>
      </w:r>
      <w:r>
        <w:t xml:space="preserve">ell with different PCI </w:t>
      </w:r>
      <w:r>
        <w:rPr>
          <w:rFonts w:hint="eastAsia"/>
          <w:lang w:eastAsia="zh-CN"/>
        </w:rPr>
        <w:t>in</w:t>
      </w:r>
      <w:r>
        <w:t xml:space="preserve"> </w:t>
      </w:r>
      <w:r>
        <w:rPr>
          <w:i/>
        </w:rPr>
        <w:t>csi-SSB-ResourceSet</w:t>
      </w:r>
      <w:r>
        <w:t xml:space="preserve"> within the CSI-Resource</w:t>
      </w:r>
      <w:r>
        <w:rPr>
          <w:i/>
        </w:rPr>
        <w:t>Config</w:t>
      </w:r>
      <w:r>
        <w:t xml:space="preserve"> settings for the active BWP, while the </w:t>
      </w:r>
      <w:r>
        <w:rPr>
          <w:rFonts w:eastAsia="宋体"/>
          <w:i/>
          <w:iCs/>
        </w:rPr>
        <w:t xml:space="preserve">additionalPCI-r17 </w:t>
      </w:r>
      <w:r>
        <w:rPr>
          <w:rFonts w:eastAsia="宋体"/>
          <w:iCs/>
        </w:rPr>
        <w:t xml:space="preserve">of the SSB resources are different from serving cell PCI. </w:t>
      </w:r>
      <w:r>
        <w:t xml:space="preserve">The number of resources, including the number of resources configured for serving cell L1-RSRP measurement in 9.5, does not exceed the UE capability indicated by </w:t>
      </w:r>
      <w:r>
        <w:rPr>
          <w:i/>
        </w:rPr>
        <w:t>beamManagementSSB-CSI-RS</w:t>
      </w:r>
      <w:r>
        <w:t>.</w:t>
      </w:r>
    </w:p>
    <w:bookmarkEnd w:id="13"/>
    <w:p>
      <w:pPr>
        <w:rPr>
          <w:rFonts w:eastAsia="宋体"/>
        </w:rPr>
      </w:pPr>
      <w:r>
        <w:rPr>
          <w:rFonts w:eastAsia="宋体"/>
          <w:lang w:val="en-US"/>
        </w:rPr>
        <w:t>The UE shall report the measurement quantity (</w:t>
      </w:r>
      <w:r>
        <w:rPr>
          <w:rFonts w:eastAsia="宋体"/>
          <w:i/>
          <w:lang w:val="en-US"/>
        </w:rPr>
        <w:t>reportQuantity</w:t>
      </w:r>
      <w:r>
        <w:rPr>
          <w:rFonts w:eastAsia="宋体"/>
          <w:lang w:val="en-US"/>
        </w:rPr>
        <w:t xml:space="preserve">) and send periodic, semi-persistent or aperiodic reports, according to </w:t>
      </w:r>
      <w:r>
        <w:rPr>
          <w:rFonts w:eastAsia="宋体"/>
          <w:color w:val="000000"/>
          <w:lang w:val="en-US"/>
        </w:rPr>
        <w:t>the higher layer parameter</w:t>
      </w:r>
      <w:r>
        <w:rPr>
          <w:rFonts w:eastAsia="宋体"/>
          <w:lang w:val="en-US"/>
        </w:rPr>
        <w:t xml:space="preserve"> </w:t>
      </w:r>
      <w:r>
        <w:rPr>
          <w:rFonts w:eastAsia="宋体"/>
          <w:i/>
          <w:lang w:val="en-US"/>
        </w:rPr>
        <w:t>reportConfigType</w:t>
      </w:r>
      <w:r>
        <w:rPr>
          <w:rFonts w:eastAsia="宋体"/>
          <w:lang w:val="en-US"/>
        </w:rPr>
        <w:t xml:space="preserve"> </w:t>
      </w:r>
      <w:r>
        <w:rPr>
          <w:rFonts w:eastAsia="宋体"/>
          <w:color w:val="000000"/>
          <w:lang w:val="en-US"/>
        </w:rPr>
        <w:t>of each reporting setting</w:t>
      </w:r>
      <w:r>
        <w:rPr>
          <w:rFonts w:eastAsia="宋体"/>
          <w:i/>
          <w:color w:val="000000"/>
          <w:lang w:val="en-US"/>
        </w:rPr>
        <w:t xml:space="preserve"> CSI-ReportConfig </w:t>
      </w:r>
      <w:r>
        <w:rPr>
          <w:rFonts w:eastAsia="宋体"/>
          <w:lang w:val="en-US"/>
        </w:rPr>
        <w:t>for the active BWP</w:t>
      </w:r>
      <w:r>
        <w:rPr>
          <w:rFonts w:eastAsia="宋体"/>
        </w:rPr>
        <w:t>.</w:t>
      </w:r>
    </w:p>
    <w:p>
      <w:pPr>
        <w:rPr>
          <w:rFonts w:cs="v4.2.0"/>
        </w:rPr>
      </w:pPr>
      <w:ins w:id="88" w:author="Xiaomi2" w:date="2023-08-24T16:19:00Z">
        <w:r>
          <w:rPr>
            <w:rFonts w:hint="eastAsia" w:cs="v4.2.0"/>
          </w:rPr>
          <w:t>The</w:t>
        </w:r>
      </w:ins>
      <w:ins w:id="89" w:author="Xiaomi2" w:date="2023-08-24T16:19:00Z">
        <w:r>
          <w:rPr>
            <w:rFonts w:cs="v4.2.0"/>
          </w:rPr>
          <w:t xml:space="preserve"> measurement reporting delay can be longer </w:t>
        </w:r>
      </w:ins>
      <w:ins w:id="90" w:author="Xiaomi2" w:date="2023-08-24T16:19:00Z">
        <w:r>
          <w:rPr/>
          <w:t>for the measurement reporting requirements</w:t>
        </w:r>
      </w:ins>
      <w:ins w:id="91" w:author="Xiaomi2" w:date="2023-08-24T16:19:00Z">
        <w:r>
          <w:rPr>
            <w:rFonts w:cs="v4.2.0"/>
          </w:rPr>
          <w:t xml:space="preserve"> in this clause when IDC autonomous denial is configured.</w:t>
        </w:r>
      </w:ins>
    </w:p>
    <w:p>
      <w:pPr>
        <w:rPr>
          <w:rFonts w:eastAsiaTheme="minorEastAsia"/>
          <w:color w:val="FF0000"/>
          <w:sz w:val="24"/>
          <w:lang w:eastAsia="zh-CN"/>
        </w:rPr>
      </w:pPr>
    </w:p>
    <w:p>
      <w:pPr>
        <w:keepNext/>
        <w:keepLines/>
        <w:spacing w:before="240"/>
        <w:ind w:left="1134" w:hanging="1134"/>
        <w:jc w:val="center"/>
        <w:outlineLvl w:val="0"/>
        <w:rPr>
          <w:rFonts w:ascii="Arial" w:hAnsi="Arial" w:eastAsia="宋体"/>
          <w:b/>
          <w:color w:val="0000FF"/>
          <w:sz w:val="36"/>
        </w:rPr>
      </w:pPr>
      <w:r>
        <w:rPr>
          <w:rFonts w:ascii="Arial" w:hAnsi="Arial" w:eastAsia="宋体"/>
          <w:b/>
          <w:color w:val="0000FF"/>
          <w:sz w:val="36"/>
        </w:rPr>
        <w:t>&lt;</w:t>
      </w:r>
      <w:r>
        <w:rPr>
          <w:rFonts w:hint="eastAsia" w:ascii="Arial" w:hAnsi="Arial" w:eastAsia="宋体"/>
          <w:b/>
          <w:color w:val="0000FF"/>
          <w:sz w:val="36"/>
          <w:lang w:eastAsia="zh-CN"/>
        </w:rPr>
        <w:t>End</w:t>
      </w:r>
      <w:r>
        <w:rPr>
          <w:rFonts w:ascii="Arial" w:hAnsi="Arial" w:eastAsia="宋体"/>
          <w:b/>
          <w:color w:val="0000FF"/>
          <w:sz w:val="36"/>
        </w:rPr>
        <w:t xml:space="preserve"> of Change </w:t>
      </w:r>
      <w:r>
        <w:rPr>
          <w:rFonts w:hint="eastAsia" w:ascii="Arial" w:hAnsi="Arial" w:eastAsia="宋体"/>
          <w:b/>
          <w:color w:val="0000FF"/>
          <w:sz w:val="36"/>
          <w:lang w:eastAsia="zh-CN"/>
        </w:rPr>
        <w:t>#2&gt;</w:t>
      </w:r>
    </w:p>
    <w:p>
      <w:pPr>
        <w:rPr>
          <w:rFonts w:eastAsiaTheme="minorEastAsia"/>
          <w:color w:val="FF0000"/>
          <w:sz w:val="24"/>
          <w:lang w:eastAsia="zh-CN"/>
        </w:rPr>
      </w:pPr>
    </w:p>
    <w:bookmarkEnd w:id="6"/>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w:panose1 w:val="02010601000101010101"/>
    <w:charset w:val="88"/>
    <w:family w:val="roman"/>
    <w:pitch w:val="default"/>
    <w:sig w:usb0="00000000" w:usb1="00000000" w:usb2="00000016" w:usb3="00000000" w:csb0="00100001" w:csb1="00000000"/>
  </w:font>
  <w:font w:name="?? ??">
    <w:altName w:val="MS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0414E9"/>
    <w:multiLevelType w:val="multilevel"/>
    <w:tmpl w:val="470414E9"/>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
    <w15:presenceInfo w15:providerId="Windows Live" w15:userId="1041ae60226154a6"/>
  </w15:person>
  <w15:person w15:author="Xiaomi2">
    <w15:presenceInfo w15:providerId="Windows Live" w15:userId="1041ae60226154a6"/>
  </w15:person>
  <w15:person w15:author="Ziquan-Xiaomi">
    <w15:presenceInfo w15:providerId="None" w15:userId="Ziquan-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022E4A"/>
    <w:rsid w:val="00001D61"/>
    <w:rsid w:val="0000637A"/>
    <w:rsid w:val="00012ABA"/>
    <w:rsid w:val="00014031"/>
    <w:rsid w:val="00020DAF"/>
    <w:rsid w:val="00022E4A"/>
    <w:rsid w:val="000256EB"/>
    <w:rsid w:val="0005457F"/>
    <w:rsid w:val="00073E56"/>
    <w:rsid w:val="00080297"/>
    <w:rsid w:val="00085025"/>
    <w:rsid w:val="000925B6"/>
    <w:rsid w:val="000A62AC"/>
    <w:rsid w:val="000A6394"/>
    <w:rsid w:val="000B25ED"/>
    <w:rsid w:val="000B7FED"/>
    <w:rsid w:val="000C038A"/>
    <w:rsid w:val="000C6598"/>
    <w:rsid w:val="000D44B3"/>
    <w:rsid w:val="000E33C6"/>
    <w:rsid w:val="000F3987"/>
    <w:rsid w:val="00107084"/>
    <w:rsid w:val="001165B7"/>
    <w:rsid w:val="00116AB5"/>
    <w:rsid w:val="0012265F"/>
    <w:rsid w:val="00135D6D"/>
    <w:rsid w:val="00140A72"/>
    <w:rsid w:val="0014336B"/>
    <w:rsid w:val="00145D43"/>
    <w:rsid w:val="0014775B"/>
    <w:rsid w:val="00151C91"/>
    <w:rsid w:val="00166726"/>
    <w:rsid w:val="0017772D"/>
    <w:rsid w:val="001810FE"/>
    <w:rsid w:val="00192C46"/>
    <w:rsid w:val="001A08B3"/>
    <w:rsid w:val="001A7B60"/>
    <w:rsid w:val="001B39A7"/>
    <w:rsid w:val="001B52F0"/>
    <w:rsid w:val="001B7A65"/>
    <w:rsid w:val="001D17AC"/>
    <w:rsid w:val="001D1893"/>
    <w:rsid w:val="001E41F3"/>
    <w:rsid w:val="00206F3B"/>
    <w:rsid w:val="00213B23"/>
    <w:rsid w:val="0021509F"/>
    <w:rsid w:val="00222842"/>
    <w:rsid w:val="002231C4"/>
    <w:rsid w:val="002247F1"/>
    <w:rsid w:val="00224B82"/>
    <w:rsid w:val="002258F6"/>
    <w:rsid w:val="00237217"/>
    <w:rsid w:val="0026004D"/>
    <w:rsid w:val="002640DD"/>
    <w:rsid w:val="002659BE"/>
    <w:rsid w:val="00275D12"/>
    <w:rsid w:val="00277192"/>
    <w:rsid w:val="002805FD"/>
    <w:rsid w:val="0028333D"/>
    <w:rsid w:val="00284FEB"/>
    <w:rsid w:val="00285BFB"/>
    <w:rsid w:val="002860C4"/>
    <w:rsid w:val="002942FE"/>
    <w:rsid w:val="00297A0E"/>
    <w:rsid w:val="002A712D"/>
    <w:rsid w:val="002B5741"/>
    <w:rsid w:val="002D4DF6"/>
    <w:rsid w:val="002D6BC9"/>
    <w:rsid w:val="002E0F04"/>
    <w:rsid w:val="002E472E"/>
    <w:rsid w:val="00305409"/>
    <w:rsid w:val="00325344"/>
    <w:rsid w:val="00333FEB"/>
    <w:rsid w:val="003609EF"/>
    <w:rsid w:val="0036231A"/>
    <w:rsid w:val="00367FED"/>
    <w:rsid w:val="00374DD4"/>
    <w:rsid w:val="003811E3"/>
    <w:rsid w:val="003B2564"/>
    <w:rsid w:val="003E1A36"/>
    <w:rsid w:val="003F2637"/>
    <w:rsid w:val="003F2AC7"/>
    <w:rsid w:val="00407180"/>
    <w:rsid w:val="00410371"/>
    <w:rsid w:val="0041204C"/>
    <w:rsid w:val="004242F1"/>
    <w:rsid w:val="00432356"/>
    <w:rsid w:val="0043677D"/>
    <w:rsid w:val="00441BCF"/>
    <w:rsid w:val="004429B5"/>
    <w:rsid w:val="004A509F"/>
    <w:rsid w:val="004B75B7"/>
    <w:rsid w:val="004C6C11"/>
    <w:rsid w:val="004D210E"/>
    <w:rsid w:val="004E590B"/>
    <w:rsid w:val="004F0D4A"/>
    <w:rsid w:val="004F6F41"/>
    <w:rsid w:val="00506554"/>
    <w:rsid w:val="005117CA"/>
    <w:rsid w:val="005137E0"/>
    <w:rsid w:val="005141D9"/>
    <w:rsid w:val="0051580D"/>
    <w:rsid w:val="005312BA"/>
    <w:rsid w:val="00541F0F"/>
    <w:rsid w:val="00547111"/>
    <w:rsid w:val="00553FBF"/>
    <w:rsid w:val="005617C5"/>
    <w:rsid w:val="00576D0A"/>
    <w:rsid w:val="00576DB0"/>
    <w:rsid w:val="005926D6"/>
    <w:rsid w:val="00592D74"/>
    <w:rsid w:val="00593660"/>
    <w:rsid w:val="00593D0B"/>
    <w:rsid w:val="00596710"/>
    <w:rsid w:val="00597CED"/>
    <w:rsid w:val="005A7B46"/>
    <w:rsid w:val="005B3A0E"/>
    <w:rsid w:val="005C244B"/>
    <w:rsid w:val="005D7BB2"/>
    <w:rsid w:val="005E2C44"/>
    <w:rsid w:val="005F3CA6"/>
    <w:rsid w:val="00606695"/>
    <w:rsid w:val="006102E0"/>
    <w:rsid w:val="00621188"/>
    <w:rsid w:val="006257ED"/>
    <w:rsid w:val="00627B2D"/>
    <w:rsid w:val="00637E77"/>
    <w:rsid w:val="006403F7"/>
    <w:rsid w:val="006512D0"/>
    <w:rsid w:val="00653DE4"/>
    <w:rsid w:val="00656149"/>
    <w:rsid w:val="00665C47"/>
    <w:rsid w:val="00684775"/>
    <w:rsid w:val="00695808"/>
    <w:rsid w:val="006B182C"/>
    <w:rsid w:val="006B46FB"/>
    <w:rsid w:val="006C02EB"/>
    <w:rsid w:val="006C2CE8"/>
    <w:rsid w:val="006E21FB"/>
    <w:rsid w:val="006F136F"/>
    <w:rsid w:val="0071355C"/>
    <w:rsid w:val="00717894"/>
    <w:rsid w:val="00724946"/>
    <w:rsid w:val="00724C8E"/>
    <w:rsid w:val="00730DA7"/>
    <w:rsid w:val="00731DC7"/>
    <w:rsid w:val="00733E21"/>
    <w:rsid w:val="00754DE9"/>
    <w:rsid w:val="00756307"/>
    <w:rsid w:val="00765E1E"/>
    <w:rsid w:val="00770808"/>
    <w:rsid w:val="007859A7"/>
    <w:rsid w:val="00790FCD"/>
    <w:rsid w:val="00792342"/>
    <w:rsid w:val="007941F8"/>
    <w:rsid w:val="007977A8"/>
    <w:rsid w:val="007A34F0"/>
    <w:rsid w:val="007B512A"/>
    <w:rsid w:val="007C2097"/>
    <w:rsid w:val="007C2665"/>
    <w:rsid w:val="007D1594"/>
    <w:rsid w:val="007D1E23"/>
    <w:rsid w:val="007D6A07"/>
    <w:rsid w:val="007E6B53"/>
    <w:rsid w:val="007F7259"/>
    <w:rsid w:val="008040A8"/>
    <w:rsid w:val="00805D46"/>
    <w:rsid w:val="00827287"/>
    <w:rsid w:val="008279FA"/>
    <w:rsid w:val="008626E7"/>
    <w:rsid w:val="0086500D"/>
    <w:rsid w:val="00870EE7"/>
    <w:rsid w:val="008863B9"/>
    <w:rsid w:val="008943F1"/>
    <w:rsid w:val="00894979"/>
    <w:rsid w:val="00897BC8"/>
    <w:rsid w:val="008A45A6"/>
    <w:rsid w:val="008B367D"/>
    <w:rsid w:val="008B7950"/>
    <w:rsid w:val="008D3CCC"/>
    <w:rsid w:val="008F3789"/>
    <w:rsid w:val="008F686C"/>
    <w:rsid w:val="00907B53"/>
    <w:rsid w:val="0091317E"/>
    <w:rsid w:val="009148DE"/>
    <w:rsid w:val="009152DA"/>
    <w:rsid w:val="00927F74"/>
    <w:rsid w:val="00934B09"/>
    <w:rsid w:val="00941E30"/>
    <w:rsid w:val="0094551E"/>
    <w:rsid w:val="0094607F"/>
    <w:rsid w:val="00946999"/>
    <w:rsid w:val="0095459D"/>
    <w:rsid w:val="00965197"/>
    <w:rsid w:val="00967371"/>
    <w:rsid w:val="009777D9"/>
    <w:rsid w:val="00991B88"/>
    <w:rsid w:val="00991BE4"/>
    <w:rsid w:val="00992362"/>
    <w:rsid w:val="009957B3"/>
    <w:rsid w:val="009A5753"/>
    <w:rsid w:val="009A579D"/>
    <w:rsid w:val="009B033A"/>
    <w:rsid w:val="009B4869"/>
    <w:rsid w:val="009D019C"/>
    <w:rsid w:val="009D3C16"/>
    <w:rsid w:val="009E2617"/>
    <w:rsid w:val="009E3297"/>
    <w:rsid w:val="009F49D1"/>
    <w:rsid w:val="009F734F"/>
    <w:rsid w:val="00A00251"/>
    <w:rsid w:val="00A04C58"/>
    <w:rsid w:val="00A073A6"/>
    <w:rsid w:val="00A246B6"/>
    <w:rsid w:val="00A4156A"/>
    <w:rsid w:val="00A447F7"/>
    <w:rsid w:val="00A47E70"/>
    <w:rsid w:val="00A50CF0"/>
    <w:rsid w:val="00A53707"/>
    <w:rsid w:val="00A53E4E"/>
    <w:rsid w:val="00A56619"/>
    <w:rsid w:val="00A7671C"/>
    <w:rsid w:val="00A967FB"/>
    <w:rsid w:val="00AA2CBC"/>
    <w:rsid w:val="00AB601E"/>
    <w:rsid w:val="00AC2CB8"/>
    <w:rsid w:val="00AC5820"/>
    <w:rsid w:val="00AC7306"/>
    <w:rsid w:val="00AD1AB7"/>
    <w:rsid w:val="00AD1CD8"/>
    <w:rsid w:val="00AD3FC2"/>
    <w:rsid w:val="00AD470B"/>
    <w:rsid w:val="00AD487A"/>
    <w:rsid w:val="00AE42B5"/>
    <w:rsid w:val="00AF38B0"/>
    <w:rsid w:val="00B210FD"/>
    <w:rsid w:val="00B24CD5"/>
    <w:rsid w:val="00B258BB"/>
    <w:rsid w:val="00B32763"/>
    <w:rsid w:val="00B3329A"/>
    <w:rsid w:val="00B623A8"/>
    <w:rsid w:val="00B67B97"/>
    <w:rsid w:val="00B74497"/>
    <w:rsid w:val="00B8271F"/>
    <w:rsid w:val="00B947B7"/>
    <w:rsid w:val="00B968C8"/>
    <w:rsid w:val="00BA3EC5"/>
    <w:rsid w:val="00BA4782"/>
    <w:rsid w:val="00BA51D9"/>
    <w:rsid w:val="00BB043F"/>
    <w:rsid w:val="00BB2316"/>
    <w:rsid w:val="00BB5DFC"/>
    <w:rsid w:val="00BC0573"/>
    <w:rsid w:val="00BC135A"/>
    <w:rsid w:val="00BD279D"/>
    <w:rsid w:val="00BD6BB8"/>
    <w:rsid w:val="00BF0737"/>
    <w:rsid w:val="00C27DFD"/>
    <w:rsid w:val="00C348B0"/>
    <w:rsid w:val="00C361E8"/>
    <w:rsid w:val="00C53850"/>
    <w:rsid w:val="00C55567"/>
    <w:rsid w:val="00C6006E"/>
    <w:rsid w:val="00C63C40"/>
    <w:rsid w:val="00C66BA2"/>
    <w:rsid w:val="00C70066"/>
    <w:rsid w:val="00C82042"/>
    <w:rsid w:val="00C870F6"/>
    <w:rsid w:val="00C95985"/>
    <w:rsid w:val="00CC5026"/>
    <w:rsid w:val="00CC68D0"/>
    <w:rsid w:val="00CD2BB6"/>
    <w:rsid w:val="00CD4C39"/>
    <w:rsid w:val="00CE7B1E"/>
    <w:rsid w:val="00CF48D1"/>
    <w:rsid w:val="00CF5BE4"/>
    <w:rsid w:val="00CF5C74"/>
    <w:rsid w:val="00D03F9A"/>
    <w:rsid w:val="00D0503C"/>
    <w:rsid w:val="00D06D51"/>
    <w:rsid w:val="00D12C7F"/>
    <w:rsid w:val="00D24991"/>
    <w:rsid w:val="00D377E5"/>
    <w:rsid w:val="00D37EA8"/>
    <w:rsid w:val="00D45F72"/>
    <w:rsid w:val="00D50255"/>
    <w:rsid w:val="00D66520"/>
    <w:rsid w:val="00D84AE9"/>
    <w:rsid w:val="00D84CE2"/>
    <w:rsid w:val="00D9673E"/>
    <w:rsid w:val="00D97A46"/>
    <w:rsid w:val="00DB2A80"/>
    <w:rsid w:val="00DB4BD3"/>
    <w:rsid w:val="00DB67BC"/>
    <w:rsid w:val="00DC5670"/>
    <w:rsid w:val="00DE2AAF"/>
    <w:rsid w:val="00DE34CF"/>
    <w:rsid w:val="00E13F3D"/>
    <w:rsid w:val="00E23AB4"/>
    <w:rsid w:val="00E25485"/>
    <w:rsid w:val="00E34898"/>
    <w:rsid w:val="00E43BE0"/>
    <w:rsid w:val="00E81172"/>
    <w:rsid w:val="00EA2E08"/>
    <w:rsid w:val="00EA687C"/>
    <w:rsid w:val="00EB09B7"/>
    <w:rsid w:val="00ED1BE6"/>
    <w:rsid w:val="00EE5193"/>
    <w:rsid w:val="00EE7D7C"/>
    <w:rsid w:val="00F02CFC"/>
    <w:rsid w:val="00F06FB3"/>
    <w:rsid w:val="00F16075"/>
    <w:rsid w:val="00F25D98"/>
    <w:rsid w:val="00F300FB"/>
    <w:rsid w:val="00F30737"/>
    <w:rsid w:val="00F30878"/>
    <w:rsid w:val="00F31CE1"/>
    <w:rsid w:val="00F37BF7"/>
    <w:rsid w:val="00F51477"/>
    <w:rsid w:val="00F66BA3"/>
    <w:rsid w:val="00F83DF8"/>
    <w:rsid w:val="00FB20D2"/>
    <w:rsid w:val="00FB3D4F"/>
    <w:rsid w:val="00FB6386"/>
    <w:rsid w:val="00FC5661"/>
    <w:rsid w:val="00FD2CAE"/>
    <w:rsid w:val="00FD2D28"/>
    <w:rsid w:val="00FE122D"/>
    <w:rsid w:val="00FE4B81"/>
    <w:rsid w:val="00FE5226"/>
    <w:rsid w:val="00FF1DE1"/>
    <w:rsid w:val="1917583F"/>
    <w:rsid w:val="1A115020"/>
    <w:rsid w:val="23D96090"/>
    <w:rsid w:val="24BA0BB4"/>
    <w:rsid w:val="29842A7C"/>
    <w:rsid w:val="2CC80ED2"/>
    <w:rsid w:val="306164E3"/>
    <w:rsid w:val="32335040"/>
    <w:rsid w:val="336F654B"/>
    <w:rsid w:val="41475C22"/>
    <w:rsid w:val="414A7920"/>
    <w:rsid w:val="48844676"/>
    <w:rsid w:val="49CD76D0"/>
    <w:rsid w:val="4B94728E"/>
    <w:rsid w:val="4E13018F"/>
    <w:rsid w:val="4FD07F1A"/>
    <w:rsid w:val="508F1B83"/>
    <w:rsid w:val="52462715"/>
    <w:rsid w:val="526606C2"/>
    <w:rsid w:val="596D4A2C"/>
    <w:rsid w:val="59853B23"/>
    <w:rsid w:val="5CAB38A1"/>
    <w:rsid w:val="645F3870"/>
    <w:rsid w:val="6C092392"/>
    <w:rsid w:val="6CD0178A"/>
    <w:rsid w:val="71535E5D"/>
    <w:rsid w:val="771F2A69"/>
    <w:rsid w:val="786D5A56"/>
    <w:rsid w:val="7C973BE6"/>
    <w:rsid w:val="7D896FD5"/>
    <w:rsid w:val="7F8150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8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8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link w:val="85"/>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link w:val="90"/>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6 Char"/>
    <w:link w:val="8"/>
    <w:qFormat/>
    <w:uiPriority w:val="0"/>
    <w:rPr>
      <w:rFonts w:ascii="Arial" w:hAnsi="Arial" w:eastAsia="Times New Roman"/>
      <w:lang w:val="en-GB" w:eastAsia="en-US"/>
    </w:rPr>
  </w:style>
  <w:style w:type="character" w:customStyle="1" w:styleId="84">
    <w:name w:val="B1 Char"/>
    <w:link w:val="75"/>
    <w:qFormat/>
    <w:uiPriority w:val="0"/>
    <w:rPr>
      <w:rFonts w:ascii="Times New Roman" w:hAnsi="Times New Roman" w:eastAsia="Times New Roman"/>
      <w:lang w:val="en-GB" w:eastAsia="en-US"/>
    </w:rPr>
  </w:style>
  <w:style w:type="character" w:customStyle="1" w:styleId="85">
    <w:name w:val="EQ Char"/>
    <w:link w:val="62"/>
    <w:qFormat/>
    <w:locked/>
    <w:uiPriority w:val="0"/>
    <w:rPr>
      <w:rFonts w:ascii="Times New Roman" w:hAnsi="Times New Roman" w:eastAsia="Times New Roman"/>
      <w:lang w:val="en-GB" w:eastAsia="en-US"/>
    </w:rPr>
  </w:style>
  <w:style w:type="character" w:customStyle="1" w:styleId="86">
    <w:name w:val="标题 3 字符"/>
    <w:link w:val="4"/>
    <w:qFormat/>
    <w:locked/>
    <w:uiPriority w:val="0"/>
    <w:rPr>
      <w:rFonts w:ascii="Arial" w:hAnsi="Arial" w:eastAsia="Times New Roman"/>
      <w:sz w:val="28"/>
      <w:lang w:val="en-GB" w:eastAsia="en-US"/>
    </w:rPr>
  </w:style>
  <w:style w:type="character" w:customStyle="1" w:styleId="87">
    <w:name w:val="标题 4 字符"/>
    <w:link w:val="5"/>
    <w:qFormat/>
    <w:uiPriority w:val="0"/>
    <w:rPr>
      <w:rFonts w:ascii="Arial" w:hAnsi="Arial" w:eastAsia="Times New Roman"/>
      <w:sz w:val="24"/>
      <w:lang w:val="en-GB" w:eastAsia="en-US"/>
    </w:rPr>
  </w:style>
  <w:style w:type="paragraph" w:customStyle="1" w:styleId="88">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9">
    <w:name w:val="列出段落1"/>
    <w:basedOn w:val="1"/>
    <w:qFormat/>
    <w:uiPriority w:val="0"/>
    <w:pPr>
      <w:autoSpaceDE w:val="0"/>
      <w:spacing w:before="100" w:beforeAutospacing="1" w:after="120"/>
      <w:ind w:left="720" w:hanging="360"/>
    </w:pPr>
    <w:rPr>
      <w:rFonts w:eastAsia="宋体"/>
      <w:sz w:val="24"/>
      <w:szCs w:val="24"/>
      <w:lang w:val="en-US" w:eastAsia="zh-CN"/>
    </w:rPr>
  </w:style>
  <w:style w:type="character" w:customStyle="1" w:styleId="90">
    <w:name w:val="B2 Char"/>
    <w:link w:val="76"/>
    <w:qFormat/>
    <w:uiPriority w:val="0"/>
    <w:rPr>
      <w:rFonts w:ascii="Times New Roman" w:hAnsi="Times New Roman" w:eastAsia="Times New Roman"/>
      <w:lang w:val="en-GB" w:eastAsia="en-US"/>
    </w:rPr>
  </w:style>
  <w:style w:type="character" w:customStyle="1" w:styleId="91">
    <w:name w:val="NO Char"/>
    <w:link w:val="56"/>
    <w:qFormat/>
    <w:uiPriority w:val="0"/>
    <w:rPr>
      <w:rFonts w:ascii="Times New Roman" w:hAnsi="Times New Roman"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A4EE9-3C69-41FD-AE05-FB8237BE495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4120</Words>
  <Characters>23487</Characters>
  <Lines>195</Lines>
  <Paragraphs>55</Paragraphs>
  <TotalTime>0</TotalTime>
  <ScaleCrop>false</ScaleCrop>
  <LinksUpToDate>false</LinksUpToDate>
  <CharactersWithSpaces>27552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Ziquan-Xiaomi</cp:lastModifiedBy>
  <cp:lastPrinted>2411-12-31T15:59:00Z</cp:lastPrinted>
  <dcterms:modified xsi:type="dcterms:W3CDTF">2023-08-25T12:18:47Z</dcterms:modified>
  <dc:title>MTG_TITLE</dc:title>
  <cp:revision>235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2052-12.1.0.15120</vt:lpwstr>
  </property>
  <property fmtid="{D5CDD505-2E9C-101B-9397-08002B2CF9AE}" pid="22" name="ICV">
    <vt:lpwstr>78E1C8EE99264D9683C7D04E9EEAFF45_12</vt:lpwstr>
  </property>
  <property fmtid="{D5CDD505-2E9C-101B-9397-08002B2CF9AE}" pid="23" name="CWM7db4f960245011ee8000493400004834">
    <vt:lpwstr>CWMWtKft+xFLSNl+qG5TRJ3UwZxcYq6tIxqn82BVFRXEcDWhODAocBh3p5og6Tb9ovw6pRihcemhESEmh3OA+76RA==</vt:lpwstr>
  </property>
  <property fmtid="{D5CDD505-2E9C-101B-9397-08002B2CF9AE}" pid="24" name="CWM569cd790260711ee800057bc000056bc">
    <vt:lpwstr>CWMIam63qWP250DI0WzJIxSkIm0ocEqjQza8GJckEEfXkXZnllr4WnbiW2QYN4FiH+TgcuhdgUXt1oKfN/5cnHKbA==</vt:lpwstr>
  </property>
</Properties>
</file>