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9"/>
        <w:rPr>
          <w:rFonts w:hint="default" w:eastAsia="宋体" w:cs="Arial"/>
          <w:bCs/>
          <w:sz w:val="24"/>
          <w:highlight w:val="none"/>
          <w:lang w:val="en-US" w:eastAsia="zh-CN"/>
        </w:rPr>
      </w:pPr>
      <w:r>
        <w:rPr>
          <w:rFonts w:hint="eastAsia" w:cs="Arial"/>
          <w:bCs/>
          <w:sz w:val="24"/>
          <w:highlight w:val="none"/>
          <w:lang w:val="en-GB"/>
        </w:rPr>
        <w:t>3GPP TSG RAN Meeting #101</w:t>
      </w:r>
      <w:r>
        <w:rPr>
          <w:rFonts w:cs="Arial"/>
          <w:bCs/>
          <w:sz w:val="24"/>
          <w:highlight w:val="none"/>
          <w:lang w:val="en-GB"/>
        </w:rPr>
        <w:tab/>
      </w:r>
      <w:r>
        <w:rPr>
          <w:rFonts w:cs="Arial"/>
          <w:bCs/>
          <w:sz w:val="24"/>
          <w:highlight w:val="none"/>
          <w:lang w:val="en-GB"/>
        </w:rPr>
        <w:tab/>
      </w:r>
      <w:r>
        <w:rPr>
          <w:rFonts w:cs="Arial"/>
          <w:bCs/>
          <w:sz w:val="24"/>
          <w:highlight w:val="none"/>
          <w:lang w:val="en-GB"/>
        </w:rPr>
        <w:tab/>
      </w:r>
      <w:r>
        <w:rPr>
          <w:rFonts w:cs="Arial"/>
          <w:bCs/>
          <w:sz w:val="24"/>
          <w:highlight w:val="none"/>
          <w:lang w:val="en-GB"/>
        </w:rPr>
        <w:tab/>
      </w:r>
      <w:r>
        <w:rPr>
          <w:rFonts w:cs="Arial"/>
          <w:bCs/>
          <w:sz w:val="24"/>
          <w:highlight w:val="none"/>
          <w:lang w:val="en-GB"/>
        </w:rPr>
        <w:tab/>
      </w:r>
      <w:r>
        <w:rPr>
          <w:rFonts w:cs="Arial"/>
          <w:bCs/>
          <w:sz w:val="24"/>
          <w:highlight w:val="none"/>
          <w:lang w:val="en-GB"/>
        </w:rPr>
        <w:tab/>
      </w:r>
      <w:r>
        <w:rPr>
          <w:rFonts w:cs="Arial"/>
          <w:bCs/>
          <w:sz w:val="24"/>
          <w:highlight w:val="none"/>
          <w:lang w:val="en-GB"/>
        </w:rPr>
        <w:t xml:space="preserve">                                            </w:t>
      </w:r>
      <w:r>
        <w:rPr>
          <w:rFonts w:hint="eastAsia" w:cs="Arial"/>
          <w:bCs/>
          <w:sz w:val="24"/>
          <w:highlight w:val="none"/>
          <w:lang w:val="en-US" w:eastAsia="zh-CN"/>
        </w:rPr>
        <w:t xml:space="preserve">    </w:t>
      </w:r>
      <w:r>
        <w:rPr>
          <w:rFonts w:hint="eastAsia" w:cs="Arial"/>
          <w:bCs/>
          <w:sz w:val="24"/>
          <w:highlight w:val="none"/>
          <w:lang w:val="en-GB"/>
        </w:rPr>
        <w:t>RP-232219</w:t>
      </w:r>
    </w:p>
    <w:p>
      <w:pPr>
        <w:pStyle w:val="39"/>
        <w:rPr>
          <w:rFonts w:eastAsia="MS Mincho" w:cs="Arial"/>
          <w:bCs/>
          <w:sz w:val="24"/>
          <w:highlight w:val="none"/>
          <w:lang w:val="en-GB" w:eastAsia="ja-JP"/>
        </w:rPr>
      </w:pPr>
      <w:r>
        <w:rPr>
          <w:rFonts w:hint="eastAsia" w:cs="Arial"/>
          <w:bCs/>
          <w:sz w:val="24"/>
          <w:highlight w:val="none"/>
          <w:lang w:val="en-GB"/>
        </w:rPr>
        <w:t>Bangalore, India, September 11-15, 2023</w:t>
      </w:r>
    </w:p>
    <w:p>
      <w:pPr>
        <w:spacing w:after="60"/>
        <w:ind w:left="1985" w:hanging="1985"/>
        <w:rPr>
          <w:rFonts w:ascii="Arial" w:hAnsi="Arial" w:cs="Arial"/>
          <w:b/>
          <w:highlight w:val="none"/>
        </w:rPr>
      </w:pPr>
      <w:bookmarkStart w:id="0" w:name="_Hlk495298459"/>
    </w:p>
    <w:p>
      <w:pPr>
        <w:spacing w:after="60"/>
        <w:ind w:left="1985" w:hanging="1985"/>
        <w:rPr>
          <w:rFonts w:hint="default" w:ascii="Arial" w:hAnsi="Arial" w:cs="Arial"/>
          <w:b/>
          <w:sz w:val="22"/>
          <w:szCs w:val="22"/>
          <w:highlight w:val="none"/>
          <w:lang w:val="en-US" w:eastAsia="zh-CN"/>
        </w:rPr>
      </w:pPr>
      <w:r>
        <w:rPr>
          <w:rFonts w:ascii="Arial" w:hAnsi="Arial" w:cs="Arial"/>
          <w:b/>
          <w:sz w:val="22"/>
          <w:szCs w:val="22"/>
          <w:highlight w:val="none"/>
        </w:rPr>
        <w:t>Title:</w:t>
      </w:r>
      <w:r>
        <w:rPr>
          <w:rFonts w:ascii="Arial" w:hAnsi="Arial" w:cs="Arial"/>
          <w:b/>
          <w:sz w:val="22"/>
          <w:szCs w:val="22"/>
          <w:highlight w:val="none"/>
        </w:rPr>
        <w:tab/>
      </w:r>
      <w:r>
        <w:rPr>
          <w:rFonts w:hint="eastAsia" w:ascii="Arial" w:hAnsi="Arial" w:cs="Arial"/>
          <w:b/>
          <w:sz w:val="22"/>
          <w:szCs w:val="22"/>
          <w:highlight w:val="none"/>
          <w:lang w:val="en-US" w:eastAsia="zh-CN"/>
        </w:rPr>
        <w:t>Multiple carriers enhancement for R19</w:t>
      </w:r>
    </w:p>
    <w:p>
      <w:pPr>
        <w:spacing w:after="60"/>
        <w:ind w:left="1985" w:hanging="1985"/>
        <w:rPr>
          <w:rFonts w:hint="default" w:ascii="Arial" w:hAnsi="Arial" w:cs="Arial"/>
          <w:b/>
          <w:sz w:val="22"/>
          <w:szCs w:val="22"/>
          <w:highlight w:val="none"/>
          <w:lang w:val="en-US" w:eastAsia="zh-CN"/>
        </w:rPr>
      </w:pPr>
      <w:r>
        <w:rPr>
          <w:rFonts w:ascii="Arial" w:hAnsi="Arial" w:cs="Arial"/>
          <w:b/>
          <w:sz w:val="22"/>
          <w:szCs w:val="22"/>
          <w:highlight w:val="none"/>
        </w:rPr>
        <w:t>Agenda item:</w:t>
      </w:r>
      <w:r>
        <w:rPr>
          <w:rFonts w:ascii="Arial" w:hAnsi="Arial" w:cs="Arial"/>
          <w:b/>
          <w:sz w:val="22"/>
          <w:szCs w:val="22"/>
          <w:highlight w:val="none"/>
        </w:rPr>
        <w:tab/>
      </w:r>
      <w:r>
        <w:rPr>
          <w:rFonts w:hint="default" w:ascii="Arial" w:hAnsi="Arial" w:cs="Arial"/>
          <w:b/>
          <w:sz w:val="22"/>
          <w:szCs w:val="22"/>
          <w:highlight w:val="none"/>
          <w:lang w:val="en-US" w:eastAsia="zh-CN"/>
        </w:rPr>
        <w:t>8A.2.12.2</w:t>
      </w:r>
    </w:p>
    <w:p>
      <w:pPr>
        <w:spacing w:after="60"/>
        <w:ind w:left="1985" w:hanging="1985"/>
        <w:rPr>
          <w:rFonts w:ascii="Arial" w:hAnsi="Arial" w:cs="Arial"/>
          <w:b/>
          <w:sz w:val="22"/>
          <w:szCs w:val="22"/>
          <w:highlight w:val="none"/>
          <w:lang w:eastAsia="zh-CN"/>
        </w:rPr>
      </w:pPr>
      <w:r>
        <w:rPr>
          <w:rFonts w:ascii="Arial" w:hAnsi="Arial" w:cs="Arial"/>
          <w:b/>
          <w:sz w:val="22"/>
          <w:szCs w:val="22"/>
          <w:highlight w:val="none"/>
        </w:rPr>
        <w:t>Source:</w:t>
      </w:r>
      <w:r>
        <w:rPr>
          <w:rFonts w:ascii="Arial" w:hAnsi="Arial" w:cs="Arial"/>
          <w:b/>
          <w:sz w:val="22"/>
          <w:szCs w:val="22"/>
          <w:highlight w:val="none"/>
        </w:rPr>
        <w:tab/>
      </w:r>
      <w:r>
        <w:rPr>
          <w:rFonts w:ascii="Arial" w:hAnsi="Arial" w:cs="Arial"/>
          <w:b/>
          <w:sz w:val="22"/>
          <w:szCs w:val="22"/>
          <w:highlight w:val="none"/>
          <w:lang w:eastAsia="zh-CN"/>
        </w:rPr>
        <w:t>CMCC</w:t>
      </w:r>
    </w:p>
    <w:p>
      <w:pPr>
        <w:spacing w:after="60"/>
        <w:ind w:left="1985" w:hanging="1985"/>
        <w:rPr>
          <w:rFonts w:ascii="Arial" w:hAnsi="Arial" w:cs="Arial"/>
          <w:b/>
          <w:sz w:val="22"/>
          <w:szCs w:val="22"/>
          <w:highlight w:val="none"/>
        </w:rPr>
      </w:pPr>
      <w:r>
        <w:rPr>
          <w:rFonts w:ascii="Arial" w:hAnsi="Arial" w:cs="Arial"/>
          <w:b/>
          <w:sz w:val="22"/>
          <w:szCs w:val="22"/>
          <w:highlight w:val="none"/>
        </w:rPr>
        <w:t>Document for:</w:t>
      </w:r>
      <w:r>
        <w:rPr>
          <w:rFonts w:ascii="Arial" w:hAnsi="Arial" w:cs="Arial"/>
          <w:b/>
          <w:sz w:val="22"/>
          <w:szCs w:val="22"/>
          <w:highlight w:val="none"/>
        </w:rPr>
        <w:tab/>
      </w:r>
      <w:r>
        <w:rPr>
          <w:rFonts w:ascii="Arial" w:hAnsi="Arial" w:cs="Arial"/>
          <w:b/>
          <w:sz w:val="22"/>
          <w:szCs w:val="22"/>
          <w:highlight w:val="none"/>
        </w:rPr>
        <w:t>Discussion</w:t>
      </w:r>
      <w:bookmarkEnd w:id="0"/>
    </w:p>
    <w:p>
      <w:pPr>
        <w:pStyle w:val="2"/>
        <w:rPr>
          <w:highlight w:val="none"/>
          <w:lang w:eastAsia="zh-CN"/>
        </w:rPr>
      </w:pPr>
      <w:r>
        <w:rPr>
          <w:rFonts w:hint="eastAsia"/>
          <w:highlight w:val="none"/>
          <w:lang w:eastAsia="zh-CN"/>
        </w:rPr>
        <w:t>Introduction</w:t>
      </w:r>
    </w:p>
    <w:p>
      <w:pPr>
        <w:rPr>
          <w:rFonts w:hint="default"/>
          <w:highlight w:val="none"/>
          <w:lang w:val="en-US"/>
        </w:rPr>
      </w:pPr>
      <w:r>
        <w:rPr>
          <w:rFonts w:hint="default"/>
          <w:highlight w:val="none"/>
          <w:lang w:val="en-US"/>
        </w:rPr>
        <w:t>Multiple carriers schemes are treated as efficient ways to increase user throughput and improve coverage, and have been introduce to LTE and NR. In additional to those features inherited from LTE, NR has extended the multiple carrier scheme to provide more flexible functions, such as UL switching, fast activation/deactivation of Scell, cross scheduling from SCell, multi-cell scheduling from single DCI etc, to improve transmi</w:t>
      </w:r>
      <w:r>
        <w:rPr>
          <w:rFonts w:hint="eastAsia"/>
          <w:highlight w:val="none"/>
          <w:lang w:val="en-US" w:eastAsia="zh-CN"/>
        </w:rPr>
        <w:t>ssion</w:t>
      </w:r>
      <w:r>
        <w:rPr>
          <w:rFonts w:hint="default"/>
          <w:highlight w:val="none"/>
          <w:lang w:val="en-US"/>
        </w:rPr>
        <w:t xml:space="preserve"> quality, spectrum efficiency and reduce scheduling overhead. </w:t>
      </w:r>
    </w:p>
    <w:p>
      <w:pPr>
        <w:rPr>
          <w:rFonts w:hint="default" w:eastAsia="宋体"/>
          <w:highlight w:val="none"/>
          <w:lang w:val="en-US" w:eastAsia="zh-CN"/>
        </w:rPr>
      </w:pPr>
      <w:r>
        <w:rPr>
          <w:rFonts w:hint="eastAsia"/>
          <w:highlight w:val="none"/>
          <w:lang w:val="en-US" w:eastAsia="zh-CN"/>
        </w:rPr>
        <w:t>In this contribution, we discuss the motivation of a more general framework for multiple carriers transmission to reduce multi-cell management overhead, the SUL enhancement and multi-UE scheduling for more efficient spectrum utilization.</w:t>
      </w:r>
    </w:p>
    <w:p>
      <w:pPr>
        <w:pStyle w:val="2"/>
        <w:rPr>
          <w:highlight w:val="none"/>
        </w:rPr>
      </w:pPr>
      <w:r>
        <w:rPr>
          <w:rFonts w:hint="eastAsia"/>
          <w:highlight w:val="none"/>
          <w:lang w:val="en-US" w:eastAsia="zh-CN"/>
        </w:rPr>
        <w:t>General framework enhancement for multiple carriers transmission</w:t>
      </w:r>
    </w:p>
    <w:p>
      <w:pPr>
        <w:pStyle w:val="3"/>
        <w:bidi w:val="0"/>
        <w:rPr>
          <w:rFonts w:hint="default" w:ascii="Times New Roman" w:hAnsi="Times New Roman" w:eastAsia="SimSun-ExtB" w:cs="Times New Roman"/>
          <w:highlight w:val="none"/>
        </w:rPr>
      </w:pPr>
      <w:r>
        <w:rPr>
          <w:rFonts w:hint="default" w:ascii="Times New Roman" w:hAnsi="Times New Roman" w:eastAsia="SimSun-ExtB" w:cs="Times New Roman"/>
          <w:highlight w:val="none"/>
        </w:rPr>
        <w:t xml:space="preserve">Motivation </w:t>
      </w:r>
      <w:r>
        <w:rPr>
          <w:rFonts w:hint="default" w:ascii="Times New Roman" w:hAnsi="Times New Roman" w:eastAsia="SimSun-ExtB" w:cs="Times New Roman"/>
          <w:highlight w:val="none"/>
          <w:lang w:val="en-US"/>
        </w:rPr>
        <w:t xml:space="preserve">for enhancement of </w:t>
      </w:r>
      <w:r>
        <w:rPr>
          <w:rFonts w:hint="default" w:ascii="Times New Roman" w:hAnsi="Times New Roman" w:eastAsia="SimSun-ExtB" w:cs="Times New Roman"/>
          <w:highlight w:val="none"/>
          <w:lang w:val="en-US" w:eastAsia="zh-CN"/>
        </w:rPr>
        <w:t xml:space="preserve">current </w:t>
      </w:r>
      <w:r>
        <w:rPr>
          <w:rFonts w:hint="default" w:ascii="Times New Roman" w:hAnsi="Times New Roman" w:eastAsia="SimSun-ExtB" w:cs="Times New Roman"/>
          <w:highlight w:val="none"/>
          <w:lang w:val="en-US"/>
        </w:rPr>
        <w:t>multi-carrier schemes</w:t>
      </w:r>
    </w:p>
    <w:p>
      <w:pPr>
        <w:rPr>
          <w:rFonts w:hint="default"/>
          <w:highlight w:val="none"/>
          <w:lang w:val="en-US"/>
        </w:rPr>
      </w:pPr>
      <w:r>
        <w:rPr>
          <w:rFonts w:hint="default" w:eastAsiaTheme="minorEastAsia"/>
          <w:highlight w:val="none"/>
          <w:lang w:val="en-US" w:eastAsia="zh-CN"/>
        </w:rPr>
        <w:t>T</w:t>
      </w:r>
      <w:r>
        <w:rPr>
          <w:rFonts w:eastAsiaTheme="minorEastAsia"/>
          <w:highlight w:val="none"/>
          <w:lang w:eastAsia="zh-CN"/>
        </w:rPr>
        <w:t xml:space="preserve">o meet the high data rate requirement of NR, wide bandwidth is desired, by aggregating multiple non-continuous carriers with small bandwidth or by using single continuous large bandwidth. It is more practical for FR1 to use the former method to achieve wide bandwidth. </w:t>
      </w:r>
      <w:r>
        <w:rPr>
          <w:rFonts w:hint="default" w:eastAsiaTheme="minorEastAsia"/>
          <w:highlight w:val="none"/>
          <w:lang w:val="en-US" w:eastAsia="zh-CN"/>
        </w:rPr>
        <w:t>So multiple carriers operation will be important for FR1 to provide high throughput of UE. But current multiple carriers schemes have the following drawbacks.</w:t>
      </w:r>
    </w:p>
    <w:p>
      <w:pPr>
        <w:numPr>
          <w:ilvl w:val="0"/>
          <w:numId w:val="9"/>
        </w:numPr>
        <w:ind w:left="420" w:leftChars="0" w:hanging="420" w:firstLineChars="0"/>
        <w:rPr>
          <w:rFonts w:eastAsiaTheme="minorEastAsia"/>
          <w:highlight w:val="none"/>
          <w:lang w:eastAsia="zh-CN"/>
        </w:rPr>
      </w:pPr>
      <w:r>
        <w:rPr>
          <w:rFonts w:hint="default" w:eastAsiaTheme="minorEastAsia"/>
          <w:b/>
          <w:bCs/>
          <w:highlight w:val="none"/>
          <w:lang w:val="en-US" w:eastAsia="zh-CN"/>
        </w:rPr>
        <w:t>Lack of general multi-carrier architecture to achieve efficient IDLE/INACTIVE UEs mode offloading and IDLE/INACTIVE UEs mode carrier selection flexibility</w:t>
      </w:r>
      <w:r>
        <w:rPr>
          <w:rFonts w:hint="default" w:eastAsiaTheme="minorEastAsia"/>
          <w:highlight w:val="none"/>
          <w:lang w:val="en-US" w:eastAsia="zh-CN"/>
        </w:rPr>
        <w:t xml:space="preserve">. </w:t>
      </w:r>
      <w:r>
        <w:rPr>
          <w:rFonts w:eastAsiaTheme="minorEastAsia"/>
          <w:highlight w:val="none"/>
          <w:lang w:eastAsia="zh-CN"/>
        </w:rPr>
        <w:t xml:space="preserve"> </w:t>
      </w:r>
    </w:p>
    <w:p>
      <w:pPr>
        <w:rPr>
          <w:rFonts w:hint="default" w:eastAsiaTheme="minorEastAsia"/>
          <w:highlight w:val="none"/>
          <w:lang w:val="en-US" w:eastAsia="zh-CN"/>
        </w:rPr>
      </w:pPr>
      <w:r>
        <w:rPr>
          <w:rFonts w:hint="default" w:eastAsiaTheme="minorEastAsia"/>
          <w:highlight w:val="none"/>
          <w:lang w:val="en-US" w:eastAsia="zh-CN"/>
        </w:rPr>
        <w:t xml:space="preserve">Current </w:t>
      </w:r>
      <w:r>
        <w:rPr>
          <w:rFonts w:eastAsiaTheme="minorEastAsia"/>
          <w:highlight w:val="none"/>
          <w:lang w:eastAsia="zh-CN"/>
        </w:rPr>
        <w:t>CA</w:t>
      </w:r>
      <w:r>
        <w:rPr>
          <w:rFonts w:hint="default" w:eastAsiaTheme="minorEastAsia"/>
          <w:highlight w:val="none"/>
          <w:lang w:val="en-US" w:eastAsia="zh-CN"/>
        </w:rPr>
        <w:t xml:space="preserve"> scheme</w:t>
      </w:r>
      <w:r>
        <w:rPr>
          <w:rFonts w:eastAsiaTheme="minorEastAsia"/>
          <w:highlight w:val="none"/>
          <w:lang w:eastAsia="zh-CN"/>
        </w:rPr>
        <w:t xml:space="preserve"> increases both uplink and downlink user throughput by aggregating at least 2 carriers for UEs</w:t>
      </w:r>
      <w:r>
        <w:rPr>
          <w:rFonts w:hint="default" w:eastAsiaTheme="minorEastAsia"/>
          <w:highlight w:val="none"/>
          <w:lang w:val="en-US" w:eastAsia="zh-CN"/>
        </w:rPr>
        <w:t>, but it is only applied to</w:t>
      </w:r>
      <w:r>
        <w:rPr>
          <w:rFonts w:eastAsiaTheme="minorEastAsia"/>
          <w:highlight w:val="none"/>
          <w:lang w:eastAsia="zh-CN"/>
        </w:rPr>
        <w:t xml:space="preserve"> </w:t>
      </w:r>
      <w:r>
        <w:rPr>
          <w:rFonts w:hint="default" w:eastAsiaTheme="minorEastAsia"/>
          <w:highlight w:val="none"/>
          <w:lang w:val="en-US" w:eastAsia="zh-CN"/>
        </w:rPr>
        <w:t xml:space="preserve">RRC </w:t>
      </w:r>
      <w:r>
        <w:rPr>
          <w:rFonts w:eastAsiaTheme="minorEastAsia"/>
          <w:highlight w:val="none"/>
          <w:lang w:eastAsia="zh-CN"/>
        </w:rPr>
        <w:t>connected mode</w:t>
      </w:r>
      <w:r>
        <w:rPr>
          <w:rFonts w:hint="default" w:eastAsiaTheme="minorEastAsia"/>
          <w:highlight w:val="none"/>
          <w:lang w:val="en-US" w:eastAsia="zh-CN"/>
        </w:rPr>
        <w:t>.</w:t>
      </w:r>
      <w:r>
        <w:rPr>
          <w:rFonts w:eastAsiaTheme="minorEastAsia"/>
          <w:highlight w:val="none"/>
          <w:lang w:eastAsia="zh-CN"/>
        </w:rPr>
        <w:t xml:space="preserve"> </w:t>
      </w:r>
      <w:r>
        <w:rPr>
          <w:rFonts w:hint="default" w:eastAsiaTheme="minorEastAsia"/>
          <w:highlight w:val="none"/>
          <w:lang w:val="en-US" w:eastAsia="zh-CN"/>
        </w:rPr>
        <w:t>S</w:t>
      </w:r>
      <w:r>
        <w:rPr>
          <w:rFonts w:hint="eastAsia" w:eastAsiaTheme="minorEastAsia"/>
          <w:highlight w:val="none"/>
          <w:lang w:eastAsia="zh-CN"/>
        </w:rPr>
        <w:t>upplementary uplink</w:t>
      </w:r>
      <w:r>
        <w:rPr>
          <w:rFonts w:eastAsiaTheme="minorEastAsia"/>
          <w:highlight w:val="none"/>
          <w:lang w:eastAsia="zh-CN"/>
        </w:rPr>
        <w:t xml:space="preserve"> operating on lower frequency band is introduced to complement coverage of paired or unpaired NR systems from initial access</w:t>
      </w:r>
      <w:r>
        <w:rPr>
          <w:rFonts w:hint="default" w:eastAsiaTheme="minorEastAsia"/>
          <w:highlight w:val="none"/>
          <w:lang w:val="en-US" w:eastAsia="zh-CN"/>
        </w:rPr>
        <w:t>, but limited to only one SUL band</w:t>
      </w:r>
      <w:r>
        <w:rPr>
          <w:rFonts w:eastAsiaTheme="minorEastAsia"/>
          <w:highlight w:val="none"/>
          <w:lang w:eastAsia="zh-CN"/>
        </w:rPr>
        <w:t>.</w:t>
      </w:r>
      <w:r>
        <w:rPr>
          <w:rFonts w:hint="eastAsia" w:eastAsiaTheme="minorEastAsia"/>
          <w:highlight w:val="none"/>
          <w:lang w:eastAsia="zh-CN"/>
        </w:rPr>
        <w:t xml:space="preserve"> </w:t>
      </w:r>
      <w:r>
        <w:rPr>
          <w:rFonts w:eastAsiaTheme="minorEastAsia"/>
          <w:highlight w:val="none"/>
          <w:lang w:eastAsia="zh-CN"/>
        </w:rPr>
        <w:t xml:space="preserve">Currently, </w:t>
      </w:r>
      <w:r>
        <w:rPr>
          <w:rFonts w:hint="default" w:eastAsiaTheme="minorEastAsia"/>
          <w:highlight w:val="none"/>
          <w:lang w:val="en-US" w:eastAsia="zh-CN"/>
        </w:rPr>
        <w:t xml:space="preserve">offloading is realized in the way that </w:t>
      </w:r>
      <w:r>
        <w:rPr>
          <w:rFonts w:eastAsiaTheme="minorEastAsia"/>
          <w:highlight w:val="none"/>
          <w:lang w:eastAsia="zh-CN"/>
        </w:rPr>
        <w:t>UE chooses a cell to camp on according to frequency priority, and offloading can only be realized by handover. In this case, it cannot help to solve congestion during initial access</w:t>
      </w:r>
      <w:r>
        <w:rPr>
          <w:rFonts w:hint="default" w:eastAsiaTheme="minorEastAsia"/>
          <w:highlight w:val="none"/>
          <w:lang w:val="en-US" w:eastAsia="zh-CN"/>
        </w:rPr>
        <w:t>, and h</w:t>
      </w:r>
      <w:r>
        <w:rPr>
          <w:rFonts w:eastAsiaTheme="minorEastAsia"/>
          <w:highlight w:val="none"/>
          <w:lang w:eastAsia="zh-CN"/>
        </w:rPr>
        <w:t xml:space="preserve">andover signaling due to offloading also brings a lot of system overhead. </w:t>
      </w:r>
      <w:r>
        <w:rPr>
          <w:rFonts w:hint="default" w:eastAsiaTheme="minorEastAsia"/>
          <w:highlight w:val="none"/>
          <w:lang w:val="en-US" w:eastAsia="zh-CN"/>
        </w:rPr>
        <w:t xml:space="preserve">It also means UE can only choose PCell for initial access and flexible carrier selection can not be realized well. </w:t>
      </w:r>
    </w:p>
    <w:p>
      <w:pPr>
        <w:numPr>
          <w:ilvl w:val="0"/>
          <w:numId w:val="9"/>
        </w:numPr>
        <w:ind w:left="420" w:leftChars="0" w:hanging="420" w:firstLineChars="0"/>
        <w:rPr>
          <w:rFonts w:hint="default" w:eastAsiaTheme="minorEastAsia"/>
          <w:b/>
          <w:bCs/>
          <w:highlight w:val="none"/>
          <w:lang w:val="en-US" w:eastAsia="zh-CN"/>
        </w:rPr>
      </w:pPr>
      <w:r>
        <w:rPr>
          <w:rFonts w:hint="default" w:eastAsiaTheme="minorEastAsia"/>
          <w:b/>
          <w:bCs/>
          <w:highlight w:val="none"/>
          <w:lang w:val="en-US" w:eastAsia="zh-CN"/>
        </w:rPr>
        <w:t xml:space="preserve">Cell management overhead is high due to multiple cells operation of current CA framework. </w:t>
      </w:r>
    </w:p>
    <w:p>
      <w:pPr>
        <w:numPr>
          <w:ilvl w:val="0"/>
          <w:numId w:val="0"/>
        </w:numPr>
        <w:ind w:leftChars="0"/>
        <w:rPr>
          <w:rFonts w:eastAsiaTheme="minorEastAsia"/>
          <w:highlight w:val="none"/>
          <w:lang w:eastAsia="zh-CN"/>
        </w:rPr>
      </w:pPr>
      <w:r>
        <w:rPr>
          <w:rFonts w:eastAsiaTheme="minorEastAsia"/>
          <w:highlight w:val="none"/>
          <w:lang w:eastAsia="zh-CN"/>
        </w:rPr>
        <w:t xml:space="preserve">For example, there </w:t>
      </w:r>
      <w:r>
        <w:rPr>
          <w:rFonts w:hint="default" w:eastAsiaTheme="minorEastAsia"/>
          <w:highlight w:val="none"/>
          <w:lang w:val="en-US" w:eastAsia="zh-CN"/>
        </w:rPr>
        <w:t>may</w:t>
      </w:r>
      <w:r>
        <w:rPr>
          <w:rFonts w:eastAsiaTheme="minorEastAsia"/>
          <w:highlight w:val="none"/>
          <w:lang w:eastAsia="zh-CN"/>
        </w:rPr>
        <w:t xml:space="preserve"> be some carriers re-farmed from LTE, as shown in figure.1, the bandwidth may vary from less than 20MHz to 50MHz or even larger. These carriers with small bandwidth can be continuous or non-continuous, if they are all managed as independent cells, </w:t>
      </w:r>
      <w:r>
        <w:rPr>
          <w:rFonts w:hint="default" w:eastAsiaTheme="minorEastAsia"/>
          <w:highlight w:val="none"/>
          <w:lang w:val="en-US" w:eastAsia="zh-CN"/>
        </w:rPr>
        <w:t xml:space="preserve">handover between cells or SCell addition/release will involve lot of RRC reconfiguration signaling, so </w:t>
      </w:r>
      <w:r>
        <w:rPr>
          <w:rFonts w:eastAsiaTheme="minorEastAsia"/>
          <w:highlight w:val="none"/>
          <w:lang w:eastAsia="zh-CN"/>
        </w:rPr>
        <w:t xml:space="preserve">the spectrum utilization efficiency will be low </w:t>
      </w:r>
      <w:r>
        <w:rPr>
          <w:rFonts w:hint="eastAsia" w:eastAsiaTheme="minorEastAsia"/>
          <w:highlight w:val="none"/>
          <w:lang w:eastAsia="zh-CN"/>
        </w:rPr>
        <w:t>du</w:t>
      </w:r>
      <w:r>
        <w:rPr>
          <w:rFonts w:eastAsiaTheme="minorEastAsia"/>
          <w:highlight w:val="none"/>
          <w:lang w:eastAsia="zh-CN"/>
        </w:rPr>
        <w:t xml:space="preserve">e to large cell management overhead on </w:t>
      </w:r>
      <w:r>
        <w:rPr>
          <w:rFonts w:hint="default" w:eastAsiaTheme="minorEastAsia"/>
          <w:highlight w:val="none"/>
          <w:lang w:val="en-US" w:eastAsia="zh-CN"/>
        </w:rPr>
        <w:t xml:space="preserve">these </w:t>
      </w:r>
      <w:r>
        <w:rPr>
          <w:rFonts w:hint="eastAsia" w:eastAsiaTheme="minorEastAsia"/>
          <w:highlight w:val="none"/>
          <w:lang w:eastAsia="zh-CN"/>
        </w:rPr>
        <w:t>precious low frequency bands</w:t>
      </w:r>
      <w:r>
        <w:rPr>
          <w:rFonts w:eastAsiaTheme="minorEastAsia"/>
          <w:highlight w:val="none"/>
          <w:lang w:eastAsia="zh-CN"/>
        </w:rPr>
        <w:t>.</w:t>
      </w:r>
    </w:p>
    <w:p>
      <w:pPr>
        <w:jc w:val="center"/>
        <w:rPr>
          <w:rFonts w:eastAsiaTheme="minorEastAsia"/>
          <w:highlight w:val="none"/>
          <w:lang w:eastAsia="zh-CN"/>
        </w:rPr>
      </w:pPr>
      <w:r>
        <w:rPr>
          <w:highlight w:val="none"/>
          <w:lang w:val="en-US" w:eastAsia="zh-CN"/>
        </w:rPr>
        <w:drawing>
          <wp:inline distT="0" distB="0" distL="0" distR="0">
            <wp:extent cx="3185160" cy="10375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194919" cy="1040925"/>
                    </a:xfrm>
                    <a:prstGeom prst="rect">
                      <a:avLst/>
                    </a:prstGeom>
                    <a:noFill/>
                    <a:ln>
                      <a:noFill/>
                    </a:ln>
                  </pic:spPr>
                </pic:pic>
              </a:graphicData>
            </a:graphic>
          </wp:inline>
        </w:drawing>
      </w:r>
    </w:p>
    <w:p>
      <w:pPr>
        <w:jc w:val="center"/>
        <w:rPr>
          <w:rFonts w:eastAsiaTheme="minorEastAsia"/>
          <w:highlight w:val="none"/>
          <w:lang w:eastAsia="zh-CN"/>
        </w:rPr>
      </w:pPr>
      <w:r>
        <w:rPr>
          <w:rFonts w:eastAsiaTheme="minorEastAsia"/>
          <w:highlight w:val="none"/>
          <w:lang w:eastAsia="zh-CN"/>
        </w:rPr>
        <w:t>F</w:t>
      </w:r>
      <w:r>
        <w:rPr>
          <w:rFonts w:hint="eastAsia" w:eastAsiaTheme="minorEastAsia"/>
          <w:highlight w:val="none"/>
          <w:lang w:eastAsia="zh-CN"/>
        </w:rPr>
        <w:t>i</w:t>
      </w:r>
      <w:r>
        <w:rPr>
          <w:rFonts w:eastAsiaTheme="minorEastAsia"/>
          <w:highlight w:val="none"/>
          <w:lang w:eastAsia="zh-CN"/>
        </w:rPr>
        <w:t>gure.1 example of re-farmed LTE spectrum</w:t>
      </w:r>
    </w:p>
    <w:p>
      <w:pPr>
        <w:jc w:val="left"/>
        <w:rPr>
          <w:rFonts w:hint="default" w:eastAsiaTheme="minorEastAsia"/>
          <w:highlight w:val="none"/>
          <w:lang w:val="en-US" w:eastAsia="zh-CN"/>
        </w:rPr>
      </w:pPr>
      <w:r>
        <w:rPr>
          <w:rFonts w:hint="default" w:eastAsiaTheme="minorEastAsia"/>
          <w:highlight w:val="none"/>
          <w:lang w:val="en-US" w:eastAsia="zh-CN"/>
        </w:rPr>
        <w:t>Therefore, enhancements are needed to overcome the above shortcomings, and to provide more a more flexible and efficient multiple frequency resource operation.</w:t>
      </w:r>
    </w:p>
    <w:p>
      <w:pPr>
        <w:jc w:val="left"/>
        <w:rPr>
          <w:rFonts w:hint="default" w:ascii="Arial" w:hAnsi="Arial"/>
          <w:highlight w:val="none"/>
          <w:lang w:val="en-US" w:eastAsia="zh-CN"/>
        </w:rPr>
      </w:pPr>
      <w:r>
        <w:rPr>
          <w:rFonts w:hint="default" w:eastAsiaTheme="minorEastAsia"/>
          <w:b/>
          <w:bCs/>
          <w:highlight w:val="none"/>
          <w:lang w:val="en-US" w:eastAsia="zh-CN"/>
        </w:rPr>
        <w:t>Observation: Enhancements to multi-carrier operation is needed to provide efficient and flexible IDLE/INACTIVE UEs mode multiple carrier operation and to reduce cell management overhead of existing CA framework.</w:t>
      </w:r>
    </w:p>
    <w:p>
      <w:pPr>
        <w:pStyle w:val="3"/>
        <w:bidi w:val="0"/>
        <w:ind w:left="0" w:firstLine="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Discussion of frequency combination based elastic cell</w:t>
      </w:r>
    </w:p>
    <w:p>
      <w:pPr>
        <w:tabs>
          <w:tab w:val="left" w:pos="3400"/>
        </w:tabs>
        <w:rPr>
          <w:rFonts w:eastAsiaTheme="minorEastAsia"/>
          <w:highlight w:val="none"/>
          <w:lang w:eastAsia="zh-CN"/>
        </w:rPr>
      </w:pPr>
      <w:r>
        <w:rPr>
          <w:rFonts w:eastAsiaTheme="minorEastAsia"/>
          <w:highlight w:val="none"/>
          <w:lang w:eastAsia="zh-CN"/>
        </w:rPr>
        <w:t>To realize</w:t>
      </w:r>
      <w:r>
        <w:rPr>
          <w:rFonts w:hint="eastAsia" w:eastAsiaTheme="minorEastAsia"/>
          <w:highlight w:val="none"/>
          <w:lang w:eastAsia="zh-CN"/>
        </w:rPr>
        <w:t xml:space="preserve"> efficient and flexible IDLE/INACTIVE mode multiple carrier operation</w:t>
      </w:r>
      <w:r>
        <w:rPr>
          <w:rFonts w:hint="default" w:eastAsiaTheme="minorEastAsia"/>
          <w:highlight w:val="none"/>
          <w:lang w:val="en-US" w:eastAsia="zh-CN"/>
        </w:rPr>
        <w:t>,</w:t>
      </w:r>
      <w:r>
        <w:rPr>
          <w:rFonts w:hint="eastAsia" w:eastAsiaTheme="minorEastAsia"/>
          <w:highlight w:val="none"/>
          <w:lang w:eastAsia="zh-CN"/>
        </w:rPr>
        <w:t xml:space="preserve"> and </w:t>
      </w:r>
      <w:r>
        <w:rPr>
          <w:rFonts w:hint="default" w:eastAsiaTheme="minorEastAsia"/>
          <w:highlight w:val="none"/>
          <w:lang w:val="en-US" w:eastAsia="zh-CN"/>
        </w:rPr>
        <w:t>at the same time, to</w:t>
      </w:r>
      <w:r>
        <w:rPr>
          <w:rFonts w:hint="eastAsia" w:eastAsiaTheme="minorEastAsia"/>
          <w:highlight w:val="none"/>
          <w:lang w:eastAsia="zh-CN"/>
        </w:rPr>
        <w:t xml:space="preserve"> reduce cell management overhead of existing CA framework</w:t>
      </w:r>
      <w:r>
        <w:rPr>
          <w:rFonts w:eastAsiaTheme="minorEastAsia"/>
          <w:highlight w:val="none"/>
          <w:lang w:eastAsia="zh-CN"/>
        </w:rPr>
        <w:t>, different frequency resources, regardless of intra-band, or inter-band, can be configured in a cell, named frequency combination based elastic cell. The elastic cell has the following characteristics,</w:t>
      </w:r>
    </w:p>
    <w:p>
      <w:pPr>
        <w:pStyle w:val="113"/>
        <w:numPr>
          <w:ilvl w:val="0"/>
          <w:numId w:val="10"/>
        </w:numPr>
        <w:rPr>
          <w:rFonts w:eastAsiaTheme="minorEastAsia"/>
          <w:highlight w:val="none"/>
          <w:lang w:eastAsia="zh-CN"/>
        </w:rPr>
      </w:pPr>
      <w:r>
        <w:rPr>
          <w:rFonts w:hint="default" w:eastAsiaTheme="minorEastAsia"/>
          <w:highlight w:val="none"/>
          <w:lang w:val="en-US" w:eastAsia="zh-CN"/>
        </w:rPr>
        <w:t xml:space="preserve">The multiple frequency resources are deployed co-located, they can be </w:t>
      </w:r>
      <w:r>
        <w:rPr>
          <w:rFonts w:eastAsiaTheme="minorEastAsia"/>
          <w:highlight w:val="none"/>
          <w:lang w:eastAsia="zh-CN"/>
        </w:rPr>
        <w:t>intra-band or inter-band</w:t>
      </w:r>
      <w:r>
        <w:rPr>
          <w:rFonts w:hint="default" w:eastAsiaTheme="minorEastAsia"/>
          <w:highlight w:val="none"/>
          <w:lang w:val="en-US" w:eastAsia="zh-CN"/>
        </w:rPr>
        <w:t xml:space="preserve"> resources.</w:t>
      </w:r>
    </w:p>
    <w:p>
      <w:pPr>
        <w:pStyle w:val="113"/>
        <w:numPr>
          <w:ilvl w:val="0"/>
          <w:numId w:val="10"/>
        </w:numPr>
        <w:rPr>
          <w:rFonts w:eastAsiaTheme="minorEastAsia"/>
          <w:highlight w:val="none"/>
          <w:lang w:eastAsia="zh-CN"/>
        </w:rPr>
      </w:pPr>
      <w:r>
        <w:rPr>
          <w:rFonts w:eastAsiaTheme="minorEastAsia"/>
          <w:highlight w:val="none"/>
          <w:lang w:eastAsia="zh-CN"/>
        </w:rPr>
        <w:t>System information can be broadcast only on one of the multiple frequency resources, i.e., so called anchor frequency resource,  and one or more non</w:t>
      </w:r>
      <w:r>
        <w:rPr>
          <w:rFonts w:hint="default" w:eastAsiaTheme="minorEastAsia"/>
          <w:highlight w:val="none"/>
          <w:lang w:val="en-US" w:eastAsia="zh-CN"/>
        </w:rPr>
        <w:t>-</w:t>
      </w:r>
      <w:r>
        <w:rPr>
          <w:rFonts w:eastAsiaTheme="minorEastAsia"/>
          <w:highlight w:val="none"/>
          <w:lang w:eastAsia="zh-CN"/>
        </w:rPr>
        <w:t xml:space="preserve">anchor frequency resources can be visible and </w:t>
      </w:r>
      <w:r>
        <w:rPr>
          <w:rFonts w:hint="default" w:eastAsiaTheme="minorEastAsia"/>
          <w:highlight w:val="none"/>
          <w:lang w:val="en-US" w:eastAsia="zh-CN"/>
        </w:rPr>
        <w:t>accessed</w:t>
      </w:r>
      <w:r>
        <w:rPr>
          <w:rFonts w:eastAsiaTheme="minorEastAsia"/>
          <w:highlight w:val="none"/>
          <w:lang w:eastAsia="zh-CN"/>
        </w:rPr>
        <w:t xml:space="preserve"> by UE , both anchor and non-anchor frequency resource can be selected by UE for initial access and data transmission. </w:t>
      </w:r>
    </w:p>
    <w:p>
      <w:pPr>
        <w:pStyle w:val="113"/>
        <w:numPr>
          <w:ilvl w:val="0"/>
          <w:numId w:val="10"/>
        </w:numPr>
        <w:rPr>
          <w:rFonts w:eastAsiaTheme="minorEastAsia"/>
          <w:highlight w:val="none"/>
          <w:lang w:eastAsia="zh-CN"/>
        </w:rPr>
      </w:pPr>
      <w:r>
        <w:rPr>
          <w:rFonts w:hint="default" w:eastAsiaTheme="minorEastAsia"/>
          <w:highlight w:val="none"/>
          <w:lang w:val="en-US" w:eastAsia="zh-CN"/>
        </w:rPr>
        <w:t xml:space="preserve">SSB transmission on non-anchor cell can be configured by anchor frequency resource, e.g. non-anchor frequency resource can be configured with SSB-less or long SSB periodicity to reduce SSB overhead, UE can access non-anchor cell with less SSB overhead than current default SSB periodicity. </w:t>
      </w:r>
    </w:p>
    <w:p>
      <w:pPr>
        <w:pStyle w:val="113"/>
        <w:numPr>
          <w:ilvl w:val="0"/>
          <w:numId w:val="10"/>
        </w:numPr>
        <w:rPr>
          <w:rFonts w:eastAsiaTheme="minorEastAsia"/>
          <w:highlight w:val="none"/>
          <w:lang w:eastAsia="zh-CN"/>
        </w:rPr>
      </w:pPr>
      <w:r>
        <w:rPr>
          <w:rFonts w:eastAsiaTheme="minorEastAsia"/>
          <w:highlight w:val="none"/>
          <w:lang w:eastAsia="zh-CN"/>
        </w:rPr>
        <w:t>Idle/inactive UEs only need to monitor paging on anchor frequency resource.</w:t>
      </w:r>
    </w:p>
    <w:p>
      <w:pPr>
        <w:pStyle w:val="113"/>
        <w:numPr>
          <w:ilvl w:val="0"/>
          <w:numId w:val="10"/>
        </w:numPr>
        <w:rPr>
          <w:rFonts w:eastAsiaTheme="minorEastAsia"/>
          <w:highlight w:val="none"/>
          <w:lang w:eastAsia="zh-CN"/>
        </w:rPr>
      </w:pPr>
      <w:r>
        <w:rPr>
          <w:rFonts w:eastAsiaTheme="minorEastAsia"/>
          <w:highlight w:val="none"/>
          <w:lang w:eastAsia="zh-CN"/>
        </w:rPr>
        <w:t xml:space="preserve">For connected mode, </w:t>
      </w:r>
      <w:r>
        <w:rPr>
          <w:rFonts w:hint="default" w:eastAsiaTheme="minorEastAsia"/>
          <w:highlight w:val="none"/>
          <w:lang w:val="en-US" w:eastAsia="zh-CN"/>
        </w:rPr>
        <w:t>similar but more flexible behavior than</w:t>
      </w:r>
      <w:r>
        <w:rPr>
          <w:rFonts w:eastAsiaTheme="minorEastAsia"/>
          <w:highlight w:val="none"/>
          <w:lang w:eastAsia="zh-CN"/>
        </w:rPr>
        <w:t xml:space="preserve"> CA</w:t>
      </w:r>
      <w:r>
        <w:rPr>
          <w:rFonts w:hint="default" w:eastAsiaTheme="minorEastAsia"/>
          <w:highlight w:val="none"/>
          <w:lang w:val="en-US" w:eastAsia="zh-CN"/>
        </w:rPr>
        <w:t xml:space="preserve"> is supported, for example, </w:t>
      </w:r>
      <w:r>
        <w:rPr>
          <w:rFonts w:eastAsiaTheme="minorEastAsia"/>
          <w:highlight w:val="none"/>
          <w:lang w:eastAsia="zh-CN"/>
        </w:rPr>
        <w:t>fast switching than CA</w:t>
      </w:r>
      <w:r>
        <w:rPr>
          <w:rFonts w:hint="default" w:eastAsiaTheme="minorEastAsia"/>
          <w:highlight w:val="none"/>
          <w:lang w:val="en-US" w:eastAsia="zh-CN"/>
        </w:rPr>
        <w:t xml:space="preserve"> can be achieved, since UE has all the SI information about multiple frequency resources in one elastic cell, L1/L2 based multiple frequency resources activation and deactivation can be studied, based on R18 L1/L2 mobility enhancement</w:t>
      </w:r>
      <w:r>
        <w:rPr>
          <w:rFonts w:eastAsiaTheme="minorEastAsia"/>
          <w:highlight w:val="none"/>
          <w:lang w:eastAsia="zh-CN"/>
        </w:rPr>
        <w:t>.</w:t>
      </w:r>
    </w:p>
    <w:p>
      <w:pPr>
        <w:jc w:val="center"/>
        <w:rPr>
          <w:rFonts w:eastAsiaTheme="minorEastAsia"/>
          <w:highlight w:val="none"/>
          <w:lang w:eastAsia="zh-CN"/>
        </w:rPr>
      </w:pPr>
      <w:r>
        <w:rPr>
          <w:rFonts w:eastAsiaTheme="minorEastAsia"/>
          <w:highlight w:val="none"/>
          <w:lang w:val="en-US" w:eastAsia="zh-CN"/>
        </w:rPr>
        <w:t xml:space="preserve"> </w:t>
      </w:r>
      <w:r>
        <w:rPr>
          <w:highlight w:val="none"/>
        </w:rPr>
        <w:drawing>
          <wp:inline distT="0" distB="0" distL="114300" distR="114300">
            <wp:extent cx="2432685" cy="1728470"/>
            <wp:effectExtent l="0" t="0" r="571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2432685" cy="1728470"/>
                    </a:xfrm>
                    <a:prstGeom prst="rect">
                      <a:avLst/>
                    </a:prstGeom>
                    <a:noFill/>
                    <a:ln>
                      <a:noFill/>
                    </a:ln>
                  </pic:spPr>
                </pic:pic>
              </a:graphicData>
            </a:graphic>
          </wp:inline>
        </w:drawing>
      </w:r>
    </w:p>
    <w:p>
      <w:pPr>
        <w:jc w:val="center"/>
        <w:rPr>
          <w:rFonts w:eastAsiaTheme="minorEastAsia"/>
          <w:highlight w:val="none"/>
          <w:lang w:val="en-US" w:eastAsia="zh-CN"/>
        </w:rPr>
      </w:pPr>
      <w:r>
        <w:rPr>
          <w:rFonts w:eastAsiaTheme="minorEastAsia"/>
          <w:highlight w:val="none"/>
          <w:lang w:val="en-US" w:eastAsia="zh-CN"/>
        </w:rPr>
        <w:t xml:space="preserve">Figure.2 </w:t>
      </w:r>
      <w:r>
        <w:rPr>
          <w:rFonts w:eastAsiaTheme="minorEastAsia"/>
          <w:highlight w:val="none"/>
          <w:lang w:eastAsia="zh-CN"/>
        </w:rPr>
        <w:t>frequency combination based elastic cell</w:t>
      </w:r>
    </w:p>
    <w:p>
      <w:pPr>
        <w:rPr>
          <w:rFonts w:eastAsiaTheme="minorEastAsia"/>
          <w:highlight w:val="none"/>
          <w:lang w:eastAsia="zh-CN"/>
        </w:rPr>
      </w:pPr>
      <w:r>
        <w:rPr>
          <w:rFonts w:eastAsiaTheme="minorEastAsia"/>
          <w:highlight w:val="none"/>
          <w:lang w:val="en-US" w:eastAsia="zh-CN"/>
        </w:rPr>
        <w:t>This is an extension of SUL scheme as a universal solution for multiple carrier operation</w:t>
      </w:r>
      <w:r>
        <w:rPr>
          <w:rFonts w:hint="default" w:eastAsiaTheme="minorEastAsia"/>
          <w:highlight w:val="none"/>
          <w:lang w:val="en-US" w:eastAsia="zh-CN"/>
        </w:rPr>
        <w:t xml:space="preserve">, for both </w:t>
      </w:r>
      <w:r>
        <w:rPr>
          <w:rFonts w:hint="eastAsia" w:eastAsiaTheme="minorEastAsia"/>
          <w:highlight w:val="none"/>
          <w:lang w:eastAsia="zh-CN"/>
        </w:rPr>
        <w:t xml:space="preserve"> IDLE/INACTIVE </w:t>
      </w:r>
      <w:r>
        <w:rPr>
          <w:rFonts w:hint="default" w:eastAsiaTheme="minorEastAsia"/>
          <w:highlight w:val="none"/>
          <w:lang w:val="en-US" w:eastAsia="zh-CN"/>
        </w:rPr>
        <w:t>mode and CONNECTED mode UEs</w:t>
      </w:r>
      <w:r>
        <w:rPr>
          <w:rFonts w:eastAsiaTheme="minorEastAsia"/>
          <w:highlight w:val="none"/>
          <w:lang w:val="en-US" w:eastAsia="zh-CN"/>
        </w:rPr>
        <w:t>, where resource selection for initial access in a cell is no longer limited to the carrier on SUL bands, but also can be the carriers on existing TDD/FDD bands</w:t>
      </w:r>
      <w:r>
        <w:rPr>
          <w:rFonts w:hint="default" w:eastAsiaTheme="minorEastAsia"/>
          <w:highlight w:val="none"/>
          <w:lang w:val="en-US" w:eastAsia="zh-CN"/>
        </w:rPr>
        <w:t>, coupling of DL and UL bands can be more flexible</w:t>
      </w:r>
      <w:r>
        <w:rPr>
          <w:rFonts w:eastAsiaTheme="minorEastAsia"/>
          <w:highlight w:val="none"/>
          <w:lang w:eastAsia="zh-CN"/>
        </w:rPr>
        <w:t xml:space="preserve">. </w:t>
      </w:r>
    </w:p>
    <w:p>
      <w:pPr>
        <w:rPr>
          <w:rFonts w:hint="default" w:eastAsiaTheme="minorEastAsia"/>
          <w:highlight w:val="none"/>
          <w:lang w:val="en-US" w:eastAsia="zh-CN"/>
        </w:rPr>
      </w:pPr>
      <w:r>
        <w:rPr>
          <w:rFonts w:eastAsiaTheme="minorEastAsia"/>
          <w:b/>
          <w:bCs/>
          <w:highlight w:val="none"/>
          <w:lang w:eastAsia="zh-CN"/>
        </w:rPr>
        <w:t xml:space="preserve">With frequency combination based elastic cell, </w:t>
      </w:r>
      <w:r>
        <w:rPr>
          <w:rFonts w:hint="default" w:eastAsiaTheme="minorEastAsia"/>
          <w:b/>
          <w:bCs/>
          <w:highlight w:val="none"/>
          <w:lang w:val="en-US" w:eastAsia="zh-CN"/>
        </w:rPr>
        <w:t>cell management overhead will be largely reduced</w:t>
      </w:r>
      <w:r>
        <w:rPr>
          <w:rFonts w:hint="default" w:eastAsiaTheme="minorEastAsia"/>
          <w:highlight w:val="none"/>
          <w:lang w:val="en-US" w:eastAsia="zh-CN"/>
        </w:rPr>
        <w:t xml:space="preserve">. Since multiple frequency resources constitute a single cell and UE can get system information for all the frequency resources within the elastic cell, handover among inter-cells under CA framework will transform to intra-cell switching of frequency resources. RRC reconfiguration signaling will be avoided. Neighboring cell configuration overhead will also be reduced since frequency resources in single elastic cell can share common configuration with anchor frequency resource. System broadcast signaling overhead can also be reduced when non anchor frequency resources are not served as Pcell for legacy UEs, since </w:t>
      </w:r>
      <w:r>
        <w:rPr>
          <w:rFonts w:eastAsiaTheme="minorEastAsia"/>
          <w:highlight w:val="none"/>
          <w:lang w:eastAsia="zh-CN"/>
        </w:rPr>
        <w:t>common system information</w:t>
      </w:r>
      <w:r>
        <w:rPr>
          <w:rFonts w:hint="default" w:eastAsiaTheme="minorEastAsia"/>
          <w:highlight w:val="none"/>
          <w:lang w:val="en-US" w:eastAsia="zh-CN"/>
        </w:rPr>
        <w:t xml:space="preserve">, </w:t>
      </w:r>
      <w:r>
        <w:rPr>
          <w:rFonts w:eastAsiaTheme="minorEastAsia"/>
          <w:highlight w:val="none"/>
          <w:lang w:eastAsia="zh-CN"/>
        </w:rPr>
        <w:t>paging</w:t>
      </w:r>
      <w:r>
        <w:rPr>
          <w:rFonts w:hint="default" w:eastAsiaTheme="minorEastAsia"/>
          <w:highlight w:val="none"/>
          <w:lang w:val="en-US" w:eastAsia="zh-CN"/>
        </w:rPr>
        <w:t xml:space="preserve"> and even SSB</w:t>
      </w:r>
      <w:r>
        <w:rPr>
          <w:rFonts w:eastAsiaTheme="minorEastAsia"/>
          <w:highlight w:val="none"/>
          <w:lang w:eastAsia="zh-CN"/>
        </w:rPr>
        <w:t xml:space="preserve"> can be broadcast only in the anchor frequency resource</w:t>
      </w:r>
      <w:r>
        <w:rPr>
          <w:rFonts w:hint="default" w:eastAsiaTheme="minorEastAsia"/>
          <w:highlight w:val="none"/>
          <w:lang w:val="en-US" w:eastAsia="zh-CN"/>
        </w:rPr>
        <w:t>.</w:t>
      </w:r>
    </w:p>
    <w:p>
      <w:pPr>
        <w:rPr>
          <w:rFonts w:eastAsiaTheme="minorEastAsia"/>
          <w:highlight w:val="none"/>
          <w:lang w:eastAsia="zh-CN"/>
        </w:rPr>
      </w:pPr>
      <w:r>
        <w:rPr>
          <w:rFonts w:eastAsiaTheme="minorEastAsia"/>
          <w:b/>
          <w:bCs/>
          <w:highlight w:val="none"/>
          <w:lang w:eastAsia="zh-CN"/>
        </w:rPr>
        <w:t>Another benefit is flexible offloading</w:t>
      </w:r>
      <w:r>
        <w:rPr>
          <w:rFonts w:eastAsiaTheme="minorEastAsia"/>
          <w:highlight w:val="none"/>
          <w:lang w:eastAsia="zh-CN"/>
        </w:rPr>
        <w:t>. Even when UEs camp on the same DL anchor frequency resource, they can initiate random access from different non anchor frequency resources, no need to wait until handover</w:t>
      </w:r>
      <w:r>
        <w:rPr>
          <w:rFonts w:hint="default" w:eastAsiaTheme="minorEastAsia"/>
          <w:highlight w:val="none"/>
          <w:lang w:val="en-US" w:eastAsia="zh-CN"/>
        </w:rPr>
        <w:t>, offloading can be realized from initial access considering aspects such as traffic load, coverage, slice, service type, etc</w:t>
      </w:r>
      <w:r>
        <w:rPr>
          <w:rFonts w:eastAsiaTheme="minorEastAsia"/>
          <w:highlight w:val="none"/>
          <w:lang w:eastAsia="zh-CN"/>
        </w:rPr>
        <w:t xml:space="preserve">. </w:t>
      </w:r>
      <w:r>
        <w:rPr>
          <w:rFonts w:hint="default" w:eastAsiaTheme="minorEastAsia"/>
          <w:highlight w:val="none"/>
          <w:lang w:val="en-US" w:eastAsia="zh-CN"/>
        </w:rPr>
        <w:t>As a result</w:t>
      </w:r>
      <w:r>
        <w:rPr>
          <w:rFonts w:eastAsiaTheme="minorEastAsia"/>
          <w:highlight w:val="none"/>
          <w:lang w:eastAsia="zh-CN"/>
        </w:rPr>
        <w:t xml:space="preserve">, system signaling overhead is reduced and spectrum efficiency is improved by frequency combination based elastic cell. </w:t>
      </w:r>
    </w:p>
    <w:p>
      <w:pPr>
        <w:rPr>
          <w:rFonts w:hint="eastAsia"/>
          <w:highlight w:val="none"/>
          <w:lang w:val="en-US" w:eastAsia="zh-CN"/>
        </w:rPr>
      </w:pPr>
      <w:r>
        <w:rPr>
          <w:rFonts w:hint="default" w:eastAsiaTheme="minorEastAsia"/>
          <w:b/>
          <w:bCs/>
          <w:highlight w:val="none"/>
          <w:lang w:val="en-US" w:eastAsia="zh-CN"/>
        </w:rPr>
        <w:t>Besides the management overhead reduction and flexible offloading benefit, the frequency combination elastic cell can also provide network energy saving gain</w:t>
      </w:r>
      <w:r>
        <w:rPr>
          <w:rFonts w:hint="default" w:eastAsiaTheme="minorEastAsia"/>
          <w:highlight w:val="none"/>
          <w:lang w:val="en-US" w:eastAsia="zh-CN"/>
        </w:rPr>
        <w:t xml:space="preserve">. The reason is that without SIB/paging on non-anchor frequency resources, and with sparse SSB or even no SSB which can be configured by anchor frequency resources, gNB will have more chances to sleep on non anchor frequency resource. During R18 NES SI, NES cell without SSB/SIB is studied, where UE can receive </w:t>
      </w:r>
      <w:r>
        <w:rPr>
          <w:rFonts w:ascii="Times" w:hAnsi="Times" w:eastAsia="Times New Roman"/>
          <w:highlight w:val="none"/>
        </w:rPr>
        <w:t>SSB, system information and paging</w:t>
      </w:r>
      <w:r>
        <w:rPr>
          <w:rFonts w:hint="default" w:ascii="Times" w:hAnsi="Times" w:eastAsia="Times New Roman"/>
          <w:highlight w:val="none"/>
          <w:lang w:val="en-US"/>
        </w:rPr>
        <w:t xml:space="preserve"> from anchor cell, while the </w:t>
      </w:r>
      <w:r>
        <w:rPr>
          <w:highlight w:val="none"/>
        </w:rPr>
        <w:t>access may occur only via anchor cell or also directly in the non-anchor NES cell</w:t>
      </w:r>
      <w:r>
        <w:rPr>
          <w:rFonts w:hint="default"/>
          <w:highlight w:val="none"/>
          <w:lang w:val="en-US"/>
        </w:rPr>
        <w:t>. This is a similar concept as frequency combination based elastic cell proposed here except all the carriers are treated here as frequency resources, and they are operated in a single cell. Corresponding techniques is not further specified in R18 WI. But the power saving gain is evaluated during SI. The power saving gain is summarized as “</w:t>
      </w:r>
      <w:r>
        <w:rPr>
          <w:highlight w:val="none"/>
        </w:rPr>
        <w:t>In general, for SSB and/or SIB saved from one carrier of two carriers, 8 resources observed BS energy savings gain, by 5.1%~98.4% for empty load, 3.0%~58.4% for low load, and 1.0%~7.9% for light load, 0.3%~5.7% for medium load. When traffic load is low, network may turn off SCell for energy saving. The results are for FR1 only.</w:t>
      </w:r>
      <w:r>
        <w:rPr>
          <w:rFonts w:hint="default"/>
          <w:highlight w:val="none"/>
          <w:lang w:val="en-US"/>
        </w:rPr>
        <w:t>” in section 6.2.1.2 of TR38.864.</w:t>
      </w:r>
    </w:p>
    <w:p>
      <w:pPr>
        <w:rPr>
          <w:rFonts w:hint="default"/>
          <w:highlight w:val="none"/>
          <w:lang w:val="en-US" w:eastAsia="zh-CN"/>
        </w:rPr>
      </w:pPr>
      <w:r>
        <w:rPr>
          <w:rFonts w:hint="default"/>
          <w:highlight w:val="none"/>
          <w:lang w:val="en-US" w:eastAsia="zh-CN"/>
        </w:rPr>
        <w:t>For clear description of elastic cell and CA, we provide the following table for comparison,</w:t>
      </w:r>
    </w:p>
    <w:p>
      <w:pPr>
        <w:jc w:val="center"/>
        <w:rPr>
          <w:rFonts w:hint="default"/>
          <w:highlight w:val="none"/>
          <w:lang w:val="en-US" w:eastAsia="zh-CN"/>
        </w:rPr>
      </w:pPr>
      <w:r>
        <w:rPr>
          <w:rFonts w:hint="default"/>
          <w:highlight w:val="none"/>
          <w:lang w:val="en-US" w:eastAsia="zh-CN"/>
        </w:rPr>
        <w:t>Table 1. Function comparison between CA and elastic cell</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96"/>
        <w:gridCol w:w="3396"/>
        <w:gridCol w:w="33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Pr>
          <w:p>
            <w:pPr>
              <w:spacing w:before="120" w:line="280" w:lineRule="atLeast"/>
              <w:jc w:val="center"/>
              <w:rPr>
                <w:rFonts w:hint="default"/>
                <w:highlight w:val="none"/>
                <w:vertAlign w:val="baseline"/>
                <w:lang w:val="en-US" w:eastAsia="zh-CN"/>
              </w:rPr>
            </w:pPr>
            <w:r>
              <w:rPr>
                <w:rFonts w:hint="default"/>
                <w:highlight w:val="none"/>
                <w:vertAlign w:val="baseline"/>
                <w:lang w:val="en-US" w:eastAsia="zh-CN"/>
              </w:rPr>
              <w:t>Functions</w:t>
            </w:r>
          </w:p>
        </w:tc>
        <w:tc>
          <w:tcPr>
            <w:tcW w:w="3396" w:type="dxa"/>
          </w:tcPr>
          <w:p>
            <w:pPr>
              <w:spacing w:before="120" w:line="280" w:lineRule="atLeast"/>
              <w:jc w:val="center"/>
              <w:rPr>
                <w:rFonts w:hint="default"/>
                <w:highlight w:val="none"/>
                <w:vertAlign w:val="baseline"/>
                <w:lang w:val="en-US" w:eastAsia="zh-CN"/>
              </w:rPr>
            </w:pPr>
            <w:r>
              <w:rPr>
                <w:rFonts w:hint="default"/>
                <w:highlight w:val="none"/>
                <w:vertAlign w:val="baseline"/>
                <w:lang w:val="en-US" w:eastAsia="zh-CN"/>
              </w:rPr>
              <w:t>CA</w:t>
            </w:r>
          </w:p>
        </w:tc>
        <w:tc>
          <w:tcPr>
            <w:tcW w:w="3396" w:type="dxa"/>
          </w:tcPr>
          <w:p>
            <w:pPr>
              <w:spacing w:before="120" w:line="280" w:lineRule="atLeast"/>
              <w:jc w:val="center"/>
              <w:rPr>
                <w:rFonts w:hint="default"/>
                <w:highlight w:val="none"/>
                <w:vertAlign w:val="baseline"/>
                <w:lang w:val="en-US" w:eastAsia="zh-CN"/>
              </w:rPr>
            </w:pPr>
            <w:r>
              <w:rPr>
                <w:rFonts w:hint="default"/>
                <w:highlight w:val="none"/>
                <w:vertAlign w:val="baseline"/>
                <w:lang w:val="en-US" w:eastAsia="zh-CN"/>
              </w:rPr>
              <w:t>Elastic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Pr>
          <w:p>
            <w:pPr>
              <w:spacing w:before="120" w:line="280" w:lineRule="atLeast"/>
              <w:jc w:val="both"/>
              <w:rPr>
                <w:rFonts w:hint="default"/>
                <w:highlight w:val="none"/>
                <w:vertAlign w:val="baseline"/>
                <w:lang w:val="en-US" w:eastAsia="zh-CN"/>
              </w:rPr>
            </w:pPr>
            <w:r>
              <w:rPr>
                <w:rFonts w:hint="default"/>
                <w:highlight w:val="none"/>
                <w:vertAlign w:val="baseline"/>
                <w:lang w:val="en-US" w:eastAsia="zh-CN"/>
              </w:rPr>
              <w:t>Flexible initial access carrier selection and offloading</w:t>
            </w:r>
          </w:p>
        </w:tc>
        <w:tc>
          <w:tcPr>
            <w:tcW w:w="3396" w:type="dxa"/>
          </w:tcPr>
          <w:p>
            <w:pPr>
              <w:spacing w:before="120" w:line="280" w:lineRule="atLeast"/>
              <w:jc w:val="both"/>
              <w:rPr>
                <w:rFonts w:hint="default"/>
                <w:highlight w:val="none"/>
                <w:vertAlign w:val="baseline"/>
                <w:lang w:val="en-US" w:eastAsia="zh-CN"/>
              </w:rPr>
            </w:pPr>
            <w:r>
              <w:rPr>
                <w:rFonts w:hint="default"/>
                <w:highlight w:val="none"/>
                <w:vertAlign w:val="baseline"/>
                <w:lang w:val="en-US" w:eastAsia="zh-CN"/>
              </w:rPr>
              <w:t>Camping and access from Pcell</w:t>
            </w:r>
          </w:p>
        </w:tc>
        <w:tc>
          <w:tcPr>
            <w:tcW w:w="3396" w:type="dxa"/>
          </w:tcPr>
          <w:p>
            <w:pPr>
              <w:spacing w:before="120" w:line="280" w:lineRule="atLeast"/>
              <w:jc w:val="both"/>
              <w:rPr>
                <w:rFonts w:hint="default"/>
                <w:highlight w:val="none"/>
                <w:vertAlign w:val="baseline"/>
                <w:lang w:val="en-US" w:eastAsia="zh-CN"/>
              </w:rPr>
            </w:pPr>
            <w:r>
              <w:rPr>
                <w:rFonts w:hint="default"/>
                <w:highlight w:val="none"/>
                <w:vertAlign w:val="baseline"/>
                <w:lang w:val="en-US" w:eastAsia="zh-CN"/>
              </w:rPr>
              <w:t>Camping on anchor frequency resource, access from either anchor or non-anchor frequency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Pr>
          <w:p>
            <w:pPr>
              <w:spacing w:before="120" w:line="280" w:lineRule="atLeast"/>
              <w:jc w:val="both"/>
              <w:rPr>
                <w:rFonts w:hint="default"/>
                <w:highlight w:val="none"/>
                <w:vertAlign w:val="baseline"/>
                <w:lang w:val="en-US" w:eastAsia="zh-CN"/>
              </w:rPr>
            </w:pPr>
            <w:r>
              <w:rPr>
                <w:rFonts w:hint="default"/>
                <w:highlight w:val="none"/>
                <w:vertAlign w:val="baseline"/>
                <w:lang w:val="en-US" w:eastAsia="zh-CN"/>
              </w:rPr>
              <w:t xml:space="preserve">Cell management </w:t>
            </w:r>
          </w:p>
        </w:tc>
        <w:tc>
          <w:tcPr>
            <w:tcW w:w="3396" w:type="dxa"/>
          </w:tcPr>
          <w:p>
            <w:pPr>
              <w:spacing w:before="120" w:line="280" w:lineRule="atLeast"/>
              <w:jc w:val="both"/>
              <w:rPr>
                <w:rFonts w:hint="default"/>
                <w:highlight w:val="none"/>
                <w:vertAlign w:val="baseline"/>
                <w:lang w:val="en-US" w:eastAsia="zh-CN"/>
              </w:rPr>
            </w:pPr>
            <w:r>
              <w:rPr>
                <w:rFonts w:hint="default"/>
                <w:highlight w:val="none"/>
                <w:vertAlign w:val="baseline"/>
                <w:lang w:val="en-US" w:eastAsia="zh-CN"/>
              </w:rPr>
              <w:t>Each carrier is managed as one cell, handover between cells requires RRC reconfiguration and large handover delay than L1/L2 switching</w:t>
            </w:r>
          </w:p>
        </w:tc>
        <w:tc>
          <w:tcPr>
            <w:tcW w:w="3396" w:type="dxa"/>
          </w:tcPr>
          <w:p>
            <w:pPr>
              <w:spacing w:before="120" w:line="280" w:lineRule="atLeast"/>
              <w:jc w:val="both"/>
              <w:rPr>
                <w:rFonts w:hint="default"/>
                <w:highlight w:val="none"/>
                <w:vertAlign w:val="baseline"/>
                <w:lang w:val="en-US" w:eastAsia="zh-CN"/>
              </w:rPr>
            </w:pPr>
            <w:r>
              <w:rPr>
                <w:rFonts w:hint="default" w:eastAsiaTheme="minorEastAsia"/>
                <w:highlight w:val="none"/>
                <w:lang w:val="en-US" w:eastAsia="zh-CN"/>
              </w:rPr>
              <w:t>Multiple frequency resources constitute a single cell, switching among intra-cell frequency resources will be much faster than handover, overhead will be reduced.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Pr>
          <w:p>
            <w:pPr>
              <w:spacing w:before="120" w:line="280" w:lineRule="atLeast"/>
              <w:jc w:val="both"/>
              <w:rPr>
                <w:rFonts w:hint="default"/>
                <w:highlight w:val="none"/>
                <w:vertAlign w:val="baseline"/>
                <w:lang w:val="en-US" w:eastAsia="zh-CN"/>
              </w:rPr>
            </w:pPr>
            <w:r>
              <w:rPr>
                <w:rFonts w:hint="default"/>
                <w:highlight w:val="none"/>
                <w:vertAlign w:val="baseline"/>
                <w:lang w:val="en-US" w:eastAsia="zh-CN"/>
              </w:rPr>
              <w:t>UE capability requirement</w:t>
            </w:r>
          </w:p>
        </w:tc>
        <w:tc>
          <w:tcPr>
            <w:tcW w:w="3396" w:type="dxa"/>
          </w:tcPr>
          <w:p>
            <w:pPr>
              <w:spacing w:before="120" w:line="280" w:lineRule="atLeast"/>
              <w:jc w:val="both"/>
              <w:rPr>
                <w:rFonts w:hint="default"/>
                <w:highlight w:val="none"/>
                <w:vertAlign w:val="baseline"/>
                <w:lang w:val="en-US" w:eastAsia="zh-CN"/>
              </w:rPr>
            </w:pPr>
            <w:r>
              <w:rPr>
                <w:rFonts w:hint="default"/>
                <w:highlight w:val="none"/>
                <w:vertAlign w:val="baseline"/>
                <w:lang w:val="en-US" w:eastAsia="zh-CN"/>
              </w:rPr>
              <w:t>UE has to support CA capability operation with multiple carriers</w:t>
            </w:r>
          </w:p>
        </w:tc>
        <w:tc>
          <w:tcPr>
            <w:tcW w:w="3396" w:type="dxa"/>
          </w:tcPr>
          <w:p>
            <w:pPr>
              <w:spacing w:before="120" w:line="280" w:lineRule="atLeast"/>
              <w:jc w:val="both"/>
              <w:rPr>
                <w:rFonts w:hint="default"/>
                <w:highlight w:val="none"/>
                <w:vertAlign w:val="baseline"/>
                <w:lang w:val="en-US" w:eastAsia="zh-CN"/>
              </w:rPr>
            </w:pPr>
            <w:r>
              <w:rPr>
                <w:rFonts w:hint="default"/>
                <w:highlight w:val="none"/>
                <w:vertAlign w:val="baseline"/>
                <w:lang w:val="en-US" w:eastAsia="zh-CN"/>
              </w:rPr>
              <w:t>Both single carrier or multiple carriers capability UEs can access to elastic cell, and benefit the flexibility of such framework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3396" w:type="dxa"/>
          </w:tcPr>
          <w:p>
            <w:pPr>
              <w:spacing w:before="120" w:line="280" w:lineRule="atLeast"/>
              <w:jc w:val="both"/>
              <w:rPr>
                <w:rFonts w:hint="default"/>
                <w:highlight w:val="none"/>
                <w:vertAlign w:val="baseline"/>
                <w:lang w:val="en-US" w:eastAsia="zh-CN"/>
              </w:rPr>
            </w:pPr>
            <w:r>
              <w:rPr>
                <w:rFonts w:hint="default"/>
                <w:highlight w:val="none"/>
                <w:vertAlign w:val="baseline"/>
                <w:lang w:val="en-US" w:eastAsia="zh-CN"/>
              </w:rPr>
              <w:t>SSB overhead reduction</w:t>
            </w:r>
          </w:p>
        </w:tc>
        <w:tc>
          <w:tcPr>
            <w:tcW w:w="3396" w:type="dxa"/>
          </w:tcPr>
          <w:p>
            <w:pPr>
              <w:spacing w:before="120" w:line="280" w:lineRule="atLeast"/>
              <w:jc w:val="both"/>
              <w:rPr>
                <w:rFonts w:hint="default"/>
                <w:highlight w:val="none"/>
                <w:vertAlign w:val="baseline"/>
                <w:lang w:val="en-US" w:eastAsia="zh-CN"/>
              </w:rPr>
            </w:pPr>
            <w:r>
              <w:rPr>
                <w:rFonts w:hint="default"/>
                <w:highlight w:val="none"/>
                <w:vertAlign w:val="baseline"/>
                <w:lang w:val="en-US" w:eastAsia="zh-CN"/>
              </w:rPr>
              <w:t xml:space="preserve">NES support </w:t>
            </w:r>
            <w:r>
              <w:rPr>
                <w:rFonts w:hint="default" w:eastAsiaTheme="minorEastAsia"/>
                <w:highlight w:val="none"/>
                <w:lang w:val="en-US" w:eastAsia="zh-CN"/>
              </w:rPr>
              <w:t xml:space="preserve">SSB-less Scell operation for </w:t>
            </w:r>
            <w:r>
              <w:rPr>
                <w:bCs/>
                <w:highlight w:val="none"/>
              </w:rPr>
              <w:t>inter-band co-located</w:t>
            </w:r>
            <w:r>
              <w:rPr>
                <w:rFonts w:hint="default"/>
                <w:bCs/>
                <w:highlight w:val="none"/>
                <w:lang w:val="en-US"/>
              </w:rPr>
              <w:t xml:space="preserve"> </w:t>
            </w:r>
            <w:r>
              <w:rPr>
                <w:bCs/>
                <w:highlight w:val="none"/>
              </w:rPr>
              <w:t>CA</w:t>
            </w:r>
            <w:r>
              <w:rPr>
                <w:rFonts w:hint="default"/>
                <w:bCs/>
                <w:highlight w:val="none"/>
                <w:lang w:val="en-US"/>
              </w:rPr>
              <w:t xml:space="preserve"> in</w:t>
            </w:r>
            <w:r>
              <w:rPr>
                <w:bCs/>
                <w:highlight w:val="none"/>
              </w:rPr>
              <w:t xml:space="preserve"> FR1</w:t>
            </w:r>
            <w:r>
              <w:rPr>
                <w:rFonts w:hint="default"/>
                <w:highlight w:val="none"/>
                <w:vertAlign w:val="baseline"/>
                <w:lang w:val="en-US" w:eastAsia="zh-CN"/>
              </w:rPr>
              <w:t>, this is only for connected operation</w:t>
            </w:r>
          </w:p>
        </w:tc>
        <w:tc>
          <w:tcPr>
            <w:tcW w:w="3396" w:type="dxa"/>
          </w:tcPr>
          <w:p>
            <w:pPr>
              <w:spacing w:before="120" w:line="280" w:lineRule="atLeast"/>
              <w:jc w:val="both"/>
              <w:rPr>
                <w:rFonts w:hint="default"/>
                <w:highlight w:val="none"/>
                <w:vertAlign w:val="baseline"/>
                <w:lang w:val="en-US" w:eastAsia="zh-CN"/>
              </w:rPr>
            </w:pPr>
            <w:r>
              <w:rPr>
                <w:rFonts w:hint="default"/>
                <w:highlight w:val="none"/>
                <w:vertAlign w:val="baseline"/>
                <w:lang w:val="en-US" w:eastAsia="zh-CN"/>
              </w:rPr>
              <w:t>Anchor frequency resource can provide SSB configuration for non-anchor frequency resources, can be accessed by UE from IDLE/INACTIVE mode with sparse SSB than R15 default SSB periodicity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3396" w:type="dxa"/>
          </w:tcPr>
          <w:p>
            <w:pPr>
              <w:spacing w:before="120" w:line="280" w:lineRule="atLeast"/>
              <w:jc w:val="both"/>
              <w:rPr>
                <w:rFonts w:hint="default"/>
                <w:highlight w:val="none"/>
                <w:vertAlign w:val="baseline"/>
                <w:lang w:val="en-US" w:eastAsia="zh-CN"/>
              </w:rPr>
            </w:pPr>
            <w:r>
              <w:rPr>
                <w:rFonts w:hint="default"/>
                <w:highlight w:val="none"/>
                <w:vertAlign w:val="baseline"/>
                <w:lang w:val="en-US" w:eastAsia="zh-CN"/>
              </w:rPr>
              <w:t>DL and UL carrier coupling</w:t>
            </w:r>
          </w:p>
        </w:tc>
        <w:tc>
          <w:tcPr>
            <w:tcW w:w="3396" w:type="dxa"/>
          </w:tcPr>
          <w:p>
            <w:pPr>
              <w:spacing w:before="120" w:line="280" w:lineRule="atLeast"/>
              <w:jc w:val="both"/>
              <w:rPr>
                <w:rFonts w:hint="default"/>
                <w:highlight w:val="none"/>
                <w:vertAlign w:val="baseline"/>
                <w:lang w:val="en-US" w:eastAsia="zh-CN"/>
              </w:rPr>
            </w:pPr>
            <w:r>
              <w:rPr>
                <w:rFonts w:hint="default"/>
                <w:highlight w:val="none"/>
                <w:vertAlign w:val="baseline"/>
                <w:lang w:val="en-US" w:eastAsia="zh-CN"/>
              </w:rPr>
              <w:t>Fixed coupling between DL and UL</w:t>
            </w:r>
          </w:p>
        </w:tc>
        <w:tc>
          <w:tcPr>
            <w:tcW w:w="3396" w:type="dxa"/>
          </w:tcPr>
          <w:p>
            <w:pPr>
              <w:spacing w:before="120" w:line="280" w:lineRule="atLeast"/>
              <w:jc w:val="both"/>
              <w:rPr>
                <w:rFonts w:hint="default"/>
                <w:highlight w:val="none"/>
                <w:vertAlign w:val="baseline"/>
                <w:lang w:val="en-US" w:eastAsia="zh-CN"/>
              </w:rPr>
            </w:pPr>
            <w:r>
              <w:rPr>
                <w:rFonts w:hint="default"/>
                <w:highlight w:val="none"/>
                <w:vertAlign w:val="baseline"/>
                <w:lang w:val="en-US" w:eastAsia="zh-CN"/>
              </w:rPr>
              <w:t>Flexible DL and UL coupling among frequency resources in the elastic cell</w:t>
            </w:r>
          </w:p>
        </w:tc>
      </w:tr>
    </w:tbl>
    <w:p>
      <w:pPr>
        <w:rPr>
          <w:rFonts w:hint="default"/>
          <w:highlight w:val="none"/>
          <w:lang w:val="en-US" w:eastAsia="zh-CN"/>
        </w:rPr>
      </w:pPr>
    </w:p>
    <w:p>
      <w:pPr>
        <w:rPr>
          <w:rFonts w:hint="default" w:eastAsiaTheme="minorEastAsia"/>
          <w:highlight w:val="none"/>
          <w:lang w:val="en-US" w:eastAsia="zh-CN"/>
        </w:rPr>
      </w:pPr>
      <w:r>
        <w:rPr>
          <w:rFonts w:hint="default" w:eastAsiaTheme="minorEastAsia"/>
          <w:highlight w:val="none"/>
          <w:lang w:val="en-US" w:eastAsia="zh-CN"/>
        </w:rPr>
        <w:t>Based on discussion above, we propose the following proposals,</w:t>
      </w:r>
    </w:p>
    <w:p>
      <w:pPr>
        <w:rPr>
          <w:rFonts w:hint="default"/>
          <w:b/>
          <w:bCs/>
          <w:highlight w:val="none"/>
          <w:lang w:val="en-US" w:eastAsia="zh-CN"/>
        </w:rPr>
      </w:pPr>
      <w:r>
        <w:rPr>
          <w:rFonts w:hint="default"/>
          <w:b/>
          <w:bCs/>
          <w:highlight w:val="none"/>
          <w:lang w:val="en-US" w:eastAsia="zh-CN"/>
        </w:rPr>
        <w:t>Proposal 1: Study enhancements to support more general  multiple carrier/frequency resource utilization, applied to both IDLE/INACTIVE mode and CONNECTED mode.</w:t>
      </w:r>
    </w:p>
    <w:p>
      <w:pPr>
        <w:rPr>
          <w:rFonts w:hint="default"/>
          <w:b/>
          <w:bCs/>
          <w:highlight w:val="none"/>
          <w:lang w:val="en-US" w:eastAsia="zh-CN"/>
        </w:rPr>
      </w:pPr>
      <w:r>
        <w:rPr>
          <w:rFonts w:hint="default"/>
          <w:b/>
          <w:bCs/>
          <w:highlight w:val="none"/>
          <w:lang w:val="en-US" w:eastAsia="zh-CN"/>
        </w:rPr>
        <w:t>Proposal 2: Study enhancements to simplify multiple carriers management effort and overhead.</w:t>
      </w:r>
    </w:p>
    <w:p>
      <w:pPr>
        <w:rPr>
          <w:rFonts w:hint="default"/>
          <w:b/>
          <w:bCs/>
          <w:highlight w:val="none"/>
          <w:lang w:val="en-US" w:eastAsia="zh-CN"/>
        </w:rPr>
      </w:pPr>
      <w:r>
        <w:rPr>
          <w:rFonts w:hint="default"/>
          <w:b/>
          <w:bCs/>
          <w:highlight w:val="none"/>
          <w:lang w:val="en-US" w:eastAsia="zh-CN"/>
        </w:rPr>
        <w:t>Proposal 3: Frequency combination based elastic cell can be studied in R19 for multi-carrier enhancement.</w:t>
      </w:r>
    </w:p>
    <w:p>
      <w:pPr>
        <w:pStyle w:val="2"/>
        <w:rPr>
          <w:highlight w:val="none"/>
          <w:lang w:eastAsia="zh-CN"/>
        </w:rPr>
      </w:pPr>
      <w:r>
        <w:rPr>
          <w:rFonts w:hint="eastAsia"/>
          <w:highlight w:val="none"/>
          <w:lang w:val="en-US" w:eastAsia="zh-CN"/>
        </w:rPr>
        <w:t>SUL Enhancement</w:t>
      </w:r>
    </w:p>
    <w:p>
      <w:pPr>
        <w:keepNext/>
        <w:keepLines/>
        <w:jc w:val="both"/>
      </w:pPr>
      <w:r>
        <w:t xml:space="preserve">In current NR design, only one SUL can be configured in one serving cell. </w:t>
      </w:r>
      <w:r>
        <w:rPr>
          <w:rFonts w:hint="eastAsia"/>
        </w:rPr>
        <w:t>W</w:t>
      </w:r>
      <w:r>
        <w:t xml:space="preserve">ith fast deployment of 5G in China, more spectrum currently utilized by GSM, UMTS and LTE will be evolved into NR deployment recently. As an example, 1.9GHz and 2GHz TDD bands are previously used by 4G and 3G, which are specified as NR TDD bands n39 and n34 in Rel-15 and also specified as SUL bands n98 and n95 in Rel-16 and Rel-17 respectively. The spectrum for these two bands are not very large, thus single SUL band may not fully comply with the fast increased UL usage demanded by the operator. </w:t>
      </w:r>
    </w:p>
    <w:p>
      <w:pPr>
        <w:keepNext/>
        <w:keepLines/>
        <w:jc w:val="both"/>
      </w:pPr>
      <w:r>
        <w:t xml:space="preserve">In Rel-18, NR CA configurations with two SUL band combinations are specified, i.e. two SUL bands in two cells together with other TDD NR band(s), as the illustration as the </w:t>
      </w:r>
      <w:r>
        <w:rPr>
          <w:rFonts w:hint="eastAsia"/>
          <w:lang w:val="en-US" w:eastAsia="zh-CN"/>
        </w:rPr>
        <w:t>figure.1</w:t>
      </w:r>
      <w:r>
        <w:t>. However, due to the restriction that one serving cell can only configure one SUL carrier, the utilization of two SUL bands must be based on UE capability to support two carriers DL CA.</w:t>
      </w:r>
    </w:p>
    <w:p>
      <w:pPr>
        <w:keepNext/>
        <w:keepLines/>
        <w:jc w:val="center"/>
      </w:pPr>
      <w:r>
        <w:rPr>
          <w:lang w:val="en-US" w:eastAsia="zh-CN"/>
        </w:rPr>
        <mc:AlternateContent>
          <mc:Choice Requires="wps">
            <w:drawing>
              <wp:anchor distT="0" distB="0" distL="114300" distR="114300" simplePos="0" relativeHeight="251661312" behindDoc="0" locked="0" layoutInCell="1" allowOverlap="1">
                <wp:simplePos x="0" y="0"/>
                <wp:positionH relativeFrom="column">
                  <wp:posOffset>628015</wp:posOffset>
                </wp:positionH>
                <wp:positionV relativeFrom="paragraph">
                  <wp:posOffset>344805</wp:posOffset>
                </wp:positionV>
                <wp:extent cx="922020" cy="335915"/>
                <wp:effectExtent l="6350" t="6350" r="16510" b="8255"/>
                <wp:wrapNone/>
                <wp:docPr id="10" name="矩形 10"/>
                <wp:cNvGraphicFramePr/>
                <a:graphic xmlns:a="http://schemas.openxmlformats.org/drawingml/2006/main">
                  <a:graphicData uri="http://schemas.microsoft.com/office/word/2010/wordprocessingShape">
                    <wps:wsp>
                      <wps:cNvSpPr/>
                      <wps:spPr>
                        <a:xfrm>
                          <a:off x="0" y="0"/>
                          <a:ext cx="922328" cy="335632"/>
                        </a:xfrm>
                        <a:prstGeom prst="rect">
                          <a:avLst/>
                        </a:prstGeom>
                      </wps:spPr>
                      <wps:style>
                        <a:lnRef idx="2">
                          <a:schemeClr val="accent1"/>
                        </a:lnRef>
                        <a:fillRef idx="1">
                          <a:schemeClr val="lt1"/>
                        </a:fillRef>
                        <a:effectRef idx="0">
                          <a:schemeClr val="accent1"/>
                        </a:effectRef>
                        <a:fontRef idx="minor">
                          <a:schemeClr val="dk1"/>
                        </a:fontRef>
                      </wps:style>
                      <wps:txbx>
                        <w:txbxContent>
                          <w:p>
                            <w:r>
                              <w:t xml:space="preserve">Serving cell 1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9.45pt;margin-top:27.15pt;height:26.45pt;width:72.6pt;z-index:251661312;v-text-anchor:middle;mso-width-relative:page;mso-height-relative:page;" fillcolor="#FFFFFF [3201]" filled="t" stroked="t" coordsize="21600,21600" o:gfxdata="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C8MIDH1gAAAAkBAAAPAAAAAAAAAAEAIAAAACIAAABk&#10;cnMvZG93bnJldi54bWxQSwECFAAUAAAACACHTuJA0ank3XoCAAAABQAADgAAAAAAAAABACAAAAAl&#10;AQAAZHJzL2Uyb0RvYy54bWxQSwUGAAAAAAYABgBZAQAAEQYAAAAA&#10;">
                <v:fill on="t" focussize="0,0"/>
                <v:stroke weight="1pt" color="#5B9BD5 [3204]" miterlimit="8" joinstyle="miter"/>
                <v:imagedata o:title=""/>
                <o:lock v:ext="edit" aspectratio="f"/>
                <v:textbox>
                  <w:txbxContent>
                    <w:p>
                      <w:r>
                        <w:t xml:space="preserve">Serving cell 1 </w:t>
                      </w:r>
                    </w:p>
                  </w:txbxContent>
                </v:textbox>
              </v:rect>
            </w:pict>
          </mc:Fallback>
        </mc:AlternateContent>
      </w:r>
      <w:r>
        <w:rPr>
          <w:lang w:val="en-US" w:eastAsia="zh-CN"/>
        </w:rPr>
        <mc:AlternateContent>
          <mc:Choice Requires="wps">
            <w:drawing>
              <wp:anchor distT="0" distB="0" distL="114300" distR="114300" simplePos="0" relativeHeight="251659264" behindDoc="0" locked="0" layoutInCell="1" allowOverlap="1">
                <wp:simplePos x="0" y="0"/>
                <wp:positionH relativeFrom="column">
                  <wp:posOffset>1660525</wp:posOffset>
                </wp:positionH>
                <wp:positionV relativeFrom="paragraph">
                  <wp:posOffset>189230</wp:posOffset>
                </wp:positionV>
                <wp:extent cx="132080" cy="695325"/>
                <wp:effectExtent l="50800" t="6350" r="0" b="14605"/>
                <wp:wrapNone/>
                <wp:docPr id="8" name="左大括号 8"/>
                <wp:cNvGraphicFramePr/>
                <a:graphic xmlns:a="http://schemas.openxmlformats.org/drawingml/2006/main">
                  <a:graphicData uri="http://schemas.microsoft.com/office/word/2010/wordprocessingShape">
                    <wps:wsp>
                      <wps:cNvSpPr/>
                      <wps:spPr>
                        <a:xfrm>
                          <a:off x="0" y="0"/>
                          <a:ext cx="132139" cy="695049"/>
                        </a:xfrm>
                        <a:prstGeom prst="leftBrace">
                          <a:avLst/>
                        </a:prstGeom>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87" type="#_x0000_t87" style="position:absolute;left:0pt;margin-left:130.75pt;margin-top:14.9pt;height:54.75pt;width:10.4pt;z-index:251659264;v-text-anchor:middle;mso-width-relative:page;mso-height-relative:page;" filled="f" stroked="t" coordsize="21600,21600" o:gfxdata="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EBXtXXYAAAACgEAAA8AAAAAAAAAAQAgAAAAIgAA&#10;AGRycy9kb3ducmV2LnhtbFBLAQIUABQAAAAIAIdO4kBsCHY+egIAANUEAAAOAAAAAAAAAAEAIAAA&#10;ACcBAABkcnMvZTJvRG9jLnhtbFBLBQYAAAAABgAGAFkBAAATBgAAAAA=&#10;" adj="342,10800">
                <v:fill on="f" focussize="0,0"/>
                <v:stroke weight="1pt" color="#5B9BD5 [3204]" miterlimit="8" joinstyle="miter"/>
                <v:imagedata o:title=""/>
                <o:lock v:ext="edit" aspectratio="f"/>
              </v:shape>
            </w:pict>
          </mc:Fallback>
        </mc:AlternateContent>
      </w:r>
      <w:r>
        <w:rPr>
          <w:lang w:val="en-US" w:eastAsia="zh-CN"/>
        </w:rPr>
        <w:drawing>
          <wp:inline distT="0" distB="0" distL="0" distR="0">
            <wp:extent cx="2423160" cy="4622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0">
                      <a:extLst>
                        <a:ext uri="{28A0092B-C50C-407E-A947-70E740481C1C}">
                          <a14:useLocalDpi xmlns:a14="http://schemas.microsoft.com/office/drawing/2010/main" val="0"/>
                        </a:ext>
                      </a:extLst>
                    </a:blip>
                    <a:srcRect l="-3352" t="-5535" r="-1024" b="75161"/>
                    <a:stretch>
                      <a:fillRect/>
                    </a:stretch>
                  </pic:blipFill>
                  <pic:spPr>
                    <a:xfrm>
                      <a:off x="0" y="0"/>
                      <a:ext cx="2423160" cy="462486"/>
                    </a:xfrm>
                    <a:prstGeom prst="rect">
                      <a:avLst/>
                    </a:prstGeom>
                    <a:noFill/>
                    <a:ln>
                      <a:noFill/>
                    </a:ln>
                  </pic:spPr>
                </pic:pic>
              </a:graphicData>
            </a:graphic>
          </wp:inline>
        </w:drawing>
      </w:r>
    </w:p>
    <w:p>
      <w:pPr>
        <w:keepNext/>
        <w:keepLines/>
        <w:jc w:val="center"/>
      </w:pPr>
      <w:r>
        <w:rPr>
          <w:lang w:val="en-US" w:eastAsia="zh-CN"/>
        </w:rPr>
        <w:drawing>
          <wp:inline distT="0" distB="0" distL="0" distR="0">
            <wp:extent cx="2421890" cy="385445"/>
            <wp:effectExtent l="0" t="0" r="1270" b="1143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0">
                      <a:extLst>
                        <a:ext uri="{28A0092B-C50C-407E-A947-70E740481C1C}">
                          <a14:useLocalDpi xmlns:a14="http://schemas.microsoft.com/office/drawing/2010/main" val="0"/>
                        </a:ext>
                      </a:extLst>
                    </a:blip>
                    <a:srcRect l="-3352" t="53998" r="-1024" b="20650"/>
                    <a:stretch>
                      <a:fillRect/>
                    </a:stretch>
                  </pic:blipFill>
                  <pic:spPr>
                    <a:xfrm>
                      <a:off x="0" y="0"/>
                      <a:ext cx="2423160" cy="386007"/>
                    </a:xfrm>
                    <a:prstGeom prst="rect">
                      <a:avLst/>
                    </a:prstGeom>
                    <a:noFill/>
                    <a:ln>
                      <a:noFill/>
                    </a:ln>
                  </pic:spPr>
                </pic:pic>
              </a:graphicData>
            </a:graphic>
          </wp:inline>
        </w:drawing>
      </w:r>
    </w:p>
    <w:p>
      <w:pPr>
        <w:keepNext/>
        <w:keepLines/>
        <w:jc w:val="center"/>
      </w:pPr>
      <w:r>
        <w:rPr>
          <w:lang w:val="en-US" w:eastAsia="zh-CN"/>
        </w:rPr>
        <mc:AlternateContent>
          <mc:Choice Requires="wps">
            <w:drawing>
              <wp:anchor distT="0" distB="0" distL="114300" distR="114300" simplePos="0" relativeHeight="251662336" behindDoc="0" locked="0" layoutInCell="1" allowOverlap="1">
                <wp:simplePos x="0" y="0"/>
                <wp:positionH relativeFrom="column">
                  <wp:posOffset>626110</wp:posOffset>
                </wp:positionH>
                <wp:positionV relativeFrom="paragraph">
                  <wp:posOffset>327025</wp:posOffset>
                </wp:positionV>
                <wp:extent cx="922020" cy="335915"/>
                <wp:effectExtent l="6350" t="6350" r="16510" b="8255"/>
                <wp:wrapNone/>
                <wp:docPr id="12" name="矩形 12"/>
                <wp:cNvGraphicFramePr/>
                <a:graphic xmlns:a="http://schemas.openxmlformats.org/drawingml/2006/main">
                  <a:graphicData uri="http://schemas.microsoft.com/office/word/2010/wordprocessingShape">
                    <wps:wsp>
                      <wps:cNvSpPr/>
                      <wps:spPr>
                        <a:xfrm>
                          <a:off x="0" y="0"/>
                          <a:ext cx="922328" cy="335632"/>
                        </a:xfrm>
                        <a:prstGeom prst="rect">
                          <a:avLst/>
                        </a:prstGeom>
                      </wps:spPr>
                      <wps:style>
                        <a:lnRef idx="2">
                          <a:schemeClr val="accent1"/>
                        </a:lnRef>
                        <a:fillRef idx="1">
                          <a:schemeClr val="lt1"/>
                        </a:fillRef>
                        <a:effectRef idx="0">
                          <a:schemeClr val="accent1"/>
                        </a:effectRef>
                        <a:fontRef idx="minor">
                          <a:schemeClr val="dk1"/>
                        </a:fontRef>
                      </wps:style>
                      <wps:txbx>
                        <w:txbxContent>
                          <w:p>
                            <w:r>
                              <w:t xml:space="preserve">Serving cell 2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9.3pt;margin-top:25.75pt;height:26.45pt;width:72.6pt;z-index:251662336;v-text-anchor:middle;mso-width-relative:page;mso-height-relative:page;" fillcolor="#FFFFFF [3201]" filled="t" stroked="t" coordsize="21600,21600" o:gfxdata="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CFkJWp1wAAAAkBAAAPAAAAAAAAAAEAIAAAACIA&#10;AABkcnMvZG93bnJldi54bWxQSwECFAAUAAAACACHTuJArEeRbnwCAAAABQAADgAAAAAAAAABACAA&#10;AAAmAQAAZHJzL2Uyb0RvYy54bWxQSwUGAAAAAAYABgBZAQAAFAYAAAAA&#10;">
                <v:fill on="t" focussize="0,0"/>
                <v:stroke weight="1pt" color="#5B9BD5 [3204]" miterlimit="8" joinstyle="miter"/>
                <v:imagedata o:title=""/>
                <o:lock v:ext="edit" aspectratio="f"/>
                <v:textbox>
                  <w:txbxContent>
                    <w:p>
                      <w:r>
                        <w:t xml:space="preserve">Serving cell 2 </w:t>
                      </w:r>
                    </w:p>
                  </w:txbxContent>
                </v:textbox>
              </v:rect>
            </w:pict>
          </mc:Fallback>
        </mc:AlternateContent>
      </w:r>
      <w:r>
        <w:rPr>
          <w:lang w:val="en-US" w:eastAsia="zh-CN"/>
        </w:rPr>
        <mc:AlternateContent>
          <mc:Choice Requires="wps">
            <w:drawing>
              <wp:anchor distT="0" distB="0" distL="114300" distR="114300" simplePos="0" relativeHeight="251660288" behindDoc="0" locked="0" layoutInCell="1" allowOverlap="1">
                <wp:simplePos x="0" y="0"/>
                <wp:positionH relativeFrom="column">
                  <wp:posOffset>1669415</wp:posOffset>
                </wp:positionH>
                <wp:positionV relativeFrom="paragraph">
                  <wp:posOffset>140335</wp:posOffset>
                </wp:positionV>
                <wp:extent cx="132080" cy="695325"/>
                <wp:effectExtent l="50800" t="6350" r="0" b="14605"/>
                <wp:wrapNone/>
                <wp:docPr id="9" name="左大括号 9"/>
                <wp:cNvGraphicFramePr/>
                <a:graphic xmlns:a="http://schemas.openxmlformats.org/drawingml/2006/main">
                  <a:graphicData uri="http://schemas.microsoft.com/office/word/2010/wordprocessingShape">
                    <wps:wsp>
                      <wps:cNvSpPr/>
                      <wps:spPr>
                        <a:xfrm>
                          <a:off x="0" y="0"/>
                          <a:ext cx="132139" cy="695049"/>
                        </a:xfrm>
                        <a:prstGeom prst="leftBrace">
                          <a:avLst/>
                        </a:prstGeom>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87" type="#_x0000_t87" style="position:absolute;left:0pt;margin-left:131.45pt;margin-top:11.05pt;height:54.75pt;width:10.4pt;z-index:251660288;v-text-anchor:middle;mso-width-relative:page;mso-height-relative:page;" filled="f" stroked="t" coordsize="21600,21600" o:gfxdata="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Gk3nGrXAAAACgEAAA8AAAAAAAAAAQAgAAAAIgAA&#10;AGRycy9kb3ducmV2LnhtbFBLAQIUABQAAAAIAIdO4kAcNOsiewIAANUEAAAOAAAAAAAAAAEAIAAA&#10;ACYBAABkcnMvZTJvRG9jLnhtbFBLBQYAAAAABgAGAFkBAAATBgAAAAA=&#10;" adj="342,10800">
                <v:fill on="f" focussize="0,0"/>
                <v:stroke weight="1pt" color="#5B9BD5 [3204]" miterlimit="8" joinstyle="miter"/>
                <v:imagedata o:title=""/>
                <o:lock v:ext="edit" aspectratio="f"/>
              </v:shape>
            </w:pict>
          </mc:Fallback>
        </mc:AlternateContent>
      </w:r>
      <w:r>
        <w:rPr>
          <w:lang w:val="en-US" w:eastAsia="zh-CN"/>
        </w:rPr>
        <w:drawing>
          <wp:inline distT="0" distB="0" distL="0" distR="0">
            <wp:extent cx="2421890" cy="462280"/>
            <wp:effectExtent l="0" t="0" r="127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0">
                      <a:extLst>
                        <a:ext uri="{28A0092B-C50C-407E-A947-70E740481C1C}">
                          <a14:useLocalDpi xmlns:a14="http://schemas.microsoft.com/office/drawing/2010/main" val="0"/>
                        </a:ext>
                      </a:extLst>
                    </a:blip>
                    <a:srcRect l="-3352" t="23797" r="-1024" b="45817"/>
                    <a:stretch>
                      <a:fillRect/>
                    </a:stretch>
                  </pic:blipFill>
                  <pic:spPr>
                    <a:xfrm>
                      <a:off x="0" y="0"/>
                      <a:ext cx="2423160" cy="462645"/>
                    </a:xfrm>
                    <a:prstGeom prst="rect">
                      <a:avLst/>
                    </a:prstGeom>
                    <a:noFill/>
                    <a:ln>
                      <a:noFill/>
                    </a:ln>
                  </pic:spPr>
                </pic:pic>
              </a:graphicData>
            </a:graphic>
          </wp:inline>
        </w:drawing>
      </w:r>
    </w:p>
    <w:p>
      <w:pPr>
        <w:keepNext/>
        <w:keepLines/>
        <w:jc w:val="center"/>
        <w:rPr>
          <w:lang w:val="en-US" w:eastAsia="zh-CN"/>
        </w:rPr>
      </w:pPr>
      <w:r>
        <w:rPr>
          <w:lang w:val="en-US" w:eastAsia="zh-CN"/>
        </w:rPr>
        <w:drawing>
          <wp:inline distT="0" distB="0" distL="0" distR="0">
            <wp:extent cx="2423160" cy="361950"/>
            <wp:effectExtent l="0" t="0" r="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0">
                      <a:extLst>
                        <a:ext uri="{28A0092B-C50C-407E-A947-70E740481C1C}">
                          <a14:useLocalDpi xmlns:a14="http://schemas.microsoft.com/office/drawing/2010/main" val="0"/>
                        </a:ext>
                      </a:extLst>
                    </a:blip>
                    <a:srcRect l="-3352" t="78472" r="-1024" b="-2271"/>
                    <a:stretch>
                      <a:fillRect/>
                    </a:stretch>
                  </pic:blipFill>
                  <pic:spPr>
                    <a:xfrm>
                      <a:off x="0" y="0"/>
                      <a:ext cx="2423160" cy="362373"/>
                    </a:xfrm>
                    <a:prstGeom prst="rect">
                      <a:avLst/>
                    </a:prstGeom>
                    <a:noFill/>
                    <a:ln>
                      <a:noFill/>
                    </a:ln>
                  </pic:spPr>
                </pic:pic>
              </a:graphicData>
            </a:graphic>
          </wp:inline>
        </w:drawing>
      </w:r>
    </w:p>
    <w:p>
      <w:pPr>
        <w:keepNext/>
        <w:keepLines/>
        <w:jc w:val="center"/>
        <w:rPr>
          <w:rFonts w:hint="default"/>
          <w:lang w:val="en-US" w:eastAsia="zh-CN"/>
        </w:rPr>
      </w:pPr>
      <w:r>
        <w:rPr>
          <w:rFonts w:hint="eastAsia"/>
          <w:lang w:val="en-US" w:eastAsia="zh-CN"/>
        </w:rPr>
        <w:t>Figure 1. CA configuration with SUL for each aggregated cell</w:t>
      </w:r>
    </w:p>
    <w:p>
      <w:pPr>
        <w:keepNext/>
        <w:keepLines/>
        <w:jc w:val="both"/>
      </w:pPr>
      <w:r>
        <w:t>To decouple the higher DL CA complexity from the utilization of SUL bands, one solution is to allow one serving cell configured with multiple SUL carriers as the following:</w:t>
      </w:r>
    </w:p>
    <w:p>
      <w:pPr>
        <w:keepNext/>
        <w:keepLines/>
        <w:jc w:val="center"/>
      </w:pPr>
      <w:r>
        <w:rPr>
          <w:lang w:val="en-US" w:eastAsia="zh-CN"/>
        </w:rPr>
        <mc:AlternateContent>
          <mc:Choice Requires="wps">
            <w:drawing>
              <wp:anchor distT="0" distB="0" distL="114300" distR="114300" simplePos="0" relativeHeight="251663360" behindDoc="0" locked="0" layoutInCell="1" allowOverlap="1">
                <wp:simplePos x="0" y="0"/>
                <wp:positionH relativeFrom="column">
                  <wp:posOffset>1659890</wp:posOffset>
                </wp:positionH>
                <wp:positionV relativeFrom="paragraph">
                  <wp:posOffset>180975</wp:posOffset>
                </wp:positionV>
                <wp:extent cx="187325" cy="1259840"/>
                <wp:effectExtent l="50800" t="6350" r="5715" b="13970"/>
                <wp:wrapNone/>
                <wp:docPr id="16" name="左大括号 16"/>
                <wp:cNvGraphicFramePr/>
                <a:graphic xmlns:a="http://schemas.openxmlformats.org/drawingml/2006/main">
                  <a:graphicData uri="http://schemas.microsoft.com/office/word/2010/wordprocessingShape">
                    <wps:wsp>
                      <wps:cNvSpPr/>
                      <wps:spPr>
                        <a:xfrm>
                          <a:off x="0" y="0"/>
                          <a:ext cx="187087" cy="1259856"/>
                        </a:xfrm>
                        <a:prstGeom prst="leftBrace">
                          <a:avLst/>
                        </a:prstGeom>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87" type="#_x0000_t87" style="position:absolute;left:0pt;margin-left:130.7pt;margin-top:14.25pt;height:99.2pt;width:14.75pt;z-index:251663360;v-text-anchor:middle;mso-width-relative:page;mso-height-relative:page;" filled="f" stroked="t" coordsize="21600,21600" o:gfxdata="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BBRnhY2AAAAAoBAAAPAAAAAAAAAAEAIAAAACIA&#10;AABkcnMvZG93bnJldi54bWxQSwECFAAUAAAACACHTuJAUrPKw3sCAADYBAAADgAAAAAAAAABACAA&#10;AAAnAQAAZHJzL2Uyb0RvYy54bWxQSwUGAAAAAAYABgBZAQAAFAYAAAAA&#10;" adj="267,10800">
                <v:fill on="f" focussize="0,0"/>
                <v:stroke weight="1pt" color="#5B9BD5 [3204]" miterlimit="8" joinstyle="miter"/>
                <v:imagedata o:title=""/>
                <o:lock v:ext="edit" aspectratio="f"/>
              </v:shape>
            </w:pict>
          </mc:Fallback>
        </mc:AlternateContent>
      </w:r>
      <w:r>
        <w:rPr>
          <w:lang w:val="en-US" w:eastAsia="zh-CN"/>
        </w:rPr>
        <w:drawing>
          <wp:inline distT="0" distB="0" distL="0" distR="0">
            <wp:extent cx="2423160" cy="46228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0">
                      <a:extLst>
                        <a:ext uri="{28A0092B-C50C-407E-A947-70E740481C1C}">
                          <a14:useLocalDpi xmlns:a14="http://schemas.microsoft.com/office/drawing/2010/main" val="0"/>
                        </a:ext>
                      </a:extLst>
                    </a:blip>
                    <a:srcRect l="-3352" t="-5535" r="-1024" b="75161"/>
                    <a:stretch>
                      <a:fillRect/>
                    </a:stretch>
                  </pic:blipFill>
                  <pic:spPr>
                    <a:xfrm>
                      <a:off x="0" y="0"/>
                      <a:ext cx="2423160" cy="462486"/>
                    </a:xfrm>
                    <a:prstGeom prst="rect">
                      <a:avLst/>
                    </a:prstGeom>
                    <a:noFill/>
                    <a:ln>
                      <a:noFill/>
                    </a:ln>
                  </pic:spPr>
                </pic:pic>
              </a:graphicData>
            </a:graphic>
          </wp:inline>
        </w:drawing>
      </w:r>
    </w:p>
    <w:p>
      <w:pPr>
        <w:keepNext/>
        <w:keepLines/>
        <w:jc w:val="center"/>
      </w:pPr>
      <w:r>
        <w:rPr>
          <w:lang w:val="en-US" w:eastAsia="zh-CN"/>
        </w:rPr>
        <mc:AlternateContent>
          <mc:Choice Requires="wps">
            <w:drawing>
              <wp:anchor distT="0" distB="0" distL="114300" distR="114300" simplePos="0" relativeHeight="251664384" behindDoc="0" locked="0" layoutInCell="1" allowOverlap="1">
                <wp:simplePos x="0" y="0"/>
                <wp:positionH relativeFrom="column">
                  <wp:posOffset>664845</wp:posOffset>
                </wp:positionH>
                <wp:positionV relativeFrom="paragraph">
                  <wp:posOffset>101600</wp:posOffset>
                </wp:positionV>
                <wp:extent cx="922020" cy="335915"/>
                <wp:effectExtent l="6350" t="6350" r="16510" b="8255"/>
                <wp:wrapNone/>
                <wp:docPr id="17" name="矩形 17"/>
                <wp:cNvGraphicFramePr/>
                <a:graphic xmlns:a="http://schemas.openxmlformats.org/drawingml/2006/main">
                  <a:graphicData uri="http://schemas.microsoft.com/office/word/2010/wordprocessingShape">
                    <wps:wsp>
                      <wps:cNvSpPr/>
                      <wps:spPr>
                        <a:xfrm>
                          <a:off x="0" y="0"/>
                          <a:ext cx="922328" cy="335632"/>
                        </a:xfrm>
                        <a:prstGeom prst="rect">
                          <a:avLst/>
                        </a:prstGeom>
                      </wps:spPr>
                      <wps:style>
                        <a:lnRef idx="2">
                          <a:schemeClr val="accent1"/>
                        </a:lnRef>
                        <a:fillRef idx="1">
                          <a:schemeClr val="lt1"/>
                        </a:fillRef>
                        <a:effectRef idx="0">
                          <a:schemeClr val="accent1"/>
                        </a:effectRef>
                        <a:fontRef idx="minor">
                          <a:schemeClr val="dk1"/>
                        </a:fontRef>
                      </wps:style>
                      <wps:txbx>
                        <w:txbxContent>
                          <w:p>
                            <w:r>
                              <w:t xml:space="preserve">Serving cell 1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52.35pt;margin-top:8pt;height:26.45pt;width:72.6pt;z-index:251664384;v-text-anchor:middle;mso-width-relative:page;mso-height-relative:page;" fillcolor="#FFFFFF [3201]" filled="t" stroked="t" coordsize="21600,21600" o:gfxdata="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ChoosNYAAAAJAQAADwAAAAAAAAABACAAAAAiAAAA&#10;ZHJzL2Rvd25yZXYueG1sUEsBAhQAFAAAAAgAh07iQAnpCWd7AgAAAAUAAA4AAAAAAAAAAQAgAAAA&#10;JQEAAGRycy9lMm9Eb2MueG1sUEsFBgAAAAAGAAYAWQEAABIGAAAAAA==&#10;">
                <v:fill on="t" focussize="0,0"/>
                <v:stroke weight="1pt" color="#5B9BD5 [3204]" miterlimit="8" joinstyle="miter"/>
                <v:imagedata o:title=""/>
                <o:lock v:ext="edit" aspectratio="f"/>
                <v:textbox>
                  <w:txbxContent>
                    <w:p>
                      <w:r>
                        <w:t xml:space="preserve">Serving cell 1 </w:t>
                      </w:r>
                    </w:p>
                  </w:txbxContent>
                </v:textbox>
              </v:rect>
            </w:pict>
          </mc:Fallback>
        </mc:AlternateContent>
      </w:r>
      <w:r>
        <w:rPr>
          <w:lang w:val="en-US" w:eastAsia="zh-CN"/>
        </w:rPr>
        <w:drawing>
          <wp:inline distT="0" distB="0" distL="0" distR="0">
            <wp:extent cx="2421890" cy="462280"/>
            <wp:effectExtent l="0" t="0" r="127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0">
                      <a:extLst>
                        <a:ext uri="{28A0092B-C50C-407E-A947-70E740481C1C}">
                          <a14:useLocalDpi xmlns:a14="http://schemas.microsoft.com/office/drawing/2010/main" val="0"/>
                        </a:ext>
                      </a:extLst>
                    </a:blip>
                    <a:srcRect l="-3352" t="23797" r="-1024" b="45817"/>
                    <a:stretch>
                      <a:fillRect/>
                    </a:stretch>
                  </pic:blipFill>
                  <pic:spPr>
                    <a:xfrm>
                      <a:off x="0" y="0"/>
                      <a:ext cx="2423160" cy="462645"/>
                    </a:xfrm>
                    <a:prstGeom prst="rect">
                      <a:avLst/>
                    </a:prstGeom>
                    <a:noFill/>
                    <a:ln>
                      <a:noFill/>
                    </a:ln>
                  </pic:spPr>
                </pic:pic>
              </a:graphicData>
            </a:graphic>
          </wp:inline>
        </w:drawing>
      </w:r>
    </w:p>
    <w:p>
      <w:pPr>
        <w:keepNext/>
        <w:keepLines/>
        <w:jc w:val="center"/>
      </w:pPr>
      <w:r>
        <w:rPr>
          <w:lang w:val="en-US" w:eastAsia="zh-CN"/>
        </w:rPr>
        <w:drawing>
          <wp:inline distT="0" distB="0" distL="0" distR="0">
            <wp:extent cx="2421890" cy="385445"/>
            <wp:effectExtent l="0" t="0" r="1270" b="1143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0">
                      <a:extLst>
                        <a:ext uri="{28A0092B-C50C-407E-A947-70E740481C1C}">
                          <a14:useLocalDpi xmlns:a14="http://schemas.microsoft.com/office/drawing/2010/main" val="0"/>
                        </a:ext>
                      </a:extLst>
                    </a:blip>
                    <a:srcRect l="-3352" t="53998" r="-1024" b="20650"/>
                    <a:stretch>
                      <a:fillRect/>
                    </a:stretch>
                  </pic:blipFill>
                  <pic:spPr>
                    <a:xfrm>
                      <a:off x="0" y="0"/>
                      <a:ext cx="2423160" cy="386007"/>
                    </a:xfrm>
                    <a:prstGeom prst="rect">
                      <a:avLst/>
                    </a:prstGeom>
                    <a:noFill/>
                    <a:ln>
                      <a:noFill/>
                    </a:ln>
                  </pic:spPr>
                </pic:pic>
              </a:graphicData>
            </a:graphic>
          </wp:inline>
        </w:drawing>
      </w:r>
    </w:p>
    <w:p>
      <w:pPr>
        <w:keepNext/>
        <w:keepLines/>
        <w:jc w:val="center"/>
        <w:rPr>
          <w:rFonts w:hint="default"/>
          <w:lang w:val="en-US" w:eastAsia="zh-CN"/>
        </w:rPr>
      </w:pPr>
      <w:r>
        <w:rPr>
          <w:rFonts w:hint="eastAsia"/>
          <w:lang w:val="en-US" w:eastAsia="zh-CN"/>
        </w:rPr>
        <w:t>Figure 2. Multiple SUL carrier for one cell</w:t>
      </w:r>
    </w:p>
    <w:p>
      <w:pPr>
        <w:jc w:val="both"/>
        <w:rPr>
          <w:rFonts w:eastAsiaTheme="minorEastAsia"/>
          <w:lang w:val="en-US" w:eastAsia="zh-CN"/>
        </w:rPr>
      </w:pPr>
      <w:r>
        <w:rPr>
          <w:rFonts w:hint="eastAsia" w:eastAsiaTheme="minorEastAsia"/>
          <w:lang w:val="en-US" w:eastAsia="zh-CN"/>
        </w:rPr>
        <w:t>Therefore,</w:t>
      </w:r>
      <w:r>
        <w:rPr>
          <w:rFonts w:eastAsiaTheme="minorEastAsia"/>
          <w:lang w:val="en-US" w:eastAsia="zh-CN"/>
        </w:rPr>
        <w:t xml:space="preserve"> </w:t>
      </w:r>
      <w:r>
        <w:rPr>
          <w:rFonts w:hint="eastAsia" w:eastAsiaTheme="minorEastAsia"/>
          <w:lang w:val="en-US" w:eastAsia="zh-CN"/>
        </w:rPr>
        <w:t xml:space="preserve">to provide more flexible UL resources and support UL heavy traffic, </w:t>
      </w:r>
      <w:r>
        <w:rPr>
          <w:rFonts w:eastAsiaTheme="minorEastAsia"/>
          <w:lang w:val="en-US" w:eastAsia="zh-CN"/>
        </w:rPr>
        <w:t xml:space="preserve">one serving </w:t>
      </w:r>
      <w:r>
        <w:rPr>
          <w:rFonts w:hint="eastAsia" w:eastAsiaTheme="minorEastAsia"/>
          <w:lang w:val="en-US" w:eastAsia="zh-CN"/>
        </w:rPr>
        <w:t xml:space="preserve">cell </w:t>
      </w:r>
      <w:r>
        <w:rPr>
          <w:rFonts w:eastAsiaTheme="minorEastAsia"/>
          <w:lang w:val="en-US" w:eastAsia="zh-CN"/>
        </w:rPr>
        <w:t>configured with multiple SUL carriers can be considered in Rel-19 multi carrier enhancements. Whether UE can transmit on only one SUL carrier or multiple SUL carriers simultaneously can be further discussed.</w:t>
      </w:r>
      <w:bookmarkStart w:id="1" w:name="_GoBack"/>
      <w:bookmarkEnd w:id="1"/>
    </w:p>
    <w:p>
      <w:pPr>
        <w:spacing w:after="120"/>
        <w:jc w:val="both"/>
        <w:rPr>
          <w:b/>
          <w:bCs/>
          <w:lang w:val="en-US" w:eastAsia="zh-CN"/>
        </w:rPr>
      </w:pPr>
      <w:r>
        <w:rPr>
          <w:b/>
          <w:bCs/>
          <w:lang w:val="en-US" w:eastAsia="zh-CN"/>
        </w:rPr>
        <w:t xml:space="preserve">Proposal </w:t>
      </w:r>
      <w:r>
        <w:rPr>
          <w:rFonts w:hint="eastAsia"/>
          <w:b/>
          <w:bCs/>
          <w:lang w:val="en-US" w:eastAsia="zh-CN"/>
        </w:rPr>
        <w:t>4</w:t>
      </w:r>
      <w:r>
        <w:rPr>
          <w:b/>
          <w:bCs/>
          <w:lang w:val="en-US" w:eastAsia="zh-CN"/>
        </w:rPr>
        <w:t xml:space="preserve">. </w:t>
      </w:r>
      <w:r>
        <w:rPr>
          <w:rFonts w:eastAsiaTheme="minorEastAsia"/>
          <w:b/>
          <w:bCs/>
          <w:lang w:val="en-US" w:eastAsia="zh-CN"/>
        </w:rPr>
        <w:t>Enhancement of SUL cell can be considered in Rel-19 multi-carrier enhancement, including the following objectives:</w:t>
      </w:r>
    </w:p>
    <w:p>
      <w:pPr>
        <w:numPr>
          <w:ilvl w:val="0"/>
          <w:numId w:val="11"/>
        </w:numPr>
        <w:spacing w:after="120"/>
        <w:jc w:val="both"/>
        <w:rPr>
          <w:rFonts w:eastAsiaTheme="minorEastAsia"/>
          <w:b/>
          <w:bCs/>
          <w:lang w:val="en-US" w:eastAsia="zh-CN"/>
        </w:rPr>
      </w:pPr>
      <w:r>
        <w:rPr>
          <w:rFonts w:eastAsiaTheme="minorEastAsia"/>
          <w:b/>
          <w:bCs/>
          <w:lang w:val="en-US" w:eastAsia="zh-CN"/>
        </w:rPr>
        <w:t>Support configuring multiple SUL carriers in one serving cell;</w:t>
      </w:r>
    </w:p>
    <w:p>
      <w:pPr>
        <w:numPr>
          <w:ilvl w:val="0"/>
          <w:numId w:val="11"/>
        </w:numPr>
        <w:spacing w:after="120"/>
        <w:jc w:val="both"/>
        <w:rPr>
          <w:rFonts w:eastAsiaTheme="minorEastAsia"/>
          <w:b/>
          <w:bCs/>
          <w:lang w:val="en-US" w:eastAsia="zh-CN"/>
        </w:rPr>
      </w:pPr>
      <w:r>
        <w:rPr>
          <w:rFonts w:eastAsiaTheme="minorEastAsia"/>
          <w:b/>
          <w:bCs/>
          <w:lang w:val="en-US" w:eastAsia="zh-CN"/>
        </w:rPr>
        <w:t xml:space="preserve">Support switched or concurrent transmission on multiple SUL carriers within one serving cell. </w:t>
      </w:r>
    </w:p>
    <w:p>
      <w:pPr>
        <w:jc w:val="left"/>
        <w:rPr>
          <w:rFonts w:hint="default" w:eastAsiaTheme="minorEastAsia"/>
          <w:b/>
          <w:bCs/>
          <w:highlight w:val="none"/>
          <w:lang w:val="en-US" w:eastAsia="zh-CN"/>
        </w:rPr>
      </w:pPr>
    </w:p>
    <w:p>
      <w:pPr>
        <w:pStyle w:val="2"/>
        <w:rPr>
          <w:highlight w:val="none"/>
          <w:lang w:eastAsia="zh-CN"/>
        </w:rPr>
      </w:pPr>
      <w:r>
        <w:rPr>
          <w:rFonts w:hint="eastAsia"/>
          <w:highlight w:val="none"/>
          <w:lang w:val="en-US" w:eastAsia="zh-CN"/>
        </w:rPr>
        <w:t>Multi-UE scheduling enhancement</w:t>
      </w:r>
    </w:p>
    <w:p>
      <w:pPr>
        <w:rPr>
          <w:rFonts w:hint="default"/>
          <w:lang w:val="en-US" w:eastAsia="zh-CN"/>
        </w:rPr>
      </w:pPr>
      <w:r>
        <w:rPr>
          <w:rFonts w:hint="eastAsia"/>
          <w:highlight w:val="none"/>
          <w:lang w:val="en-US" w:eastAsia="zh-CN"/>
        </w:rPr>
        <w:t xml:space="preserve">In our practical network deployment, </w:t>
      </w:r>
      <w:r>
        <w:rPr>
          <w:rFonts w:hint="eastAsia"/>
          <w:lang w:val="en-US" w:eastAsia="zh-CN"/>
        </w:rPr>
        <w:t xml:space="preserve">we found that in some scenarios, such as gathering places for big show, or some hot </w:t>
      </w:r>
      <w:r>
        <w:rPr>
          <w:rFonts w:hint="eastAsia"/>
          <w:highlight w:val="none"/>
          <w:lang w:val="en-US" w:eastAsia="zh-CN"/>
        </w:rPr>
        <w:t>tourist attractions,</w:t>
      </w:r>
      <w:r>
        <w:rPr>
          <w:rFonts w:hint="eastAsia"/>
          <w:lang w:val="en-US" w:eastAsia="zh-CN"/>
        </w:rPr>
        <w:t xml:space="preserve"> when the number of activated UEs increases and larger than for example two hundreds, the PRB utilization rate will decrease. One of the reasons is that large aggregation level will be used to overcome higher interference, and PDCCH blocking probability will also increase. As a result, there will be some UEs that can not be scheduled. This means the PDCCH resource limit the cell capacity.</w:t>
      </w:r>
    </w:p>
    <w:p>
      <w:pPr>
        <w:rPr>
          <w:rFonts w:hint="eastAsia"/>
          <w:lang w:val="en-US" w:eastAsia="zh-CN"/>
        </w:rPr>
      </w:pPr>
      <w:r>
        <w:rPr>
          <w:rFonts w:hint="eastAsia"/>
          <w:lang w:val="en-US" w:eastAsia="zh-CN"/>
        </w:rPr>
        <w:t>In the future, with increase of  UE numbers, especially for higher connection density application, such as with wide deployment of RedCap, the capacity of PDCCH is likely to be further limited.</w:t>
      </w:r>
    </w:p>
    <w:p>
      <w:pPr>
        <w:rPr>
          <w:rFonts w:hint="eastAsia"/>
          <w:lang w:val="en-US" w:eastAsia="zh-CN"/>
        </w:rPr>
      </w:pPr>
      <w:r>
        <w:rPr>
          <w:rFonts w:hint="eastAsia"/>
          <w:lang w:val="en-US" w:eastAsia="zh-CN"/>
        </w:rPr>
        <w:t>So enhancement to reduce PDCCH overhead needed, which can save PDCCH resource and support more UE scheduling.</w:t>
      </w:r>
    </w:p>
    <w:p>
      <w:pPr>
        <w:rPr>
          <w:rFonts w:hint="default"/>
          <w:lang w:val="en-US" w:eastAsia="zh-CN"/>
        </w:rPr>
      </w:pPr>
      <w:r>
        <w:rPr>
          <w:rFonts w:hint="eastAsia"/>
          <w:lang w:val="en-US" w:eastAsia="zh-CN"/>
        </w:rPr>
        <w:t>Multiple PDSCHs/PUSCHs scheduling for one UE can be one solution to save PDCCH overhead, and this is useful for UEs with large traffic which will last for several slots. However, when the packets of UE is not large, single slot scheduling may be enough, for such case, multi-UE scheduling with single DCI can be considered for PDCCH overhead reduction, where one DCI carries scheduling information for multiple UEs, some common fields can be used for multiple UEs to reduce the payload of DCI. Multi-carrier scheduling based on single DCI in R18 can be starting point for the multi-UE scheduling design.</w:t>
      </w:r>
    </w:p>
    <w:p>
      <w:pPr>
        <w:jc w:val="left"/>
        <w:rPr>
          <w:rFonts w:hint="default" w:eastAsiaTheme="minorEastAsia"/>
          <w:b/>
          <w:bCs/>
          <w:highlight w:val="none"/>
          <w:lang w:val="en-US" w:eastAsia="zh-CN"/>
        </w:rPr>
      </w:pPr>
      <w:r>
        <w:rPr>
          <w:rFonts w:hint="eastAsia" w:eastAsiaTheme="minorEastAsia"/>
          <w:b/>
          <w:bCs/>
          <w:highlight w:val="none"/>
          <w:lang w:val="en-US" w:eastAsia="zh-CN"/>
        </w:rPr>
        <w:t xml:space="preserve">Proposal 5: Support multi-UE scheduling with single DCI to reduce PDCCH overhead. </w:t>
      </w:r>
    </w:p>
    <w:p>
      <w:pPr>
        <w:pStyle w:val="2"/>
        <w:rPr>
          <w:highlight w:val="none"/>
          <w:lang w:eastAsia="zh-CN"/>
        </w:rPr>
      </w:pPr>
      <w:r>
        <w:rPr>
          <w:highlight w:val="none"/>
          <w:lang w:eastAsia="zh-CN"/>
        </w:rPr>
        <w:t>Conclusion</w:t>
      </w:r>
    </w:p>
    <w:p>
      <w:pPr>
        <w:rPr>
          <w:highlight w:val="none"/>
          <w:lang w:val="en-GB" w:eastAsia="zh-CN"/>
        </w:rPr>
      </w:pPr>
      <w:r>
        <w:rPr>
          <w:highlight w:val="none"/>
          <w:lang w:val="en-GB" w:eastAsia="zh-CN"/>
        </w:rPr>
        <w:t xml:space="preserve">In this contribution, we discussed the </w:t>
      </w:r>
      <w:r>
        <w:rPr>
          <w:rFonts w:hint="default"/>
          <w:highlight w:val="none"/>
          <w:lang w:val="en-US" w:eastAsia="zh-CN"/>
        </w:rPr>
        <w:t>motivation of further enhancement for multiple carrier schemes</w:t>
      </w:r>
      <w:r>
        <w:rPr>
          <w:highlight w:val="none"/>
          <w:lang w:val="en-GB" w:eastAsia="zh-CN"/>
        </w:rPr>
        <w:t xml:space="preserve">, </w:t>
      </w:r>
      <w:r>
        <w:rPr>
          <w:rFonts w:hint="default"/>
          <w:highlight w:val="none"/>
          <w:lang w:val="en-US" w:eastAsia="zh-CN"/>
        </w:rPr>
        <w:t xml:space="preserve">and a </w:t>
      </w:r>
      <w:r>
        <w:rPr>
          <w:rFonts w:eastAsiaTheme="minorEastAsia"/>
          <w:highlight w:val="none"/>
          <w:lang w:eastAsia="zh-CN"/>
        </w:rPr>
        <w:t>frequency combination based elastic cell</w:t>
      </w:r>
      <w:r>
        <w:rPr>
          <w:rFonts w:hint="default" w:eastAsiaTheme="minorEastAsia"/>
          <w:highlight w:val="none"/>
          <w:lang w:val="en-US" w:eastAsia="zh-CN"/>
        </w:rPr>
        <w:t xml:space="preserve"> structure is proposed, </w:t>
      </w:r>
      <w:r>
        <w:rPr>
          <w:rFonts w:hint="default"/>
          <w:highlight w:val="none"/>
          <w:lang w:val="en-US" w:eastAsia="zh-CN"/>
        </w:rPr>
        <w:t>t</w:t>
      </w:r>
      <w:r>
        <w:rPr>
          <w:highlight w:val="none"/>
          <w:lang w:val="en-GB" w:eastAsia="zh-CN"/>
        </w:rPr>
        <w:t>he following</w:t>
      </w:r>
      <w:r>
        <w:rPr>
          <w:rFonts w:hint="default"/>
          <w:highlight w:val="none"/>
          <w:lang w:val="en-US" w:eastAsia="zh-CN"/>
        </w:rPr>
        <w:t xml:space="preserve"> observation and</w:t>
      </w:r>
      <w:r>
        <w:rPr>
          <w:highlight w:val="none"/>
          <w:lang w:val="en-GB" w:eastAsia="zh-CN"/>
        </w:rPr>
        <w:t xml:space="preserve"> </w:t>
      </w:r>
      <w:r>
        <w:rPr>
          <w:rFonts w:hint="default"/>
          <w:highlight w:val="none"/>
          <w:lang w:val="en-US" w:eastAsia="zh-CN"/>
        </w:rPr>
        <w:t>proposal are</w:t>
      </w:r>
      <w:r>
        <w:rPr>
          <w:rFonts w:hint="default"/>
          <w:highlight w:val="none"/>
          <w:lang w:val="en-US" w:eastAsia="ja-JP"/>
        </w:rPr>
        <w:t xml:space="preserve"> made</w:t>
      </w:r>
      <w:r>
        <w:rPr>
          <w:highlight w:val="none"/>
          <w:lang w:val="en-GB" w:eastAsia="zh-CN"/>
        </w:rPr>
        <w:t xml:space="preserve">, </w:t>
      </w:r>
    </w:p>
    <w:p>
      <w:pPr>
        <w:jc w:val="left"/>
        <w:rPr>
          <w:rFonts w:hint="default" w:eastAsiaTheme="minorEastAsia"/>
          <w:b/>
          <w:bCs/>
          <w:highlight w:val="none"/>
          <w:lang w:val="en-US" w:eastAsia="zh-CN"/>
        </w:rPr>
      </w:pPr>
      <w:r>
        <w:rPr>
          <w:rFonts w:hint="default" w:eastAsiaTheme="minorEastAsia"/>
          <w:b/>
          <w:bCs/>
          <w:highlight w:val="none"/>
          <w:lang w:val="en-US" w:eastAsia="zh-CN"/>
        </w:rPr>
        <w:t>Observation: Enhancements to multi-carrier operation is needed to provide efficient and flexible IDLE/INACTIVE UEs mode multiple carrier operation and to reduce cell management overhead of existing CA framework.</w:t>
      </w:r>
    </w:p>
    <w:p>
      <w:pPr>
        <w:rPr>
          <w:rFonts w:hint="default"/>
          <w:b/>
          <w:bCs/>
          <w:highlight w:val="none"/>
          <w:lang w:val="en-US" w:eastAsia="zh-CN"/>
        </w:rPr>
      </w:pPr>
      <w:r>
        <w:rPr>
          <w:rFonts w:hint="default"/>
          <w:b/>
          <w:bCs/>
          <w:highlight w:val="none"/>
          <w:lang w:val="en-US" w:eastAsia="zh-CN"/>
        </w:rPr>
        <w:t>Proposal 1: Study enhancements to support more general  multiple carrier/frequency resource utilization, applied to both IDLE/INACTIVE mode and CONNECTED mode.</w:t>
      </w:r>
    </w:p>
    <w:p>
      <w:pPr>
        <w:rPr>
          <w:rFonts w:hint="default"/>
          <w:b/>
          <w:bCs/>
          <w:highlight w:val="none"/>
          <w:lang w:val="en-US" w:eastAsia="zh-CN"/>
        </w:rPr>
      </w:pPr>
      <w:r>
        <w:rPr>
          <w:rFonts w:hint="default"/>
          <w:b/>
          <w:bCs/>
          <w:highlight w:val="none"/>
          <w:lang w:val="en-US" w:eastAsia="zh-CN"/>
        </w:rPr>
        <w:t>Proposal 2: Study enhancements to simplify multiple carriers management effort and overhead.</w:t>
      </w:r>
    </w:p>
    <w:p>
      <w:pPr>
        <w:rPr>
          <w:rFonts w:hint="default"/>
          <w:b/>
          <w:bCs/>
          <w:highlight w:val="none"/>
          <w:lang w:val="en-US" w:eastAsia="zh-CN"/>
        </w:rPr>
      </w:pPr>
      <w:r>
        <w:rPr>
          <w:rFonts w:hint="default"/>
          <w:b/>
          <w:bCs/>
          <w:highlight w:val="none"/>
          <w:lang w:val="en-US" w:eastAsia="zh-CN"/>
        </w:rPr>
        <w:t>Proposal 3: Frequency combination based elastic cell can be studied in R19 for multi-carrier enhancement.</w:t>
      </w:r>
    </w:p>
    <w:p>
      <w:pPr>
        <w:spacing w:after="120"/>
        <w:jc w:val="both"/>
        <w:rPr>
          <w:b/>
          <w:bCs/>
          <w:lang w:val="en-US" w:eastAsia="zh-CN"/>
        </w:rPr>
      </w:pPr>
      <w:r>
        <w:rPr>
          <w:b/>
          <w:bCs/>
          <w:lang w:val="en-US" w:eastAsia="zh-CN"/>
        </w:rPr>
        <w:t xml:space="preserve">Proposal </w:t>
      </w:r>
      <w:r>
        <w:rPr>
          <w:rFonts w:hint="eastAsia"/>
          <w:b/>
          <w:bCs/>
          <w:lang w:val="en-US" w:eastAsia="zh-CN"/>
        </w:rPr>
        <w:t>4</w:t>
      </w:r>
      <w:r>
        <w:rPr>
          <w:b/>
          <w:bCs/>
          <w:lang w:val="en-US" w:eastAsia="zh-CN"/>
        </w:rPr>
        <w:t xml:space="preserve">. </w:t>
      </w:r>
      <w:r>
        <w:rPr>
          <w:rFonts w:eastAsiaTheme="minorEastAsia"/>
          <w:b/>
          <w:bCs/>
          <w:lang w:val="en-US" w:eastAsia="zh-CN"/>
        </w:rPr>
        <w:t>Enhancement of SUL cell can be considered in Rel-19 multi-carrier enhancement, including the following objectives:</w:t>
      </w:r>
    </w:p>
    <w:p>
      <w:pPr>
        <w:numPr>
          <w:ilvl w:val="0"/>
          <w:numId w:val="11"/>
        </w:numPr>
        <w:spacing w:after="120"/>
        <w:jc w:val="both"/>
        <w:rPr>
          <w:rFonts w:eastAsiaTheme="minorEastAsia"/>
          <w:b/>
          <w:bCs/>
          <w:lang w:val="en-US" w:eastAsia="zh-CN"/>
        </w:rPr>
      </w:pPr>
      <w:r>
        <w:rPr>
          <w:rFonts w:eastAsiaTheme="minorEastAsia"/>
          <w:b/>
          <w:bCs/>
          <w:lang w:val="en-US" w:eastAsia="zh-CN"/>
        </w:rPr>
        <w:t>Support configuring multiple SUL carriers in one serving cell;</w:t>
      </w:r>
    </w:p>
    <w:p>
      <w:pPr>
        <w:numPr>
          <w:ilvl w:val="0"/>
          <w:numId w:val="11"/>
        </w:numPr>
        <w:spacing w:after="120"/>
        <w:jc w:val="both"/>
        <w:rPr>
          <w:rFonts w:eastAsiaTheme="minorEastAsia"/>
          <w:b/>
          <w:bCs/>
          <w:lang w:val="en-US" w:eastAsia="zh-CN"/>
        </w:rPr>
      </w:pPr>
      <w:r>
        <w:rPr>
          <w:rFonts w:eastAsiaTheme="minorEastAsia"/>
          <w:b/>
          <w:bCs/>
          <w:lang w:val="en-US" w:eastAsia="zh-CN"/>
        </w:rPr>
        <w:t xml:space="preserve">Support switched or concurrent transmission on multiple SUL carriers within one serving cell. </w:t>
      </w:r>
    </w:p>
    <w:p>
      <w:pPr>
        <w:jc w:val="left"/>
        <w:rPr>
          <w:rFonts w:hint="default" w:eastAsiaTheme="minorEastAsia"/>
          <w:b/>
          <w:bCs/>
          <w:highlight w:val="none"/>
          <w:lang w:val="en-US" w:eastAsia="zh-CN"/>
        </w:rPr>
      </w:pPr>
      <w:r>
        <w:rPr>
          <w:rFonts w:hint="eastAsia" w:eastAsiaTheme="minorEastAsia"/>
          <w:b/>
          <w:bCs/>
          <w:highlight w:val="none"/>
          <w:lang w:val="en-US" w:eastAsia="zh-CN"/>
        </w:rPr>
        <w:t xml:space="preserve">Proposal 5: Support multi-UE scheduling with single DCI to reduce PDCCH overhead. </w:t>
      </w:r>
    </w:p>
    <w:p>
      <w:pPr>
        <w:rPr>
          <w:rFonts w:hint="default"/>
          <w:b/>
          <w:bCs/>
          <w:highlight w:val="none"/>
          <w:lang w:val="en-US" w:eastAsia="zh-CN"/>
        </w:rPr>
      </w:pPr>
    </w:p>
    <w:p>
      <w:pPr>
        <w:tabs>
          <w:tab w:val="center" w:pos="4536"/>
          <w:tab w:val="right" w:pos="8280"/>
          <w:tab w:val="right" w:pos="9639"/>
        </w:tabs>
        <w:spacing w:after="0" w:line="276" w:lineRule="auto"/>
        <w:ind w:right="2"/>
        <w:rPr>
          <w:highlight w:val="none"/>
          <w:lang w:eastAsia="zh-CN"/>
        </w:rPr>
      </w:pPr>
    </w:p>
    <w:sectPr>
      <w:footerReference r:id="rId5" w:type="default"/>
      <w:headerReference r:id="rId4" w:type="even"/>
      <w:footerReference r:id="rId6" w:type="even"/>
      <w:footnotePr>
        <w:numRestart w:val="eachSect"/>
      </w:footnotePr>
      <w:type w:val="continuous"/>
      <w:pgSz w:w="12240" w:h="15840"/>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auto"/>
    <w:pitch w:val="default"/>
    <w:sig w:usb0="00000000" w:usb1="00000000" w:usb2="00000000" w:usb3="00000000" w:csb0="0000019F"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New York">
    <w:altName w:val="DejaVu Math TeX Gyre"/>
    <w:panose1 w:val="02040503060506020304"/>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auto"/>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 w:name="Yu Gothic Light">
    <w:panose1 w:val="020B0300000000000000"/>
    <w:charset w:val="80"/>
    <w:family w:val="auto"/>
    <w:pitch w:val="default"/>
    <w:sig w:usb0="E00002FF" w:usb1="2AC7FDFF" w:usb2="00000016" w:usb3="00000000" w:csb0="2002009F" w:csb1="00000000"/>
  </w:font>
  <w:font w:name="Yu Gothic Medium">
    <w:panose1 w:val="020B0500000000000000"/>
    <w:charset w:val="80"/>
    <w:family w:val="auto"/>
    <w:pitch w:val="default"/>
    <w:sig w:usb0="E00002FF" w:usb1="2AC7FDFF" w:usb2="00000016" w:usb3="00000000" w:csb0="2002009F" w:csb1="00000000"/>
  </w:font>
  <w:font w:name="SimSun-ExtB">
    <w:panose1 w:val="02010609060101010101"/>
    <w:charset w:val="86"/>
    <w:family w:val="auto"/>
    <w:pitch w:val="default"/>
    <w:sig w:usb0="00000001" w:usb1="02000000" w:usb2="00000000" w:usb3="00000000" w:csb0="00040001"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pPr>
    <w:r>
      <w:rPr>
        <w:rStyle w:val="54"/>
      </w:rPr>
      <w:fldChar w:fldCharType="begin"/>
    </w:r>
    <w:r>
      <w:rPr>
        <w:rStyle w:val="54"/>
      </w:rPr>
      <w:instrText xml:space="preserve"> PAGE </w:instrText>
    </w:r>
    <w:r>
      <w:rPr>
        <w:rStyle w:val="54"/>
      </w:rPr>
      <w:fldChar w:fldCharType="separate"/>
    </w:r>
    <w:r>
      <w:rPr>
        <w:rStyle w:val="54"/>
      </w:rPr>
      <w:t>6</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6</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242162"/>
    <w:multiLevelType w:val="multilevel"/>
    <w:tmpl w:val="9B242162"/>
    <w:lvl w:ilvl="0" w:tentative="0">
      <w:start w:val="1"/>
      <w:numFmt w:val="decimal"/>
      <w:pStyle w:val="2"/>
      <w:lvlText w:val="%1."/>
      <w:lvlJc w:val="left"/>
      <w:pPr>
        <w:ind w:left="432" w:hanging="432"/>
      </w:pPr>
      <w:rPr>
        <w:rFonts w:hint="default" w:ascii="Times New Roman" w:hAnsi="Times New Roman" w:eastAsia="宋体" w:cs="宋体"/>
      </w:rPr>
    </w:lvl>
    <w:lvl w:ilvl="1" w:tentative="0">
      <w:start w:val="1"/>
      <w:numFmt w:val="decimal"/>
      <w:pStyle w:val="3"/>
      <w:lvlText w:val="%1.%2"/>
      <w:lvlJc w:val="left"/>
      <w:pPr>
        <w:ind w:left="1002" w:hanging="576"/>
      </w:pPr>
      <w:rPr>
        <w:rFonts w:hint="default" w:ascii="Times New Roman" w:hAnsi="Times New Roman" w:eastAsia="宋体" w:cs="Times New Roman"/>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1">
    <w:nsid w:val="BA37067D"/>
    <w:multiLevelType w:val="multilevel"/>
    <w:tmpl w:val="BA37067D"/>
    <w:lvl w:ilvl="0" w:tentative="0">
      <w:start w:val="1"/>
      <w:numFmt w:val="bullet"/>
      <w:lvlText w:val=""/>
      <w:lvlJc w:val="left"/>
      <w:pPr>
        <w:ind w:left="420" w:hanging="420"/>
      </w:pPr>
      <w:rPr>
        <w:rFonts w:hint="default" w:ascii="Symbol" w:hAnsi="Symbol" w:eastAsia="MS Mincho" w:cs="Times New Roman"/>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Times" w:hAnsi="Times" w:eastAsia="Batang" w:cs="Malgun Gothic"/>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09FBAA98"/>
    <w:multiLevelType w:val="singleLevel"/>
    <w:tmpl w:val="09FBAA98"/>
    <w:lvl w:ilvl="0" w:tentative="0">
      <w:start w:val="1"/>
      <w:numFmt w:val="bullet"/>
      <w:lvlText w:val=""/>
      <w:lvlJc w:val="left"/>
      <w:pPr>
        <w:ind w:left="420" w:hanging="420"/>
      </w:pPr>
      <w:rPr>
        <w:rFonts w:hint="default" w:ascii="Wingdings" w:hAnsi="Wingdings"/>
      </w:rPr>
    </w:lvl>
  </w:abstractNum>
  <w:abstractNum w:abstractNumId="3">
    <w:nsid w:val="2CC7125C"/>
    <w:multiLevelType w:val="singleLevel"/>
    <w:tmpl w:val="2CC7125C"/>
    <w:lvl w:ilvl="0" w:tentative="0">
      <w:start w:val="1"/>
      <w:numFmt w:val="bullet"/>
      <w:pStyle w:val="93"/>
      <w:lvlText w:val=""/>
      <w:lvlJc w:val="left"/>
      <w:pPr>
        <w:tabs>
          <w:tab w:val="left" w:pos="360"/>
        </w:tabs>
        <w:ind w:left="360" w:hanging="360"/>
      </w:pPr>
      <w:rPr>
        <w:rFonts w:hint="default" w:ascii="Symbol" w:hAnsi="Symbol"/>
      </w:rPr>
    </w:lvl>
  </w:abstractNum>
  <w:abstractNum w:abstractNumId="4">
    <w:nsid w:val="3A877D64"/>
    <w:multiLevelType w:val="singleLevel"/>
    <w:tmpl w:val="3A877D64"/>
    <w:lvl w:ilvl="0" w:tentative="0">
      <w:start w:val="1"/>
      <w:numFmt w:val="decimal"/>
      <w:pStyle w:val="125"/>
      <w:lvlText w:val="[%1]"/>
      <w:lvlJc w:val="left"/>
      <w:pPr>
        <w:tabs>
          <w:tab w:val="left" w:pos="360"/>
        </w:tabs>
        <w:ind w:left="360" w:hanging="360"/>
      </w:pPr>
    </w:lvl>
  </w:abstractNum>
  <w:abstractNum w:abstractNumId="5">
    <w:nsid w:val="417F6AFB"/>
    <w:multiLevelType w:val="multilevel"/>
    <w:tmpl w:val="417F6AFB"/>
    <w:lvl w:ilvl="0" w:tentative="0">
      <w:start w:val="1"/>
      <w:numFmt w:val="bullet"/>
      <w:pStyle w:val="167"/>
      <w:lvlText w:val="●"/>
      <w:lvlJc w:val="left"/>
      <w:pPr>
        <w:ind w:left="572" w:hanging="284"/>
      </w:pPr>
      <w:rPr>
        <w:rFonts w:hint="default" w:ascii="Times New Roman" w:hAnsi="Times New Roman" w:cs="Times New Roman"/>
        <w:color w:val="auto"/>
        <w:sz w:val="22"/>
      </w:rPr>
    </w:lvl>
    <w:lvl w:ilvl="1" w:tentative="0">
      <w:start w:val="1"/>
      <w:numFmt w:val="bullet"/>
      <w:lvlText w:val="○"/>
      <w:lvlJc w:val="left"/>
      <w:pPr>
        <w:ind w:left="855" w:hanging="283"/>
      </w:pPr>
      <w:rPr>
        <w:rFonts w:hint="default" w:ascii="Times New Roman" w:hAnsi="Times New Roman" w:cs="Times New Roman"/>
        <w:color w:val="auto"/>
        <w:sz w:val="22"/>
      </w:rPr>
    </w:lvl>
    <w:lvl w:ilvl="2" w:tentative="0">
      <w:start w:val="1"/>
      <w:numFmt w:val="bullet"/>
      <w:lvlText w:val="♦"/>
      <w:lvlJc w:val="left"/>
      <w:pPr>
        <w:ind w:left="1139" w:hanging="284"/>
      </w:pPr>
      <w:rPr>
        <w:rFonts w:hint="default" w:ascii="Times New Roman" w:hAnsi="Times New Roman" w:cs="Times New Roman"/>
        <w:color w:val="auto"/>
        <w:sz w:val="22"/>
      </w:rPr>
    </w:lvl>
    <w:lvl w:ilvl="3" w:tentative="0">
      <w:start w:val="1"/>
      <w:numFmt w:val="bullet"/>
      <w:lvlText w:val="□"/>
      <w:lvlJc w:val="left"/>
      <w:pPr>
        <w:ind w:left="1422" w:hanging="283"/>
      </w:pPr>
      <w:rPr>
        <w:rFonts w:hint="default" w:ascii="Times New Roman" w:hAnsi="Times New Roman" w:cs="Times New Roman"/>
        <w:color w:val="auto"/>
      </w:rPr>
    </w:lvl>
    <w:lvl w:ilvl="4" w:tentative="0">
      <w:start w:val="1"/>
      <w:numFmt w:val="bullet"/>
      <w:lvlText w:val="▪"/>
      <w:lvlJc w:val="left"/>
      <w:pPr>
        <w:ind w:left="1706" w:hanging="284"/>
      </w:pPr>
      <w:rPr>
        <w:rFonts w:hint="default" w:ascii="Times New Roman" w:hAnsi="Times New Roman" w:cs="Times New Roman"/>
        <w:color w:val="auto"/>
      </w:rPr>
    </w:lvl>
    <w:lvl w:ilvl="5" w:tentative="0">
      <w:start w:val="1"/>
      <w:numFmt w:val="lowerRoman"/>
      <w:lvlText w:val="(%6)"/>
      <w:lvlJc w:val="left"/>
      <w:pPr>
        <w:ind w:left="2448" w:hanging="360"/>
      </w:pPr>
      <w:rPr>
        <w:rFonts w:hint="default"/>
      </w:rPr>
    </w:lvl>
    <w:lvl w:ilvl="6" w:tentative="0">
      <w:start w:val="1"/>
      <w:numFmt w:val="decimal"/>
      <w:lvlText w:val="%7."/>
      <w:lvlJc w:val="left"/>
      <w:pPr>
        <w:ind w:left="2808" w:hanging="360"/>
      </w:pPr>
      <w:rPr>
        <w:rFonts w:hint="default"/>
      </w:rPr>
    </w:lvl>
    <w:lvl w:ilvl="7" w:tentative="0">
      <w:start w:val="1"/>
      <w:numFmt w:val="lowerLetter"/>
      <w:lvlText w:val="%8."/>
      <w:lvlJc w:val="left"/>
      <w:pPr>
        <w:ind w:left="3168" w:hanging="360"/>
      </w:pPr>
      <w:rPr>
        <w:rFonts w:hint="default"/>
      </w:rPr>
    </w:lvl>
    <w:lvl w:ilvl="8" w:tentative="0">
      <w:start w:val="1"/>
      <w:numFmt w:val="lowerRoman"/>
      <w:lvlText w:val="%9."/>
      <w:lvlJc w:val="left"/>
      <w:pPr>
        <w:ind w:left="3528" w:hanging="360"/>
      </w:pPr>
      <w:rPr>
        <w:rFonts w:hint="default"/>
      </w:rPr>
    </w:lvl>
  </w:abstractNum>
  <w:abstractNum w:abstractNumId="6">
    <w:nsid w:val="4A55685D"/>
    <w:multiLevelType w:val="singleLevel"/>
    <w:tmpl w:val="4A55685D"/>
    <w:lvl w:ilvl="0" w:tentative="0">
      <w:start w:val="1"/>
      <w:numFmt w:val="bullet"/>
      <w:pStyle w:val="152"/>
      <w:lvlText w:val=""/>
      <w:lvlJc w:val="left"/>
      <w:pPr>
        <w:tabs>
          <w:tab w:val="left" w:pos="992"/>
        </w:tabs>
        <w:ind w:left="992" w:hanging="425"/>
      </w:pPr>
      <w:rPr>
        <w:rFonts w:hint="default" w:ascii="Symbol" w:hAnsi="Symbol"/>
      </w:rPr>
    </w:lvl>
  </w:abstractNum>
  <w:abstractNum w:abstractNumId="7">
    <w:nsid w:val="68B663FC"/>
    <w:multiLevelType w:val="multilevel"/>
    <w:tmpl w:val="68B663FC"/>
    <w:lvl w:ilvl="0" w:tentative="0">
      <w:start w:val="1"/>
      <w:numFmt w:val="bullet"/>
      <w:pStyle w:val="142"/>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8">
    <w:nsid w:val="74CC7506"/>
    <w:multiLevelType w:val="multilevel"/>
    <w:tmpl w:val="74CC7506"/>
    <w:lvl w:ilvl="0" w:tentative="0">
      <w:start w:val="1"/>
      <w:numFmt w:val="decimal"/>
      <w:pStyle w:val="166"/>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44"/>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76B1B08"/>
    <w:multiLevelType w:val="multilevel"/>
    <w:tmpl w:val="776B1B08"/>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3"/>
  </w:num>
  <w:num w:numId="3">
    <w:abstractNumId w:val="4"/>
  </w:num>
  <w:num w:numId="4">
    <w:abstractNumId w:val="7"/>
  </w:num>
  <w:num w:numId="5">
    <w:abstractNumId w:val="9"/>
  </w:num>
  <w:num w:numId="6">
    <w:abstractNumId w:val="6"/>
  </w:num>
  <w:num w:numId="7">
    <w:abstractNumId w:val="8"/>
  </w:num>
  <w:num w:numId="8">
    <w:abstractNumId w:val="5"/>
  </w:num>
  <w:num w:numId="9">
    <w:abstractNumId w:val="2"/>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hideSpellingErrors/>
  <w:hideGrammatical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84"/>
    <w:rsid w:val="00000398"/>
    <w:rsid w:val="000003F7"/>
    <w:rsid w:val="000004CA"/>
    <w:rsid w:val="00000515"/>
    <w:rsid w:val="0000083F"/>
    <w:rsid w:val="000009BE"/>
    <w:rsid w:val="00000ECA"/>
    <w:rsid w:val="00000F7F"/>
    <w:rsid w:val="00001375"/>
    <w:rsid w:val="00001926"/>
    <w:rsid w:val="00001F79"/>
    <w:rsid w:val="00001FC3"/>
    <w:rsid w:val="00002375"/>
    <w:rsid w:val="0000270A"/>
    <w:rsid w:val="00002A8E"/>
    <w:rsid w:val="00002B56"/>
    <w:rsid w:val="00002BC6"/>
    <w:rsid w:val="00003131"/>
    <w:rsid w:val="00003227"/>
    <w:rsid w:val="000037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B7E"/>
    <w:rsid w:val="00010E58"/>
    <w:rsid w:val="00010E97"/>
    <w:rsid w:val="00010FD1"/>
    <w:rsid w:val="0001117C"/>
    <w:rsid w:val="00011185"/>
    <w:rsid w:val="000116BF"/>
    <w:rsid w:val="00012296"/>
    <w:rsid w:val="000124D1"/>
    <w:rsid w:val="00012D57"/>
    <w:rsid w:val="0001321B"/>
    <w:rsid w:val="00013353"/>
    <w:rsid w:val="0001368D"/>
    <w:rsid w:val="000137BA"/>
    <w:rsid w:val="00013B63"/>
    <w:rsid w:val="00013F64"/>
    <w:rsid w:val="000141F0"/>
    <w:rsid w:val="00014E0E"/>
    <w:rsid w:val="0001533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77F"/>
    <w:rsid w:val="000258DD"/>
    <w:rsid w:val="0002591B"/>
    <w:rsid w:val="000266AE"/>
    <w:rsid w:val="000267EB"/>
    <w:rsid w:val="000268EA"/>
    <w:rsid w:val="00026905"/>
    <w:rsid w:val="00026977"/>
    <w:rsid w:val="00026B7D"/>
    <w:rsid w:val="00026C64"/>
    <w:rsid w:val="00026EF9"/>
    <w:rsid w:val="00026FED"/>
    <w:rsid w:val="000271A3"/>
    <w:rsid w:val="00027236"/>
    <w:rsid w:val="00027333"/>
    <w:rsid w:val="000273DF"/>
    <w:rsid w:val="00027C6D"/>
    <w:rsid w:val="00027D1A"/>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2FA9"/>
    <w:rsid w:val="00033396"/>
    <w:rsid w:val="00034882"/>
    <w:rsid w:val="000349B7"/>
    <w:rsid w:val="00034F55"/>
    <w:rsid w:val="000352CF"/>
    <w:rsid w:val="0003540B"/>
    <w:rsid w:val="00035574"/>
    <w:rsid w:val="0003579F"/>
    <w:rsid w:val="00035A4E"/>
    <w:rsid w:val="0003601D"/>
    <w:rsid w:val="00036199"/>
    <w:rsid w:val="0003623F"/>
    <w:rsid w:val="000365A2"/>
    <w:rsid w:val="00036716"/>
    <w:rsid w:val="0003673B"/>
    <w:rsid w:val="0003698E"/>
    <w:rsid w:val="00036C0E"/>
    <w:rsid w:val="00036C45"/>
    <w:rsid w:val="00036FA7"/>
    <w:rsid w:val="000370B4"/>
    <w:rsid w:val="0003723F"/>
    <w:rsid w:val="000377E3"/>
    <w:rsid w:val="00037A21"/>
    <w:rsid w:val="00037C2D"/>
    <w:rsid w:val="000402B6"/>
    <w:rsid w:val="00040450"/>
    <w:rsid w:val="000404F2"/>
    <w:rsid w:val="00040AAD"/>
    <w:rsid w:val="00040C15"/>
    <w:rsid w:val="00040C87"/>
    <w:rsid w:val="00040D08"/>
    <w:rsid w:val="00040ED9"/>
    <w:rsid w:val="000413B8"/>
    <w:rsid w:val="000416DE"/>
    <w:rsid w:val="0004182E"/>
    <w:rsid w:val="000418C8"/>
    <w:rsid w:val="0004198E"/>
    <w:rsid w:val="00041D52"/>
    <w:rsid w:val="00041EC3"/>
    <w:rsid w:val="00042662"/>
    <w:rsid w:val="00042BFC"/>
    <w:rsid w:val="000430CF"/>
    <w:rsid w:val="00043407"/>
    <w:rsid w:val="00043703"/>
    <w:rsid w:val="00043A43"/>
    <w:rsid w:val="00044225"/>
    <w:rsid w:val="00044576"/>
    <w:rsid w:val="0004487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6A9"/>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8F5"/>
    <w:rsid w:val="00061A59"/>
    <w:rsid w:val="00061BDC"/>
    <w:rsid w:val="00061D2A"/>
    <w:rsid w:val="00061D31"/>
    <w:rsid w:val="00061DC4"/>
    <w:rsid w:val="000621A9"/>
    <w:rsid w:val="0006263A"/>
    <w:rsid w:val="00062D9A"/>
    <w:rsid w:val="00063167"/>
    <w:rsid w:val="000631CE"/>
    <w:rsid w:val="00063485"/>
    <w:rsid w:val="00063644"/>
    <w:rsid w:val="00063837"/>
    <w:rsid w:val="00063B05"/>
    <w:rsid w:val="00063BFE"/>
    <w:rsid w:val="00063D8D"/>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06EE"/>
    <w:rsid w:val="0007118F"/>
    <w:rsid w:val="000711C1"/>
    <w:rsid w:val="0007162A"/>
    <w:rsid w:val="000716FB"/>
    <w:rsid w:val="00071740"/>
    <w:rsid w:val="0007201B"/>
    <w:rsid w:val="000721EC"/>
    <w:rsid w:val="00072E75"/>
    <w:rsid w:val="00072EFA"/>
    <w:rsid w:val="00072FF7"/>
    <w:rsid w:val="0007337F"/>
    <w:rsid w:val="0007368E"/>
    <w:rsid w:val="00073785"/>
    <w:rsid w:val="00073974"/>
    <w:rsid w:val="00073E1A"/>
    <w:rsid w:val="000741B3"/>
    <w:rsid w:val="00074375"/>
    <w:rsid w:val="000743A0"/>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00A"/>
    <w:rsid w:val="0008022A"/>
    <w:rsid w:val="00080418"/>
    <w:rsid w:val="000805B2"/>
    <w:rsid w:val="00080696"/>
    <w:rsid w:val="000808A3"/>
    <w:rsid w:val="00080D74"/>
    <w:rsid w:val="00080DF0"/>
    <w:rsid w:val="00081039"/>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295"/>
    <w:rsid w:val="000853FE"/>
    <w:rsid w:val="00085A83"/>
    <w:rsid w:val="00085F08"/>
    <w:rsid w:val="000862BA"/>
    <w:rsid w:val="000862F6"/>
    <w:rsid w:val="0008671D"/>
    <w:rsid w:val="000868B5"/>
    <w:rsid w:val="00086913"/>
    <w:rsid w:val="00086936"/>
    <w:rsid w:val="00086B50"/>
    <w:rsid w:val="00086B78"/>
    <w:rsid w:val="00086C4D"/>
    <w:rsid w:val="0008760B"/>
    <w:rsid w:val="0008782D"/>
    <w:rsid w:val="00087E29"/>
    <w:rsid w:val="00087F35"/>
    <w:rsid w:val="00090010"/>
    <w:rsid w:val="0009037D"/>
    <w:rsid w:val="00090394"/>
    <w:rsid w:val="00090573"/>
    <w:rsid w:val="000906C4"/>
    <w:rsid w:val="00090779"/>
    <w:rsid w:val="00090C13"/>
    <w:rsid w:val="0009168D"/>
    <w:rsid w:val="00091771"/>
    <w:rsid w:val="00091A1D"/>
    <w:rsid w:val="000921E3"/>
    <w:rsid w:val="000925BC"/>
    <w:rsid w:val="000926FE"/>
    <w:rsid w:val="00092987"/>
    <w:rsid w:val="00092A3D"/>
    <w:rsid w:val="000931C3"/>
    <w:rsid w:val="00093566"/>
    <w:rsid w:val="00093765"/>
    <w:rsid w:val="000938B6"/>
    <w:rsid w:val="00093C2C"/>
    <w:rsid w:val="00093CF6"/>
    <w:rsid w:val="00093F75"/>
    <w:rsid w:val="0009437A"/>
    <w:rsid w:val="0009448B"/>
    <w:rsid w:val="000947B7"/>
    <w:rsid w:val="00094A43"/>
    <w:rsid w:val="0009512D"/>
    <w:rsid w:val="000954C6"/>
    <w:rsid w:val="00095671"/>
    <w:rsid w:val="000956BC"/>
    <w:rsid w:val="000957FF"/>
    <w:rsid w:val="00095920"/>
    <w:rsid w:val="00095F53"/>
    <w:rsid w:val="00095F71"/>
    <w:rsid w:val="000960C2"/>
    <w:rsid w:val="00096146"/>
    <w:rsid w:val="0009653B"/>
    <w:rsid w:val="000968D8"/>
    <w:rsid w:val="00096CDA"/>
    <w:rsid w:val="00096D47"/>
    <w:rsid w:val="0009709B"/>
    <w:rsid w:val="000970D0"/>
    <w:rsid w:val="00097163"/>
    <w:rsid w:val="0009720E"/>
    <w:rsid w:val="00097686"/>
    <w:rsid w:val="000979F0"/>
    <w:rsid w:val="00097AE8"/>
    <w:rsid w:val="00097F65"/>
    <w:rsid w:val="000A02DC"/>
    <w:rsid w:val="000A09A2"/>
    <w:rsid w:val="000A0CA1"/>
    <w:rsid w:val="000A0D70"/>
    <w:rsid w:val="000A0E99"/>
    <w:rsid w:val="000A153E"/>
    <w:rsid w:val="000A1692"/>
    <w:rsid w:val="000A18E3"/>
    <w:rsid w:val="000A1AD3"/>
    <w:rsid w:val="000A1D49"/>
    <w:rsid w:val="000A23E5"/>
    <w:rsid w:val="000A26E4"/>
    <w:rsid w:val="000A2D70"/>
    <w:rsid w:val="000A31F7"/>
    <w:rsid w:val="000A384B"/>
    <w:rsid w:val="000A39F2"/>
    <w:rsid w:val="000A3ACB"/>
    <w:rsid w:val="000A49DE"/>
    <w:rsid w:val="000A4B74"/>
    <w:rsid w:val="000A4FEA"/>
    <w:rsid w:val="000A52F5"/>
    <w:rsid w:val="000A54DF"/>
    <w:rsid w:val="000A55AF"/>
    <w:rsid w:val="000A5796"/>
    <w:rsid w:val="000A61CB"/>
    <w:rsid w:val="000A6243"/>
    <w:rsid w:val="000A6252"/>
    <w:rsid w:val="000A64D8"/>
    <w:rsid w:val="000A6723"/>
    <w:rsid w:val="000A6788"/>
    <w:rsid w:val="000A68A9"/>
    <w:rsid w:val="000A6AC6"/>
    <w:rsid w:val="000A6CFE"/>
    <w:rsid w:val="000A6D10"/>
    <w:rsid w:val="000A6D20"/>
    <w:rsid w:val="000A6F12"/>
    <w:rsid w:val="000A7C88"/>
    <w:rsid w:val="000B0292"/>
    <w:rsid w:val="000B02C2"/>
    <w:rsid w:val="000B081C"/>
    <w:rsid w:val="000B0E8D"/>
    <w:rsid w:val="000B10AB"/>
    <w:rsid w:val="000B10E2"/>
    <w:rsid w:val="000B130E"/>
    <w:rsid w:val="000B1337"/>
    <w:rsid w:val="000B1B50"/>
    <w:rsid w:val="000B1CD3"/>
    <w:rsid w:val="000B256B"/>
    <w:rsid w:val="000B2B89"/>
    <w:rsid w:val="000B32D4"/>
    <w:rsid w:val="000B3413"/>
    <w:rsid w:val="000B38DA"/>
    <w:rsid w:val="000B3AA6"/>
    <w:rsid w:val="000B3BC9"/>
    <w:rsid w:val="000B3F37"/>
    <w:rsid w:val="000B4788"/>
    <w:rsid w:val="000B4810"/>
    <w:rsid w:val="000B483C"/>
    <w:rsid w:val="000B49D7"/>
    <w:rsid w:val="000B546F"/>
    <w:rsid w:val="000B5571"/>
    <w:rsid w:val="000B6030"/>
    <w:rsid w:val="000B65BE"/>
    <w:rsid w:val="000B6BDF"/>
    <w:rsid w:val="000B71B6"/>
    <w:rsid w:val="000B740F"/>
    <w:rsid w:val="000B7424"/>
    <w:rsid w:val="000B748E"/>
    <w:rsid w:val="000B756A"/>
    <w:rsid w:val="000B757F"/>
    <w:rsid w:val="000B7859"/>
    <w:rsid w:val="000B78FC"/>
    <w:rsid w:val="000B7B2B"/>
    <w:rsid w:val="000B7D5E"/>
    <w:rsid w:val="000C0040"/>
    <w:rsid w:val="000C028F"/>
    <w:rsid w:val="000C07E0"/>
    <w:rsid w:val="000C08CD"/>
    <w:rsid w:val="000C133A"/>
    <w:rsid w:val="000C1545"/>
    <w:rsid w:val="000C17DB"/>
    <w:rsid w:val="000C1A3D"/>
    <w:rsid w:val="000C1DBD"/>
    <w:rsid w:val="000C240A"/>
    <w:rsid w:val="000C2D7A"/>
    <w:rsid w:val="000C2DE1"/>
    <w:rsid w:val="000C2E7E"/>
    <w:rsid w:val="000C37D8"/>
    <w:rsid w:val="000C38FF"/>
    <w:rsid w:val="000C393F"/>
    <w:rsid w:val="000C39CE"/>
    <w:rsid w:val="000C3A7D"/>
    <w:rsid w:val="000C4065"/>
    <w:rsid w:val="000C40E6"/>
    <w:rsid w:val="000C4137"/>
    <w:rsid w:val="000C4301"/>
    <w:rsid w:val="000C4538"/>
    <w:rsid w:val="000C487F"/>
    <w:rsid w:val="000C4C76"/>
    <w:rsid w:val="000C5092"/>
    <w:rsid w:val="000C568D"/>
    <w:rsid w:val="000C5759"/>
    <w:rsid w:val="000C5AE3"/>
    <w:rsid w:val="000C5E7D"/>
    <w:rsid w:val="000C629C"/>
    <w:rsid w:val="000C63E6"/>
    <w:rsid w:val="000C673C"/>
    <w:rsid w:val="000C69F8"/>
    <w:rsid w:val="000C6A01"/>
    <w:rsid w:val="000C71D9"/>
    <w:rsid w:val="000C7532"/>
    <w:rsid w:val="000C7B3C"/>
    <w:rsid w:val="000D0153"/>
    <w:rsid w:val="000D037E"/>
    <w:rsid w:val="000D0A0F"/>
    <w:rsid w:val="000D0AB8"/>
    <w:rsid w:val="000D0BCC"/>
    <w:rsid w:val="000D0F9A"/>
    <w:rsid w:val="000D10A8"/>
    <w:rsid w:val="000D1393"/>
    <w:rsid w:val="000D13E8"/>
    <w:rsid w:val="000D148D"/>
    <w:rsid w:val="000D14EB"/>
    <w:rsid w:val="000D1610"/>
    <w:rsid w:val="000D1646"/>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071"/>
    <w:rsid w:val="000D5158"/>
    <w:rsid w:val="000D55EA"/>
    <w:rsid w:val="000D56F8"/>
    <w:rsid w:val="000D5965"/>
    <w:rsid w:val="000D59D6"/>
    <w:rsid w:val="000D5AB0"/>
    <w:rsid w:val="000D5AD1"/>
    <w:rsid w:val="000D5D86"/>
    <w:rsid w:val="000D5E4D"/>
    <w:rsid w:val="000D6E27"/>
    <w:rsid w:val="000D6E96"/>
    <w:rsid w:val="000D7268"/>
    <w:rsid w:val="000D7783"/>
    <w:rsid w:val="000D7C20"/>
    <w:rsid w:val="000E011D"/>
    <w:rsid w:val="000E0145"/>
    <w:rsid w:val="000E03CF"/>
    <w:rsid w:val="000E03F8"/>
    <w:rsid w:val="000E0D89"/>
    <w:rsid w:val="000E1003"/>
    <w:rsid w:val="000E14B9"/>
    <w:rsid w:val="000E1722"/>
    <w:rsid w:val="000E182B"/>
    <w:rsid w:val="000E1879"/>
    <w:rsid w:val="000E1E8E"/>
    <w:rsid w:val="000E2266"/>
    <w:rsid w:val="000E2666"/>
    <w:rsid w:val="000E2722"/>
    <w:rsid w:val="000E2787"/>
    <w:rsid w:val="000E279B"/>
    <w:rsid w:val="000E29B0"/>
    <w:rsid w:val="000E2C7C"/>
    <w:rsid w:val="000E3075"/>
    <w:rsid w:val="000E331F"/>
    <w:rsid w:val="000E3358"/>
    <w:rsid w:val="000E38BD"/>
    <w:rsid w:val="000E38ED"/>
    <w:rsid w:val="000E3F84"/>
    <w:rsid w:val="000E40C3"/>
    <w:rsid w:val="000E4745"/>
    <w:rsid w:val="000E4C9B"/>
    <w:rsid w:val="000E4D01"/>
    <w:rsid w:val="000E5830"/>
    <w:rsid w:val="000E5A27"/>
    <w:rsid w:val="000E5B39"/>
    <w:rsid w:val="000E5C4E"/>
    <w:rsid w:val="000E5CA5"/>
    <w:rsid w:val="000E5E3A"/>
    <w:rsid w:val="000E6188"/>
    <w:rsid w:val="000E63D3"/>
    <w:rsid w:val="000E6576"/>
    <w:rsid w:val="000E65A7"/>
    <w:rsid w:val="000E6635"/>
    <w:rsid w:val="000E674F"/>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79"/>
    <w:rsid w:val="000F1F98"/>
    <w:rsid w:val="000F20CD"/>
    <w:rsid w:val="000F296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112"/>
    <w:rsid w:val="000F53CB"/>
    <w:rsid w:val="000F5667"/>
    <w:rsid w:val="000F5A65"/>
    <w:rsid w:val="000F6099"/>
    <w:rsid w:val="000F6504"/>
    <w:rsid w:val="000F6799"/>
    <w:rsid w:val="000F6881"/>
    <w:rsid w:val="000F6C32"/>
    <w:rsid w:val="000F6C5F"/>
    <w:rsid w:val="000F6D86"/>
    <w:rsid w:val="000F6E0B"/>
    <w:rsid w:val="000F6F01"/>
    <w:rsid w:val="000F73A7"/>
    <w:rsid w:val="000F7CAD"/>
    <w:rsid w:val="00100097"/>
    <w:rsid w:val="001000E9"/>
    <w:rsid w:val="00100161"/>
    <w:rsid w:val="00100169"/>
    <w:rsid w:val="001002D5"/>
    <w:rsid w:val="00100456"/>
    <w:rsid w:val="001005CE"/>
    <w:rsid w:val="0010067A"/>
    <w:rsid w:val="00100D9B"/>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A33"/>
    <w:rsid w:val="00102E56"/>
    <w:rsid w:val="001030B4"/>
    <w:rsid w:val="00103658"/>
    <w:rsid w:val="0010366C"/>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753"/>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DA"/>
    <w:rsid w:val="0011372B"/>
    <w:rsid w:val="001139E7"/>
    <w:rsid w:val="00113D8F"/>
    <w:rsid w:val="00113F0E"/>
    <w:rsid w:val="0011409E"/>
    <w:rsid w:val="001140FA"/>
    <w:rsid w:val="001141CF"/>
    <w:rsid w:val="00114379"/>
    <w:rsid w:val="001146A3"/>
    <w:rsid w:val="001146C6"/>
    <w:rsid w:val="00114710"/>
    <w:rsid w:val="001147B8"/>
    <w:rsid w:val="00114949"/>
    <w:rsid w:val="00114E61"/>
    <w:rsid w:val="00114EA7"/>
    <w:rsid w:val="00114FF0"/>
    <w:rsid w:val="001150EA"/>
    <w:rsid w:val="0011536C"/>
    <w:rsid w:val="001156D0"/>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CBE"/>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5D0"/>
    <w:rsid w:val="00130714"/>
    <w:rsid w:val="00130953"/>
    <w:rsid w:val="00130BBD"/>
    <w:rsid w:val="00130F6E"/>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8FB"/>
    <w:rsid w:val="00134BD9"/>
    <w:rsid w:val="00135015"/>
    <w:rsid w:val="00135095"/>
    <w:rsid w:val="001353DE"/>
    <w:rsid w:val="001354BF"/>
    <w:rsid w:val="00135517"/>
    <w:rsid w:val="00135829"/>
    <w:rsid w:val="00135884"/>
    <w:rsid w:val="001358A7"/>
    <w:rsid w:val="001358F4"/>
    <w:rsid w:val="00135CDA"/>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2A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7E5"/>
    <w:rsid w:val="00146AE1"/>
    <w:rsid w:val="0014703E"/>
    <w:rsid w:val="00147923"/>
    <w:rsid w:val="00147D65"/>
    <w:rsid w:val="00147D91"/>
    <w:rsid w:val="001508E1"/>
    <w:rsid w:val="001508F4"/>
    <w:rsid w:val="00150D51"/>
    <w:rsid w:val="00150E73"/>
    <w:rsid w:val="001510ED"/>
    <w:rsid w:val="001517AB"/>
    <w:rsid w:val="00151805"/>
    <w:rsid w:val="00151897"/>
    <w:rsid w:val="00151ACC"/>
    <w:rsid w:val="00152066"/>
    <w:rsid w:val="00152559"/>
    <w:rsid w:val="00152A3B"/>
    <w:rsid w:val="00152A97"/>
    <w:rsid w:val="00153045"/>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A6A"/>
    <w:rsid w:val="00157FD0"/>
    <w:rsid w:val="0016019C"/>
    <w:rsid w:val="001601C7"/>
    <w:rsid w:val="001602C2"/>
    <w:rsid w:val="001603B9"/>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64A"/>
    <w:rsid w:val="00166809"/>
    <w:rsid w:val="00166879"/>
    <w:rsid w:val="001669F9"/>
    <w:rsid w:val="00166D9E"/>
    <w:rsid w:val="00166EE2"/>
    <w:rsid w:val="0016700E"/>
    <w:rsid w:val="00167125"/>
    <w:rsid w:val="0016733C"/>
    <w:rsid w:val="001675E8"/>
    <w:rsid w:val="0016764C"/>
    <w:rsid w:val="00167B9C"/>
    <w:rsid w:val="0017014F"/>
    <w:rsid w:val="00170397"/>
    <w:rsid w:val="00170482"/>
    <w:rsid w:val="001706E4"/>
    <w:rsid w:val="001708D0"/>
    <w:rsid w:val="001708E1"/>
    <w:rsid w:val="00170DBE"/>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3E0D"/>
    <w:rsid w:val="00174555"/>
    <w:rsid w:val="00174DDB"/>
    <w:rsid w:val="00175009"/>
    <w:rsid w:val="001752EC"/>
    <w:rsid w:val="0017541D"/>
    <w:rsid w:val="001754E4"/>
    <w:rsid w:val="0017559F"/>
    <w:rsid w:val="00175A6E"/>
    <w:rsid w:val="00175B5A"/>
    <w:rsid w:val="00175EF2"/>
    <w:rsid w:val="00176414"/>
    <w:rsid w:val="00176BDB"/>
    <w:rsid w:val="0017714C"/>
    <w:rsid w:val="00177205"/>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5D7"/>
    <w:rsid w:val="0018160F"/>
    <w:rsid w:val="001817BA"/>
    <w:rsid w:val="0018197B"/>
    <w:rsid w:val="00181B3A"/>
    <w:rsid w:val="001820B2"/>
    <w:rsid w:val="001821E9"/>
    <w:rsid w:val="001823DC"/>
    <w:rsid w:val="0018246F"/>
    <w:rsid w:val="00182718"/>
    <w:rsid w:val="001829FD"/>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144"/>
    <w:rsid w:val="00192338"/>
    <w:rsid w:val="00192484"/>
    <w:rsid w:val="00192589"/>
    <w:rsid w:val="001925E5"/>
    <w:rsid w:val="00192928"/>
    <w:rsid w:val="001929F7"/>
    <w:rsid w:val="00192BB2"/>
    <w:rsid w:val="00193760"/>
    <w:rsid w:val="00193987"/>
    <w:rsid w:val="001941AA"/>
    <w:rsid w:val="0019443E"/>
    <w:rsid w:val="00194955"/>
    <w:rsid w:val="00194B6F"/>
    <w:rsid w:val="001953D5"/>
    <w:rsid w:val="00195517"/>
    <w:rsid w:val="00195657"/>
    <w:rsid w:val="0019573B"/>
    <w:rsid w:val="0019592C"/>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0985"/>
    <w:rsid w:val="001A1337"/>
    <w:rsid w:val="001A13F3"/>
    <w:rsid w:val="001A1CC6"/>
    <w:rsid w:val="001A1F22"/>
    <w:rsid w:val="001A2254"/>
    <w:rsid w:val="001A22ED"/>
    <w:rsid w:val="001A243E"/>
    <w:rsid w:val="001A2939"/>
    <w:rsid w:val="001A2EB3"/>
    <w:rsid w:val="001A2FD5"/>
    <w:rsid w:val="001A3037"/>
    <w:rsid w:val="001A30FB"/>
    <w:rsid w:val="001A36CF"/>
    <w:rsid w:val="001A3974"/>
    <w:rsid w:val="001A3BBA"/>
    <w:rsid w:val="001A3F0F"/>
    <w:rsid w:val="001A3FA5"/>
    <w:rsid w:val="001A438D"/>
    <w:rsid w:val="001A4EDF"/>
    <w:rsid w:val="001A5308"/>
    <w:rsid w:val="001A5328"/>
    <w:rsid w:val="001A60FC"/>
    <w:rsid w:val="001A6164"/>
    <w:rsid w:val="001A61A0"/>
    <w:rsid w:val="001A64B2"/>
    <w:rsid w:val="001A6AFE"/>
    <w:rsid w:val="001A6E27"/>
    <w:rsid w:val="001A6F69"/>
    <w:rsid w:val="001A706D"/>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8B7"/>
    <w:rsid w:val="001B19F5"/>
    <w:rsid w:val="001B23B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1A4"/>
    <w:rsid w:val="001B748B"/>
    <w:rsid w:val="001B7905"/>
    <w:rsid w:val="001B7E45"/>
    <w:rsid w:val="001B7FA0"/>
    <w:rsid w:val="001B7FC4"/>
    <w:rsid w:val="001C0085"/>
    <w:rsid w:val="001C02C2"/>
    <w:rsid w:val="001C063F"/>
    <w:rsid w:val="001C06AF"/>
    <w:rsid w:val="001C0874"/>
    <w:rsid w:val="001C0883"/>
    <w:rsid w:val="001C12A0"/>
    <w:rsid w:val="001C16A9"/>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F5F"/>
    <w:rsid w:val="001C51E9"/>
    <w:rsid w:val="001C54B8"/>
    <w:rsid w:val="001C55AE"/>
    <w:rsid w:val="001C589B"/>
    <w:rsid w:val="001C58A6"/>
    <w:rsid w:val="001C5BC8"/>
    <w:rsid w:val="001C5DBB"/>
    <w:rsid w:val="001C5F88"/>
    <w:rsid w:val="001C6182"/>
    <w:rsid w:val="001C619C"/>
    <w:rsid w:val="001C6269"/>
    <w:rsid w:val="001C66D2"/>
    <w:rsid w:val="001C6B1D"/>
    <w:rsid w:val="001C7529"/>
    <w:rsid w:val="001C7F47"/>
    <w:rsid w:val="001D006C"/>
    <w:rsid w:val="001D056C"/>
    <w:rsid w:val="001D0578"/>
    <w:rsid w:val="001D0593"/>
    <w:rsid w:val="001D0D95"/>
    <w:rsid w:val="001D1258"/>
    <w:rsid w:val="001D19D6"/>
    <w:rsid w:val="001D19F8"/>
    <w:rsid w:val="001D1BE8"/>
    <w:rsid w:val="001D1CFF"/>
    <w:rsid w:val="001D216E"/>
    <w:rsid w:val="001D21B0"/>
    <w:rsid w:val="001D25B8"/>
    <w:rsid w:val="001D28C1"/>
    <w:rsid w:val="001D29AE"/>
    <w:rsid w:val="001D2B3C"/>
    <w:rsid w:val="001D2C17"/>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4C8"/>
    <w:rsid w:val="001D55F9"/>
    <w:rsid w:val="001D57BC"/>
    <w:rsid w:val="001D5E8A"/>
    <w:rsid w:val="001D5FD3"/>
    <w:rsid w:val="001D625A"/>
    <w:rsid w:val="001D6E61"/>
    <w:rsid w:val="001D6F30"/>
    <w:rsid w:val="001D7260"/>
    <w:rsid w:val="001D7816"/>
    <w:rsid w:val="001D7ADE"/>
    <w:rsid w:val="001D7B58"/>
    <w:rsid w:val="001D7B96"/>
    <w:rsid w:val="001D7FE2"/>
    <w:rsid w:val="001E063F"/>
    <w:rsid w:val="001E09F4"/>
    <w:rsid w:val="001E0A73"/>
    <w:rsid w:val="001E0F8B"/>
    <w:rsid w:val="001E10CA"/>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B67"/>
    <w:rsid w:val="001E3D72"/>
    <w:rsid w:val="001E3E7B"/>
    <w:rsid w:val="001E3FE1"/>
    <w:rsid w:val="001E420B"/>
    <w:rsid w:val="001E4704"/>
    <w:rsid w:val="001E47E2"/>
    <w:rsid w:val="001E5994"/>
    <w:rsid w:val="001E5BB2"/>
    <w:rsid w:val="001E5D1F"/>
    <w:rsid w:val="001E5DFF"/>
    <w:rsid w:val="001E6313"/>
    <w:rsid w:val="001E6BDA"/>
    <w:rsid w:val="001E6C1B"/>
    <w:rsid w:val="001E7173"/>
    <w:rsid w:val="001E719A"/>
    <w:rsid w:val="001E750C"/>
    <w:rsid w:val="001E7A8F"/>
    <w:rsid w:val="001E7D26"/>
    <w:rsid w:val="001F020C"/>
    <w:rsid w:val="001F0546"/>
    <w:rsid w:val="001F0DDF"/>
    <w:rsid w:val="001F115A"/>
    <w:rsid w:val="001F11F0"/>
    <w:rsid w:val="001F1228"/>
    <w:rsid w:val="001F18C3"/>
    <w:rsid w:val="001F18E2"/>
    <w:rsid w:val="001F1B1E"/>
    <w:rsid w:val="001F1BEA"/>
    <w:rsid w:val="001F1DFA"/>
    <w:rsid w:val="001F1E26"/>
    <w:rsid w:val="001F2046"/>
    <w:rsid w:val="001F2109"/>
    <w:rsid w:val="001F22A9"/>
    <w:rsid w:val="001F253A"/>
    <w:rsid w:val="001F26E9"/>
    <w:rsid w:val="001F2982"/>
    <w:rsid w:val="001F29D5"/>
    <w:rsid w:val="001F2E08"/>
    <w:rsid w:val="001F33A0"/>
    <w:rsid w:val="001F35A8"/>
    <w:rsid w:val="001F36BC"/>
    <w:rsid w:val="001F380F"/>
    <w:rsid w:val="001F39AB"/>
    <w:rsid w:val="001F3B01"/>
    <w:rsid w:val="001F45E8"/>
    <w:rsid w:val="001F4827"/>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E45"/>
    <w:rsid w:val="001F7291"/>
    <w:rsid w:val="001F7317"/>
    <w:rsid w:val="001F798D"/>
    <w:rsid w:val="001F7BB8"/>
    <w:rsid w:val="001F7DD6"/>
    <w:rsid w:val="00200039"/>
    <w:rsid w:val="002000F2"/>
    <w:rsid w:val="002000FC"/>
    <w:rsid w:val="002004B8"/>
    <w:rsid w:val="0020087C"/>
    <w:rsid w:val="00200A92"/>
    <w:rsid w:val="00200B81"/>
    <w:rsid w:val="00200BF9"/>
    <w:rsid w:val="00200CC2"/>
    <w:rsid w:val="00200DB0"/>
    <w:rsid w:val="00201427"/>
    <w:rsid w:val="0020142D"/>
    <w:rsid w:val="00201446"/>
    <w:rsid w:val="00201488"/>
    <w:rsid w:val="0020167B"/>
    <w:rsid w:val="002016C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0D"/>
    <w:rsid w:val="00205D98"/>
    <w:rsid w:val="0020610B"/>
    <w:rsid w:val="00206204"/>
    <w:rsid w:val="002062F1"/>
    <w:rsid w:val="00206342"/>
    <w:rsid w:val="002063A7"/>
    <w:rsid w:val="002065FC"/>
    <w:rsid w:val="00206602"/>
    <w:rsid w:val="0020671A"/>
    <w:rsid w:val="0020674D"/>
    <w:rsid w:val="002069A1"/>
    <w:rsid w:val="00206BF6"/>
    <w:rsid w:val="00206E5A"/>
    <w:rsid w:val="002073E8"/>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105"/>
    <w:rsid w:val="0022135D"/>
    <w:rsid w:val="0022141C"/>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A38"/>
    <w:rsid w:val="00224A9B"/>
    <w:rsid w:val="002254F6"/>
    <w:rsid w:val="002262FC"/>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CF2"/>
    <w:rsid w:val="00235F14"/>
    <w:rsid w:val="00236F71"/>
    <w:rsid w:val="002373FC"/>
    <w:rsid w:val="00237C6F"/>
    <w:rsid w:val="00237D22"/>
    <w:rsid w:val="002401A3"/>
    <w:rsid w:val="0024029F"/>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B2B"/>
    <w:rsid w:val="00242CAE"/>
    <w:rsid w:val="00242DBC"/>
    <w:rsid w:val="0024366D"/>
    <w:rsid w:val="00243ACD"/>
    <w:rsid w:val="00243F4A"/>
    <w:rsid w:val="0024445A"/>
    <w:rsid w:val="00244606"/>
    <w:rsid w:val="00244924"/>
    <w:rsid w:val="002449F4"/>
    <w:rsid w:val="00244A7C"/>
    <w:rsid w:val="00244F6B"/>
    <w:rsid w:val="0024520E"/>
    <w:rsid w:val="00245218"/>
    <w:rsid w:val="0024530E"/>
    <w:rsid w:val="00245492"/>
    <w:rsid w:val="00245A41"/>
    <w:rsid w:val="00245B70"/>
    <w:rsid w:val="00245D7D"/>
    <w:rsid w:val="00245E39"/>
    <w:rsid w:val="00245FBA"/>
    <w:rsid w:val="0024622D"/>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1E07"/>
    <w:rsid w:val="00262354"/>
    <w:rsid w:val="002623AC"/>
    <w:rsid w:val="002626AB"/>
    <w:rsid w:val="00262979"/>
    <w:rsid w:val="00263038"/>
    <w:rsid w:val="002631DC"/>
    <w:rsid w:val="002633EA"/>
    <w:rsid w:val="002635CD"/>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67296"/>
    <w:rsid w:val="002706CC"/>
    <w:rsid w:val="002708D5"/>
    <w:rsid w:val="002708DA"/>
    <w:rsid w:val="00270A23"/>
    <w:rsid w:val="00270C63"/>
    <w:rsid w:val="00270C73"/>
    <w:rsid w:val="00270C98"/>
    <w:rsid w:val="00270CF1"/>
    <w:rsid w:val="00270D81"/>
    <w:rsid w:val="00270E57"/>
    <w:rsid w:val="002711C3"/>
    <w:rsid w:val="00271388"/>
    <w:rsid w:val="002713CE"/>
    <w:rsid w:val="0027160B"/>
    <w:rsid w:val="0027162C"/>
    <w:rsid w:val="0027193C"/>
    <w:rsid w:val="0027193F"/>
    <w:rsid w:val="00271BC1"/>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DC6"/>
    <w:rsid w:val="00277512"/>
    <w:rsid w:val="002777E4"/>
    <w:rsid w:val="00277E66"/>
    <w:rsid w:val="002801E2"/>
    <w:rsid w:val="00280362"/>
    <w:rsid w:val="00280612"/>
    <w:rsid w:val="0028073A"/>
    <w:rsid w:val="00280772"/>
    <w:rsid w:val="00280960"/>
    <w:rsid w:val="00280F46"/>
    <w:rsid w:val="00281222"/>
    <w:rsid w:val="002813A9"/>
    <w:rsid w:val="0028164E"/>
    <w:rsid w:val="0028168F"/>
    <w:rsid w:val="00281B87"/>
    <w:rsid w:val="00281D56"/>
    <w:rsid w:val="0028218C"/>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315"/>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6FDD"/>
    <w:rsid w:val="0029743A"/>
    <w:rsid w:val="00297499"/>
    <w:rsid w:val="002974AA"/>
    <w:rsid w:val="002976A8"/>
    <w:rsid w:val="002977A0"/>
    <w:rsid w:val="00297E6E"/>
    <w:rsid w:val="00297F46"/>
    <w:rsid w:val="002A0129"/>
    <w:rsid w:val="002A025C"/>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E8D"/>
    <w:rsid w:val="002A5FC1"/>
    <w:rsid w:val="002A601D"/>
    <w:rsid w:val="002A647A"/>
    <w:rsid w:val="002A6EF8"/>
    <w:rsid w:val="002A7180"/>
    <w:rsid w:val="002A732C"/>
    <w:rsid w:val="002A7A6A"/>
    <w:rsid w:val="002A7AB4"/>
    <w:rsid w:val="002A7C20"/>
    <w:rsid w:val="002A7D79"/>
    <w:rsid w:val="002A7DE6"/>
    <w:rsid w:val="002A7E7D"/>
    <w:rsid w:val="002B0099"/>
    <w:rsid w:val="002B053A"/>
    <w:rsid w:val="002B07BF"/>
    <w:rsid w:val="002B0805"/>
    <w:rsid w:val="002B0960"/>
    <w:rsid w:val="002B0BEF"/>
    <w:rsid w:val="002B0C99"/>
    <w:rsid w:val="002B10F9"/>
    <w:rsid w:val="002B12C7"/>
    <w:rsid w:val="002B1773"/>
    <w:rsid w:val="002B1AFA"/>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4A6"/>
    <w:rsid w:val="002B5B05"/>
    <w:rsid w:val="002B601A"/>
    <w:rsid w:val="002B61F1"/>
    <w:rsid w:val="002B64FE"/>
    <w:rsid w:val="002B694E"/>
    <w:rsid w:val="002B6C3A"/>
    <w:rsid w:val="002B6C46"/>
    <w:rsid w:val="002B6D31"/>
    <w:rsid w:val="002B6E12"/>
    <w:rsid w:val="002B70A2"/>
    <w:rsid w:val="002B781D"/>
    <w:rsid w:val="002B7D56"/>
    <w:rsid w:val="002C00B6"/>
    <w:rsid w:val="002C03A1"/>
    <w:rsid w:val="002C0411"/>
    <w:rsid w:val="002C04C2"/>
    <w:rsid w:val="002C0601"/>
    <w:rsid w:val="002C0818"/>
    <w:rsid w:val="002C0D11"/>
    <w:rsid w:val="002C1B17"/>
    <w:rsid w:val="002C1D61"/>
    <w:rsid w:val="002C1E8D"/>
    <w:rsid w:val="002C203A"/>
    <w:rsid w:val="002C24D8"/>
    <w:rsid w:val="002C28EE"/>
    <w:rsid w:val="002C2AE9"/>
    <w:rsid w:val="002C2B06"/>
    <w:rsid w:val="002C2B29"/>
    <w:rsid w:val="002C2B62"/>
    <w:rsid w:val="002C2E8A"/>
    <w:rsid w:val="002C2FCD"/>
    <w:rsid w:val="002C2FE0"/>
    <w:rsid w:val="002C3AE4"/>
    <w:rsid w:val="002C3E89"/>
    <w:rsid w:val="002C42AA"/>
    <w:rsid w:val="002C43F9"/>
    <w:rsid w:val="002C4AF6"/>
    <w:rsid w:val="002C4B64"/>
    <w:rsid w:val="002C4C1A"/>
    <w:rsid w:val="002C4C29"/>
    <w:rsid w:val="002C5022"/>
    <w:rsid w:val="002C5533"/>
    <w:rsid w:val="002C55D3"/>
    <w:rsid w:val="002C5620"/>
    <w:rsid w:val="002C5A6B"/>
    <w:rsid w:val="002C5F68"/>
    <w:rsid w:val="002C618D"/>
    <w:rsid w:val="002C61E0"/>
    <w:rsid w:val="002C640C"/>
    <w:rsid w:val="002C6D3C"/>
    <w:rsid w:val="002C7000"/>
    <w:rsid w:val="002C7016"/>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85"/>
    <w:rsid w:val="002D13B7"/>
    <w:rsid w:val="002D2290"/>
    <w:rsid w:val="002D2B2D"/>
    <w:rsid w:val="002D2B4E"/>
    <w:rsid w:val="002D2B96"/>
    <w:rsid w:val="002D2DA9"/>
    <w:rsid w:val="002D3884"/>
    <w:rsid w:val="002D3968"/>
    <w:rsid w:val="002D3D37"/>
    <w:rsid w:val="002D425A"/>
    <w:rsid w:val="002D42E9"/>
    <w:rsid w:val="002D4314"/>
    <w:rsid w:val="002D4591"/>
    <w:rsid w:val="002D48B8"/>
    <w:rsid w:val="002D4997"/>
    <w:rsid w:val="002D4A54"/>
    <w:rsid w:val="002D4B60"/>
    <w:rsid w:val="002D4C87"/>
    <w:rsid w:val="002D4E37"/>
    <w:rsid w:val="002D5064"/>
    <w:rsid w:val="002D52E0"/>
    <w:rsid w:val="002D5945"/>
    <w:rsid w:val="002D5DEA"/>
    <w:rsid w:val="002D6127"/>
    <w:rsid w:val="002D61BE"/>
    <w:rsid w:val="002D61F0"/>
    <w:rsid w:val="002D6C37"/>
    <w:rsid w:val="002D7235"/>
    <w:rsid w:val="002D76E8"/>
    <w:rsid w:val="002D7DDD"/>
    <w:rsid w:val="002E0303"/>
    <w:rsid w:val="002E08F4"/>
    <w:rsid w:val="002E0E94"/>
    <w:rsid w:val="002E15A5"/>
    <w:rsid w:val="002E16BC"/>
    <w:rsid w:val="002E16C0"/>
    <w:rsid w:val="002E1AB5"/>
    <w:rsid w:val="002E20C0"/>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526"/>
    <w:rsid w:val="002E58E1"/>
    <w:rsid w:val="002E5BDD"/>
    <w:rsid w:val="002E5C56"/>
    <w:rsid w:val="002E5D86"/>
    <w:rsid w:val="002E5DD7"/>
    <w:rsid w:val="002E6809"/>
    <w:rsid w:val="002E706F"/>
    <w:rsid w:val="002E7478"/>
    <w:rsid w:val="002E74B1"/>
    <w:rsid w:val="002E7C18"/>
    <w:rsid w:val="002F0045"/>
    <w:rsid w:val="002F00F0"/>
    <w:rsid w:val="002F025B"/>
    <w:rsid w:val="002F02D0"/>
    <w:rsid w:val="002F02F4"/>
    <w:rsid w:val="002F0684"/>
    <w:rsid w:val="002F09C0"/>
    <w:rsid w:val="002F0ADB"/>
    <w:rsid w:val="002F0B68"/>
    <w:rsid w:val="002F0E34"/>
    <w:rsid w:val="002F1048"/>
    <w:rsid w:val="002F1301"/>
    <w:rsid w:val="002F28F2"/>
    <w:rsid w:val="002F2AE0"/>
    <w:rsid w:val="002F2B42"/>
    <w:rsid w:val="002F3122"/>
    <w:rsid w:val="002F31C4"/>
    <w:rsid w:val="002F322F"/>
    <w:rsid w:val="002F3AF6"/>
    <w:rsid w:val="002F3F16"/>
    <w:rsid w:val="002F413F"/>
    <w:rsid w:val="002F4336"/>
    <w:rsid w:val="002F446A"/>
    <w:rsid w:val="002F44AD"/>
    <w:rsid w:val="002F4566"/>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70D"/>
    <w:rsid w:val="002F7919"/>
    <w:rsid w:val="002F7A9E"/>
    <w:rsid w:val="002F7B6D"/>
    <w:rsid w:val="002F7D48"/>
    <w:rsid w:val="002F7EC5"/>
    <w:rsid w:val="00300085"/>
    <w:rsid w:val="0030027C"/>
    <w:rsid w:val="003003AD"/>
    <w:rsid w:val="003005DF"/>
    <w:rsid w:val="00300B29"/>
    <w:rsid w:val="00300CB1"/>
    <w:rsid w:val="00300E5F"/>
    <w:rsid w:val="003011C0"/>
    <w:rsid w:val="0030129E"/>
    <w:rsid w:val="003014A0"/>
    <w:rsid w:val="00301686"/>
    <w:rsid w:val="00301DA6"/>
    <w:rsid w:val="00301EE4"/>
    <w:rsid w:val="00302047"/>
    <w:rsid w:val="003024DE"/>
    <w:rsid w:val="00302701"/>
    <w:rsid w:val="00302739"/>
    <w:rsid w:val="00302B48"/>
    <w:rsid w:val="00302BE2"/>
    <w:rsid w:val="00302EDE"/>
    <w:rsid w:val="00302FEF"/>
    <w:rsid w:val="0030318E"/>
    <w:rsid w:val="00304556"/>
    <w:rsid w:val="00304A7C"/>
    <w:rsid w:val="00304AC5"/>
    <w:rsid w:val="00304C6B"/>
    <w:rsid w:val="00304C9E"/>
    <w:rsid w:val="00304FBC"/>
    <w:rsid w:val="003056AD"/>
    <w:rsid w:val="003059F3"/>
    <w:rsid w:val="00305E95"/>
    <w:rsid w:val="003065FB"/>
    <w:rsid w:val="003066DC"/>
    <w:rsid w:val="003069F9"/>
    <w:rsid w:val="00306ED2"/>
    <w:rsid w:val="00306F89"/>
    <w:rsid w:val="0030749E"/>
    <w:rsid w:val="003076CD"/>
    <w:rsid w:val="00307822"/>
    <w:rsid w:val="00307B27"/>
    <w:rsid w:val="00307F28"/>
    <w:rsid w:val="003101DC"/>
    <w:rsid w:val="0031049F"/>
    <w:rsid w:val="0031087D"/>
    <w:rsid w:val="00310978"/>
    <w:rsid w:val="00310CC6"/>
    <w:rsid w:val="00310F30"/>
    <w:rsid w:val="0031137F"/>
    <w:rsid w:val="00311642"/>
    <w:rsid w:val="00311761"/>
    <w:rsid w:val="00311941"/>
    <w:rsid w:val="00311D39"/>
    <w:rsid w:val="00311E5A"/>
    <w:rsid w:val="00312709"/>
    <w:rsid w:val="003127E1"/>
    <w:rsid w:val="00312BD0"/>
    <w:rsid w:val="003135C3"/>
    <w:rsid w:val="00313765"/>
    <w:rsid w:val="003137A0"/>
    <w:rsid w:val="00313BC1"/>
    <w:rsid w:val="00313C4F"/>
    <w:rsid w:val="003141C2"/>
    <w:rsid w:val="00314671"/>
    <w:rsid w:val="0031483F"/>
    <w:rsid w:val="00314ACB"/>
    <w:rsid w:val="00314B1F"/>
    <w:rsid w:val="00314C05"/>
    <w:rsid w:val="00314CBB"/>
    <w:rsid w:val="00314EED"/>
    <w:rsid w:val="0031599D"/>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51E"/>
    <w:rsid w:val="0032172E"/>
    <w:rsid w:val="00321822"/>
    <w:rsid w:val="00321B02"/>
    <w:rsid w:val="0032266C"/>
    <w:rsid w:val="003228E9"/>
    <w:rsid w:val="00322AC2"/>
    <w:rsid w:val="00322BC3"/>
    <w:rsid w:val="00322C2B"/>
    <w:rsid w:val="00322E3B"/>
    <w:rsid w:val="003232E3"/>
    <w:rsid w:val="00323F18"/>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CAE"/>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B7D"/>
    <w:rsid w:val="00332D99"/>
    <w:rsid w:val="0033374E"/>
    <w:rsid w:val="00333B82"/>
    <w:rsid w:val="00333EB0"/>
    <w:rsid w:val="00334532"/>
    <w:rsid w:val="003347E2"/>
    <w:rsid w:val="003348FB"/>
    <w:rsid w:val="00334CD9"/>
    <w:rsid w:val="00334E18"/>
    <w:rsid w:val="00335217"/>
    <w:rsid w:val="00335250"/>
    <w:rsid w:val="00335670"/>
    <w:rsid w:val="0033572D"/>
    <w:rsid w:val="00335745"/>
    <w:rsid w:val="00335929"/>
    <w:rsid w:val="0033592C"/>
    <w:rsid w:val="00335938"/>
    <w:rsid w:val="00335E2A"/>
    <w:rsid w:val="00335E81"/>
    <w:rsid w:val="00336780"/>
    <w:rsid w:val="003367C5"/>
    <w:rsid w:val="003367CD"/>
    <w:rsid w:val="00336A23"/>
    <w:rsid w:val="00336DAD"/>
    <w:rsid w:val="00336DB3"/>
    <w:rsid w:val="00337065"/>
    <w:rsid w:val="003370D5"/>
    <w:rsid w:val="0033756E"/>
    <w:rsid w:val="00337B29"/>
    <w:rsid w:val="00337C71"/>
    <w:rsid w:val="00340887"/>
    <w:rsid w:val="00340A66"/>
    <w:rsid w:val="00340CC6"/>
    <w:rsid w:val="00340E58"/>
    <w:rsid w:val="00341082"/>
    <w:rsid w:val="00341087"/>
    <w:rsid w:val="00341706"/>
    <w:rsid w:val="00341CFA"/>
    <w:rsid w:val="0034246D"/>
    <w:rsid w:val="00342FA0"/>
    <w:rsid w:val="0034305B"/>
    <w:rsid w:val="00343402"/>
    <w:rsid w:val="00343809"/>
    <w:rsid w:val="00343C24"/>
    <w:rsid w:val="00343E80"/>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705"/>
    <w:rsid w:val="00350E35"/>
    <w:rsid w:val="00350EE7"/>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0DE"/>
    <w:rsid w:val="003562D7"/>
    <w:rsid w:val="00356353"/>
    <w:rsid w:val="0035637D"/>
    <w:rsid w:val="003567C9"/>
    <w:rsid w:val="003569AA"/>
    <w:rsid w:val="00356CEC"/>
    <w:rsid w:val="003572DE"/>
    <w:rsid w:val="003573EC"/>
    <w:rsid w:val="00357659"/>
    <w:rsid w:val="00357712"/>
    <w:rsid w:val="00357CAE"/>
    <w:rsid w:val="003604DB"/>
    <w:rsid w:val="003608C0"/>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5E82"/>
    <w:rsid w:val="003665C5"/>
    <w:rsid w:val="00366B3A"/>
    <w:rsid w:val="00367642"/>
    <w:rsid w:val="00367DE2"/>
    <w:rsid w:val="00370285"/>
    <w:rsid w:val="00370483"/>
    <w:rsid w:val="003704EE"/>
    <w:rsid w:val="00370880"/>
    <w:rsid w:val="00370EFD"/>
    <w:rsid w:val="00371130"/>
    <w:rsid w:val="00371137"/>
    <w:rsid w:val="003719F5"/>
    <w:rsid w:val="00371C90"/>
    <w:rsid w:val="00371DB7"/>
    <w:rsid w:val="00372019"/>
    <w:rsid w:val="00372029"/>
    <w:rsid w:val="003723DF"/>
    <w:rsid w:val="003724A1"/>
    <w:rsid w:val="00372A6B"/>
    <w:rsid w:val="00372C12"/>
    <w:rsid w:val="00373169"/>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B3B"/>
    <w:rsid w:val="00376E0C"/>
    <w:rsid w:val="0037709A"/>
    <w:rsid w:val="00377146"/>
    <w:rsid w:val="003771A6"/>
    <w:rsid w:val="003771CA"/>
    <w:rsid w:val="003772A2"/>
    <w:rsid w:val="00377397"/>
    <w:rsid w:val="00377463"/>
    <w:rsid w:val="0037757C"/>
    <w:rsid w:val="003775BD"/>
    <w:rsid w:val="00377ABC"/>
    <w:rsid w:val="00377B14"/>
    <w:rsid w:val="00377C85"/>
    <w:rsid w:val="003802B1"/>
    <w:rsid w:val="003803CA"/>
    <w:rsid w:val="00380543"/>
    <w:rsid w:val="00380602"/>
    <w:rsid w:val="00380892"/>
    <w:rsid w:val="00380BBD"/>
    <w:rsid w:val="00381B03"/>
    <w:rsid w:val="00382190"/>
    <w:rsid w:val="0038219D"/>
    <w:rsid w:val="003821E7"/>
    <w:rsid w:val="00382304"/>
    <w:rsid w:val="003827D1"/>
    <w:rsid w:val="00382903"/>
    <w:rsid w:val="00383D4B"/>
    <w:rsid w:val="00383DDB"/>
    <w:rsid w:val="003842A8"/>
    <w:rsid w:val="003843DE"/>
    <w:rsid w:val="00384747"/>
    <w:rsid w:val="003848D8"/>
    <w:rsid w:val="003848D9"/>
    <w:rsid w:val="00384BC0"/>
    <w:rsid w:val="003851BF"/>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946"/>
    <w:rsid w:val="00387B2B"/>
    <w:rsid w:val="00387BC0"/>
    <w:rsid w:val="00387CBC"/>
    <w:rsid w:val="00390449"/>
    <w:rsid w:val="003904B1"/>
    <w:rsid w:val="003907D2"/>
    <w:rsid w:val="003909FA"/>
    <w:rsid w:val="00390C56"/>
    <w:rsid w:val="0039122C"/>
    <w:rsid w:val="0039124D"/>
    <w:rsid w:val="003917A2"/>
    <w:rsid w:val="0039192F"/>
    <w:rsid w:val="00391A92"/>
    <w:rsid w:val="00391C78"/>
    <w:rsid w:val="00391C99"/>
    <w:rsid w:val="00392449"/>
    <w:rsid w:val="003926BE"/>
    <w:rsid w:val="003929BE"/>
    <w:rsid w:val="00392A1F"/>
    <w:rsid w:val="00392A63"/>
    <w:rsid w:val="00392DB8"/>
    <w:rsid w:val="00393463"/>
    <w:rsid w:val="00393599"/>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08F"/>
    <w:rsid w:val="00397292"/>
    <w:rsid w:val="003976DD"/>
    <w:rsid w:val="003978B8"/>
    <w:rsid w:val="00397AD4"/>
    <w:rsid w:val="00397B04"/>
    <w:rsid w:val="00397C89"/>
    <w:rsid w:val="003A0311"/>
    <w:rsid w:val="003A0368"/>
    <w:rsid w:val="003A0736"/>
    <w:rsid w:val="003A08B4"/>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74B"/>
    <w:rsid w:val="003A2D39"/>
    <w:rsid w:val="003A2FE7"/>
    <w:rsid w:val="003A349E"/>
    <w:rsid w:val="003A38AC"/>
    <w:rsid w:val="003A38EF"/>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4A1"/>
    <w:rsid w:val="003B0B4D"/>
    <w:rsid w:val="003B0E72"/>
    <w:rsid w:val="003B0EBC"/>
    <w:rsid w:val="003B111E"/>
    <w:rsid w:val="003B248F"/>
    <w:rsid w:val="003B2774"/>
    <w:rsid w:val="003B2B79"/>
    <w:rsid w:val="003B2C70"/>
    <w:rsid w:val="003B2EFF"/>
    <w:rsid w:val="003B3171"/>
    <w:rsid w:val="003B332F"/>
    <w:rsid w:val="003B3366"/>
    <w:rsid w:val="003B3E56"/>
    <w:rsid w:val="003B3FC2"/>
    <w:rsid w:val="003B4039"/>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DBB"/>
    <w:rsid w:val="003B6FCB"/>
    <w:rsid w:val="003B7020"/>
    <w:rsid w:val="003B70B3"/>
    <w:rsid w:val="003B7294"/>
    <w:rsid w:val="003B76FE"/>
    <w:rsid w:val="003C0052"/>
    <w:rsid w:val="003C009A"/>
    <w:rsid w:val="003C07D7"/>
    <w:rsid w:val="003C092B"/>
    <w:rsid w:val="003C0985"/>
    <w:rsid w:val="003C0CFF"/>
    <w:rsid w:val="003C10B8"/>
    <w:rsid w:val="003C1A15"/>
    <w:rsid w:val="003C21F4"/>
    <w:rsid w:val="003C257A"/>
    <w:rsid w:val="003C29B7"/>
    <w:rsid w:val="003C2C9D"/>
    <w:rsid w:val="003C2DA3"/>
    <w:rsid w:val="003C3B73"/>
    <w:rsid w:val="003C3D4E"/>
    <w:rsid w:val="003C3D6E"/>
    <w:rsid w:val="003C3F8B"/>
    <w:rsid w:val="003C4097"/>
    <w:rsid w:val="003C4213"/>
    <w:rsid w:val="003C4250"/>
    <w:rsid w:val="003C44DB"/>
    <w:rsid w:val="003C49FA"/>
    <w:rsid w:val="003C4F25"/>
    <w:rsid w:val="003C5722"/>
    <w:rsid w:val="003C5CC7"/>
    <w:rsid w:val="003C64CD"/>
    <w:rsid w:val="003C6580"/>
    <w:rsid w:val="003C680F"/>
    <w:rsid w:val="003C6BC5"/>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4EED"/>
    <w:rsid w:val="003D519A"/>
    <w:rsid w:val="003D5717"/>
    <w:rsid w:val="003D5878"/>
    <w:rsid w:val="003D59FE"/>
    <w:rsid w:val="003D6156"/>
    <w:rsid w:val="003D63BA"/>
    <w:rsid w:val="003D680E"/>
    <w:rsid w:val="003D69ED"/>
    <w:rsid w:val="003D6B43"/>
    <w:rsid w:val="003D6C26"/>
    <w:rsid w:val="003D6D20"/>
    <w:rsid w:val="003D6E30"/>
    <w:rsid w:val="003D740C"/>
    <w:rsid w:val="003D79E8"/>
    <w:rsid w:val="003D7EB9"/>
    <w:rsid w:val="003E010D"/>
    <w:rsid w:val="003E041E"/>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35"/>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4EE"/>
    <w:rsid w:val="003E6592"/>
    <w:rsid w:val="003E668B"/>
    <w:rsid w:val="003E679D"/>
    <w:rsid w:val="003E69AA"/>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813"/>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3709"/>
    <w:rsid w:val="003F3A26"/>
    <w:rsid w:val="003F4306"/>
    <w:rsid w:val="003F457C"/>
    <w:rsid w:val="003F4933"/>
    <w:rsid w:val="003F4977"/>
    <w:rsid w:val="003F4A21"/>
    <w:rsid w:val="003F4E1C"/>
    <w:rsid w:val="003F5120"/>
    <w:rsid w:val="003F536B"/>
    <w:rsid w:val="003F53E7"/>
    <w:rsid w:val="003F560A"/>
    <w:rsid w:val="003F561F"/>
    <w:rsid w:val="003F582E"/>
    <w:rsid w:val="003F586D"/>
    <w:rsid w:val="003F62B4"/>
    <w:rsid w:val="003F651E"/>
    <w:rsid w:val="003F6746"/>
    <w:rsid w:val="003F682D"/>
    <w:rsid w:val="003F6853"/>
    <w:rsid w:val="003F6930"/>
    <w:rsid w:val="003F697D"/>
    <w:rsid w:val="003F6A55"/>
    <w:rsid w:val="003F6CA3"/>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73F"/>
    <w:rsid w:val="00402DC4"/>
    <w:rsid w:val="00402F2C"/>
    <w:rsid w:val="0040303D"/>
    <w:rsid w:val="004034E6"/>
    <w:rsid w:val="0040379F"/>
    <w:rsid w:val="00403805"/>
    <w:rsid w:val="00403DC5"/>
    <w:rsid w:val="00403E29"/>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24A"/>
    <w:rsid w:val="00414598"/>
    <w:rsid w:val="004145AE"/>
    <w:rsid w:val="004147AA"/>
    <w:rsid w:val="004147F4"/>
    <w:rsid w:val="00414C3F"/>
    <w:rsid w:val="0041539C"/>
    <w:rsid w:val="0041540F"/>
    <w:rsid w:val="00415419"/>
    <w:rsid w:val="0041577E"/>
    <w:rsid w:val="004157F6"/>
    <w:rsid w:val="004159D3"/>
    <w:rsid w:val="00415A14"/>
    <w:rsid w:val="00416091"/>
    <w:rsid w:val="0041616C"/>
    <w:rsid w:val="0041634C"/>
    <w:rsid w:val="00416A66"/>
    <w:rsid w:val="00416ED2"/>
    <w:rsid w:val="00416F3B"/>
    <w:rsid w:val="0041701F"/>
    <w:rsid w:val="004171AB"/>
    <w:rsid w:val="0041743D"/>
    <w:rsid w:val="004174FC"/>
    <w:rsid w:val="00417678"/>
    <w:rsid w:val="00417800"/>
    <w:rsid w:val="00417AA0"/>
    <w:rsid w:val="00417D10"/>
    <w:rsid w:val="0042001B"/>
    <w:rsid w:val="00420126"/>
    <w:rsid w:val="00420249"/>
    <w:rsid w:val="004203CF"/>
    <w:rsid w:val="00420755"/>
    <w:rsid w:val="0042077A"/>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243"/>
    <w:rsid w:val="00424844"/>
    <w:rsid w:val="00424ACC"/>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5D01"/>
    <w:rsid w:val="004365F4"/>
    <w:rsid w:val="00436696"/>
    <w:rsid w:val="00436A3B"/>
    <w:rsid w:val="00436D7C"/>
    <w:rsid w:val="004371AB"/>
    <w:rsid w:val="0043767B"/>
    <w:rsid w:val="00437895"/>
    <w:rsid w:val="00437D5A"/>
    <w:rsid w:val="00437E77"/>
    <w:rsid w:val="004402A7"/>
    <w:rsid w:val="0044035D"/>
    <w:rsid w:val="00440850"/>
    <w:rsid w:val="004408B9"/>
    <w:rsid w:val="00440A50"/>
    <w:rsid w:val="00440B3E"/>
    <w:rsid w:val="00440EA5"/>
    <w:rsid w:val="00441076"/>
    <w:rsid w:val="0044142F"/>
    <w:rsid w:val="00442198"/>
    <w:rsid w:val="004425C2"/>
    <w:rsid w:val="004426FE"/>
    <w:rsid w:val="00442824"/>
    <w:rsid w:val="00442F12"/>
    <w:rsid w:val="00442FFB"/>
    <w:rsid w:val="0044307B"/>
    <w:rsid w:val="004430FD"/>
    <w:rsid w:val="004430FE"/>
    <w:rsid w:val="00443181"/>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2CB"/>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2F00"/>
    <w:rsid w:val="00453177"/>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6D78"/>
    <w:rsid w:val="00456FFD"/>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6803"/>
    <w:rsid w:val="00467474"/>
    <w:rsid w:val="00467C50"/>
    <w:rsid w:val="0047041E"/>
    <w:rsid w:val="00470628"/>
    <w:rsid w:val="00470750"/>
    <w:rsid w:val="00470893"/>
    <w:rsid w:val="00470A2E"/>
    <w:rsid w:val="004711A9"/>
    <w:rsid w:val="0047166D"/>
    <w:rsid w:val="00471856"/>
    <w:rsid w:val="00471DB0"/>
    <w:rsid w:val="00471FAB"/>
    <w:rsid w:val="0047253B"/>
    <w:rsid w:val="00472709"/>
    <w:rsid w:val="00472ACB"/>
    <w:rsid w:val="00473303"/>
    <w:rsid w:val="004735E8"/>
    <w:rsid w:val="00473631"/>
    <w:rsid w:val="004736A3"/>
    <w:rsid w:val="004737D3"/>
    <w:rsid w:val="00473854"/>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D45"/>
    <w:rsid w:val="00475E50"/>
    <w:rsid w:val="00475E54"/>
    <w:rsid w:val="00475F90"/>
    <w:rsid w:val="00476549"/>
    <w:rsid w:val="004767D8"/>
    <w:rsid w:val="00476D14"/>
    <w:rsid w:val="00476D8B"/>
    <w:rsid w:val="00476E98"/>
    <w:rsid w:val="00476EAE"/>
    <w:rsid w:val="004770BF"/>
    <w:rsid w:val="004774C5"/>
    <w:rsid w:val="004775ED"/>
    <w:rsid w:val="004778C0"/>
    <w:rsid w:val="00477B60"/>
    <w:rsid w:val="004800AC"/>
    <w:rsid w:val="004803FD"/>
    <w:rsid w:val="00480509"/>
    <w:rsid w:val="00480618"/>
    <w:rsid w:val="00480A9B"/>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B3"/>
    <w:rsid w:val="00482ADC"/>
    <w:rsid w:val="00482B1B"/>
    <w:rsid w:val="00482C93"/>
    <w:rsid w:val="00482F79"/>
    <w:rsid w:val="0048303A"/>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188"/>
    <w:rsid w:val="004924E5"/>
    <w:rsid w:val="00492597"/>
    <w:rsid w:val="00492619"/>
    <w:rsid w:val="004927F3"/>
    <w:rsid w:val="00492986"/>
    <w:rsid w:val="00492AFE"/>
    <w:rsid w:val="00492CCD"/>
    <w:rsid w:val="0049349F"/>
    <w:rsid w:val="004935A4"/>
    <w:rsid w:val="004938AA"/>
    <w:rsid w:val="00493D08"/>
    <w:rsid w:val="004941F4"/>
    <w:rsid w:val="0049454A"/>
    <w:rsid w:val="004949D8"/>
    <w:rsid w:val="00494AF6"/>
    <w:rsid w:val="00494E75"/>
    <w:rsid w:val="00494F20"/>
    <w:rsid w:val="00495071"/>
    <w:rsid w:val="004950ED"/>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49C"/>
    <w:rsid w:val="004A4625"/>
    <w:rsid w:val="004A46E5"/>
    <w:rsid w:val="004A4900"/>
    <w:rsid w:val="004A4BE6"/>
    <w:rsid w:val="004A4D38"/>
    <w:rsid w:val="004A4E7E"/>
    <w:rsid w:val="004A4E95"/>
    <w:rsid w:val="004A4EB4"/>
    <w:rsid w:val="004A51FA"/>
    <w:rsid w:val="004A5270"/>
    <w:rsid w:val="004A57FC"/>
    <w:rsid w:val="004A5B1D"/>
    <w:rsid w:val="004A5D36"/>
    <w:rsid w:val="004A5D78"/>
    <w:rsid w:val="004A5FCB"/>
    <w:rsid w:val="004A62A2"/>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0879"/>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724"/>
    <w:rsid w:val="004B3C3F"/>
    <w:rsid w:val="004B3E0A"/>
    <w:rsid w:val="004B45A2"/>
    <w:rsid w:val="004B46C3"/>
    <w:rsid w:val="004B4789"/>
    <w:rsid w:val="004B4A0F"/>
    <w:rsid w:val="004B4F6B"/>
    <w:rsid w:val="004B50E0"/>
    <w:rsid w:val="004B556C"/>
    <w:rsid w:val="004B55EC"/>
    <w:rsid w:val="004B606F"/>
    <w:rsid w:val="004B624C"/>
    <w:rsid w:val="004B6301"/>
    <w:rsid w:val="004B68E9"/>
    <w:rsid w:val="004B6FD2"/>
    <w:rsid w:val="004B6FFB"/>
    <w:rsid w:val="004B7311"/>
    <w:rsid w:val="004B761B"/>
    <w:rsid w:val="004B795F"/>
    <w:rsid w:val="004B7BA5"/>
    <w:rsid w:val="004B7C6F"/>
    <w:rsid w:val="004C0346"/>
    <w:rsid w:val="004C088A"/>
    <w:rsid w:val="004C0B5B"/>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31A"/>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20B"/>
    <w:rsid w:val="004D0225"/>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5D"/>
    <w:rsid w:val="004D4048"/>
    <w:rsid w:val="004D40D5"/>
    <w:rsid w:val="004D43B8"/>
    <w:rsid w:val="004D4968"/>
    <w:rsid w:val="004D4A8A"/>
    <w:rsid w:val="004D4ABF"/>
    <w:rsid w:val="004D4CB6"/>
    <w:rsid w:val="004D50CC"/>
    <w:rsid w:val="004D5728"/>
    <w:rsid w:val="004D58D1"/>
    <w:rsid w:val="004D5F02"/>
    <w:rsid w:val="004D602D"/>
    <w:rsid w:val="004D65BA"/>
    <w:rsid w:val="004D6708"/>
    <w:rsid w:val="004D68C0"/>
    <w:rsid w:val="004D6C1A"/>
    <w:rsid w:val="004D6F29"/>
    <w:rsid w:val="004D7083"/>
    <w:rsid w:val="004D70E1"/>
    <w:rsid w:val="004D710C"/>
    <w:rsid w:val="004D71EC"/>
    <w:rsid w:val="004E0033"/>
    <w:rsid w:val="004E00F1"/>
    <w:rsid w:val="004E033E"/>
    <w:rsid w:val="004E03BE"/>
    <w:rsid w:val="004E071E"/>
    <w:rsid w:val="004E0CD0"/>
    <w:rsid w:val="004E0EB7"/>
    <w:rsid w:val="004E123A"/>
    <w:rsid w:val="004E1260"/>
    <w:rsid w:val="004E1CBB"/>
    <w:rsid w:val="004E1D07"/>
    <w:rsid w:val="004E209D"/>
    <w:rsid w:val="004E21D3"/>
    <w:rsid w:val="004E2250"/>
    <w:rsid w:val="004E2A06"/>
    <w:rsid w:val="004E2E33"/>
    <w:rsid w:val="004E2F51"/>
    <w:rsid w:val="004E340F"/>
    <w:rsid w:val="004E3579"/>
    <w:rsid w:val="004E3892"/>
    <w:rsid w:val="004E3B0E"/>
    <w:rsid w:val="004E3D87"/>
    <w:rsid w:val="004E3FD8"/>
    <w:rsid w:val="004E4409"/>
    <w:rsid w:val="004E471C"/>
    <w:rsid w:val="004E4976"/>
    <w:rsid w:val="004E4EF1"/>
    <w:rsid w:val="004E5118"/>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905"/>
    <w:rsid w:val="004E7B50"/>
    <w:rsid w:val="004E7B7F"/>
    <w:rsid w:val="004E7BEB"/>
    <w:rsid w:val="004E7C85"/>
    <w:rsid w:val="004F01B4"/>
    <w:rsid w:val="004F020A"/>
    <w:rsid w:val="004F0842"/>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627"/>
    <w:rsid w:val="004F2826"/>
    <w:rsid w:val="004F2AA6"/>
    <w:rsid w:val="004F2B9C"/>
    <w:rsid w:val="004F2CCE"/>
    <w:rsid w:val="004F2E40"/>
    <w:rsid w:val="004F3368"/>
    <w:rsid w:val="004F3590"/>
    <w:rsid w:val="004F359A"/>
    <w:rsid w:val="004F3DD1"/>
    <w:rsid w:val="004F40CC"/>
    <w:rsid w:val="004F45E3"/>
    <w:rsid w:val="004F4625"/>
    <w:rsid w:val="004F4639"/>
    <w:rsid w:val="004F4BA7"/>
    <w:rsid w:val="004F4E53"/>
    <w:rsid w:val="004F5029"/>
    <w:rsid w:val="004F56BB"/>
    <w:rsid w:val="004F58AB"/>
    <w:rsid w:val="004F58F9"/>
    <w:rsid w:val="004F5D4A"/>
    <w:rsid w:val="004F5D6E"/>
    <w:rsid w:val="004F5EBB"/>
    <w:rsid w:val="004F6142"/>
    <w:rsid w:val="004F6149"/>
    <w:rsid w:val="004F68E3"/>
    <w:rsid w:val="004F6AFE"/>
    <w:rsid w:val="004F6EC2"/>
    <w:rsid w:val="004F6F20"/>
    <w:rsid w:val="004F735F"/>
    <w:rsid w:val="004F7373"/>
    <w:rsid w:val="004F73A5"/>
    <w:rsid w:val="004F741B"/>
    <w:rsid w:val="004F76A6"/>
    <w:rsid w:val="004F7A14"/>
    <w:rsid w:val="004F7C51"/>
    <w:rsid w:val="004F7F1A"/>
    <w:rsid w:val="00500102"/>
    <w:rsid w:val="0050031C"/>
    <w:rsid w:val="005004F7"/>
    <w:rsid w:val="00500798"/>
    <w:rsid w:val="005007E7"/>
    <w:rsid w:val="00500925"/>
    <w:rsid w:val="00500A59"/>
    <w:rsid w:val="00500D57"/>
    <w:rsid w:val="005010C4"/>
    <w:rsid w:val="00501155"/>
    <w:rsid w:val="0050132F"/>
    <w:rsid w:val="00501723"/>
    <w:rsid w:val="00501A8C"/>
    <w:rsid w:val="00501F0D"/>
    <w:rsid w:val="005021E8"/>
    <w:rsid w:val="005023DC"/>
    <w:rsid w:val="00502857"/>
    <w:rsid w:val="005029A2"/>
    <w:rsid w:val="00502A61"/>
    <w:rsid w:val="00502FCA"/>
    <w:rsid w:val="005030C8"/>
    <w:rsid w:val="005033EE"/>
    <w:rsid w:val="0050377B"/>
    <w:rsid w:val="005038A7"/>
    <w:rsid w:val="0050398B"/>
    <w:rsid w:val="005039C3"/>
    <w:rsid w:val="00503B0F"/>
    <w:rsid w:val="00503FAD"/>
    <w:rsid w:val="00504639"/>
    <w:rsid w:val="00504AD3"/>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2DF"/>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A8E"/>
    <w:rsid w:val="00515E2B"/>
    <w:rsid w:val="00516470"/>
    <w:rsid w:val="00516542"/>
    <w:rsid w:val="00516B96"/>
    <w:rsid w:val="00516E9E"/>
    <w:rsid w:val="005173A4"/>
    <w:rsid w:val="005179DC"/>
    <w:rsid w:val="0052001B"/>
    <w:rsid w:val="00520085"/>
    <w:rsid w:val="00520490"/>
    <w:rsid w:val="005208F6"/>
    <w:rsid w:val="00520AE3"/>
    <w:rsid w:val="00520D74"/>
    <w:rsid w:val="00520EFA"/>
    <w:rsid w:val="00521294"/>
    <w:rsid w:val="00521ABC"/>
    <w:rsid w:val="00521D5B"/>
    <w:rsid w:val="00521D65"/>
    <w:rsid w:val="00521FD7"/>
    <w:rsid w:val="005221A4"/>
    <w:rsid w:val="005225C5"/>
    <w:rsid w:val="00522CD6"/>
    <w:rsid w:val="005231A1"/>
    <w:rsid w:val="00523366"/>
    <w:rsid w:val="005234F6"/>
    <w:rsid w:val="0052381F"/>
    <w:rsid w:val="00523E18"/>
    <w:rsid w:val="00523F32"/>
    <w:rsid w:val="0052422C"/>
    <w:rsid w:val="005244D5"/>
    <w:rsid w:val="00524514"/>
    <w:rsid w:val="0052463E"/>
    <w:rsid w:val="00524AD1"/>
    <w:rsid w:val="00524AE9"/>
    <w:rsid w:val="00524C8F"/>
    <w:rsid w:val="00524E6A"/>
    <w:rsid w:val="005251DA"/>
    <w:rsid w:val="0052526C"/>
    <w:rsid w:val="00525407"/>
    <w:rsid w:val="005254FA"/>
    <w:rsid w:val="0052577B"/>
    <w:rsid w:val="00525F71"/>
    <w:rsid w:val="00526270"/>
    <w:rsid w:val="0052697C"/>
    <w:rsid w:val="005269C2"/>
    <w:rsid w:val="00526A5E"/>
    <w:rsid w:val="00526C8A"/>
    <w:rsid w:val="005272A8"/>
    <w:rsid w:val="00527489"/>
    <w:rsid w:val="00527860"/>
    <w:rsid w:val="00527A26"/>
    <w:rsid w:val="00527A58"/>
    <w:rsid w:val="0053005D"/>
    <w:rsid w:val="0053012B"/>
    <w:rsid w:val="0053066C"/>
    <w:rsid w:val="005309CD"/>
    <w:rsid w:val="00530AFD"/>
    <w:rsid w:val="00531562"/>
    <w:rsid w:val="00531566"/>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421"/>
    <w:rsid w:val="00535A27"/>
    <w:rsid w:val="00535B60"/>
    <w:rsid w:val="00536166"/>
    <w:rsid w:val="00536AEE"/>
    <w:rsid w:val="00536D47"/>
    <w:rsid w:val="00537092"/>
    <w:rsid w:val="00537640"/>
    <w:rsid w:val="005376DC"/>
    <w:rsid w:val="00537989"/>
    <w:rsid w:val="00537BE9"/>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C0D"/>
    <w:rsid w:val="00542D07"/>
    <w:rsid w:val="0054348B"/>
    <w:rsid w:val="0054354D"/>
    <w:rsid w:val="005436D7"/>
    <w:rsid w:val="00543703"/>
    <w:rsid w:val="00543A06"/>
    <w:rsid w:val="00543A66"/>
    <w:rsid w:val="00543A83"/>
    <w:rsid w:val="00543FA3"/>
    <w:rsid w:val="00544721"/>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A56"/>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4FE"/>
    <w:rsid w:val="00551593"/>
    <w:rsid w:val="00551A64"/>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46"/>
    <w:rsid w:val="00557089"/>
    <w:rsid w:val="005570E7"/>
    <w:rsid w:val="0055718D"/>
    <w:rsid w:val="0055720B"/>
    <w:rsid w:val="00557464"/>
    <w:rsid w:val="00557500"/>
    <w:rsid w:val="0055771C"/>
    <w:rsid w:val="00557A2C"/>
    <w:rsid w:val="00557CAB"/>
    <w:rsid w:val="00557D87"/>
    <w:rsid w:val="00557F47"/>
    <w:rsid w:val="00560583"/>
    <w:rsid w:val="005607B8"/>
    <w:rsid w:val="005608A7"/>
    <w:rsid w:val="00560AC9"/>
    <w:rsid w:val="00560F99"/>
    <w:rsid w:val="00561250"/>
    <w:rsid w:val="0056134D"/>
    <w:rsid w:val="00561A95"/>
    <w:rsid w:val="00561BF6"/>
    <w:rsid w:val="00561FFA"/>
    <w:rsid w:val="0056249D"/>
    <w:rsid w:val="00562757"/>
    <w:rsid w:val="005627C0"/>
    <w:rsid w:val="00562B8D"/>
    <w:rsid w:val="00562CDC"/>
    <w:rsid w:val="00562E37"/>
    <w:rsid w:val="00562FD3"/>
    <w:rsid w:val="0056305A"/>
    <w:rsid w:val="0056306A"/>
    <w:rsid w:val="005632EC"/>
    <w:rsid w:val="00563958"/>
    <w:rsid w:val="00563CE3"/>
    <w:rsid w:val="00563FD2"/>
    <w:rsid w:val="0056434D"/>
    <w:rsid w:val="00564597"/>
    <w:rsid w:val="00564EB9"/>
    <w:rsid w:val="005657DD"/>
    <w:rsid w:val="00565D94"/>
    <w:rsid w:val="00565DA2"/>
    <w:rsid w:val="00565E25"/>
    <w:rsid w:val="005662AA"/>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738"/>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95A"/>
    <w:rsid w:val="00574D14"/>
    <w:rsid w:val="00574FDC"/>
    <w:rsid w:val="005753DB"/>
    <w:rsid w:val="005756BD"/>
    <w:rsid w:val="00575882"/>
    <w:rsid w:val="00575DBF"/>
    <w:rsid w:val="0057604C"/>
    <w:rsid w:val="0057605E"/>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357"/>
    <w:rsid w:val="0058149F"/>
    <w:rsid w:val="005814B6"/>
    <w:rsid w:val="0058155B"/>
    <w:rsid w:val="005815D2"/>
    <w:rsid w:val="005818D4"/>
    <w:rsid w:val="005819D7"/>
    <w:rsid w:val="00581AB8"/>
    <w:rsid w:val="00581C3D"/>
    <w:rsid w:val="00581C6E"/>
    <w:rsid w:val="00581CE5"/>
    <w:rsid w:val="00581DF8"/>
    <w:rsid w:val="00581F40"/>
    <w:rsid w:val="005829CC"/>
    <w:rsid w:val="00582E3D"/>
    <w:rsid w:val="00582F24"/>
    <w:rsid w:val="00582F9E"/>
    <w:rsid w:val="00583147"/>
    <w:rsid w:val="00583503"/>
    <w:rsid w:val="005836D0"/>
    <w:rsid w:val="005837B4"/>
    <w:rsid w:val="00583C7A"/>
    <w:rsid w:val="00583D56"/>
    <w:rsid w:val="00583DEF"/>
    <w:rsid w:val="00583E2F"/>
    <w:rsid w:val="00583E78"/>
    <w:rsid w:val="00584496"/>
    <w:rsid w:val="005846B7"/>
    <w:rsid w:val="00584E9D"/>
    <w:rsid w:val="00584F5E"/>
    <w:rsid w:val="005852AA"/>
    <w:rsid w:val="00585668"/>
    <w:rsid w:val="00585676"/>
    <w:rsid w:val="00585867"/>
    <w:rsid w:val="005858E9"/>
    <w:rsid w:val="00585C3A"/>
    <w:rsid w:val="00586013"/>
    <w:rsid w:val="0058601C"/>
    <w:rsid w:val="0058628A"/>
    <w:rsid w:val="0058676C"/>
    <w:rsid w:val="00586945"/>
    <w:rsid w:val="00586ACD"/>
    <w:rsid w:val="00586B34"/>
    <w:rsid w:val="00587117"/>
    <w:rsid w:val="005872A2"/>
    <w:rsid w:val="005873E8"/>
    <w:rsid w:val="0058759B"/>
    <w:rsid w:val="0058764D"/>
    <w:rsid w:val="00587EA1"/>
    <w:rsid w:val="00590060"/>
    <w:rsid w:val="005909AD"/>
    <w:rsid w:val="00590BF6"/>
    <w:rsid w:val="00590CDA"/>
    <w:rsid w:val="005911ED"/>
    <w:rsid w:val="00591577"/>
    <w:rsid w:val="00591AB7"/>
    <w:rsid w:val="00591B9C"/>
    <w:rsid w:val="00591C7D"/>
    <w:rsid w:val="00591E8B"/>
    <w:rsid w:val="00592160"/>
    <w:rsid w:val="005923C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6B10"/>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93"/>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3D0"/>
    <w:rsid w:val="005A4432"/>
    <w:rsid w:val="005A550E"/>
    <w:rsid w:val="005A588D"/>
    <w:rsid w:val="005A59CF"/>
    <w:rsid w:val="005A5E8D"/>
    <w:rsid w:val="005A6223"/>
    <w:rsid w:val="005A6A3A"/>
    <w:rsid w:val="005A6E87"/>
    <w:rsid w:val="005A6F04"/>
    <w:rsid w:val="005A7F72"/>
    <w:rsid w:val="005B03FD"/>
    <w:rsid w:val="005B0459"/>
    <w:rsid w:val="005B0A7D"/>
    <w:rsid w:val="005B0D97"/>
    <w:rsid w:val="005B0E56"/>
    <w:rsid w:val="005B0F18"/>
    <w:rsid w:val="005B1197"/>
    <w:rsid w:val="005B16CC"/>
    <w:rsid w:val="005B18BB"/>
    <w:rsid w:val="005B193B"/>
    <w:rsid w:val="005B2899"/>
    <w:rsid w:val="005B2DA2"/>
    <w:rsid w:val="005B2EB8"/>
    <w:rsid w:val="005B355C"/>
    <w:rsid w:val="005B3C7C"/>
    <w:rsid w:val="005B3CB8"/>
    <w:rsid w:val="005B3CE6"/>
    <w:rsid w:val="005B411A"/>
    <w:rsid w:val="005B44D4"/>
    <w:rsid w:val="005B46FE"/>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05"/>
    <w:rsid w:val="005C1225"/>
    <w:rsid w:val="005C132F"/>
    <w:rsid w:val="005C1752"/>
    <w:rsid w:val="005C187E"/>
    <w:rsid w:val="005C1BF2"/>
    <w:rsid w:val="005C2144"/>
    <w:rsid w:val="005C247C"/>
    <w:rsid w:val="005C2CD8"/>
    <w:rsid w:val="005C2D0E"/>
    <w:rsid w:val="005C2D32"/>
    <w:rsid w:val="005C2DAD"/>
    <w:rsid w:val="005C3118"/>
    <w:rsid w:val="005C3525"/>
    <w:rsid w:val="005C376D"/>
    <w:rsid w:val="005C3EBA"/>
    <w:rsid w:val="005C4312"/>
    <w:rsid w:val="005C486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3CB0"/>
    <w:rsid w:val="005D4043"/>
    <w:rsid w:val="005D46E9"/>
    <w:rsid w:val="005D49D1"/>
    <w:rsid w:val="005D4D77"/>
    <w:rsid w:val="005D5012"/>
    <w:rsid w:val="005D5272"/>
    <w:rsid w:val="005D58BD"/>
    <w:rsid w:val="005D5933"/>
    <w:rsid w:val="005D5D5C"/>
    <w:rsid w:val="005D5E46"/>
    <w:rsid w:val="005D609E"/>
    <w:rsid w:val="005D64A5"/>
    <w:rsid w:val="005D6929"/>
    <w:rsid w:val="005D6B30"/>
    <w:rsid w:val="005D6CDE"/>
    <w:rsid w:val="005D6CED"/>
    <w:rsid w:val="005D6E1C"/>
    <w:rsid w:val="005D6F9C"/>
    <w:rsid w:val="005D729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51"/>
    <w:rsid w:val="005E3B77"/>
    <w:rsid w:val="005E3BEE"/>
    <w:rsid w:val="005E3FFF"/>
    <w:rsid w:val="005E43AD"/>
    <w:rsid w:val="005E48F7"/>
    <w:rsid w:val="005E4CCB"/>
    <w:rsid w:val="005E4DD1"/>
    <w:rsid w:val="005E4FE2"/>
    <w:rsid w:val="005E5563"/>
    <w:rsid w:val="005E59C5"/>
    <w:rsid w:val="005E5A69"/>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6004DE"/>
    <w:rsid w:val="00600873"/>
    <w:rsid w:val="00600AAB"/>
    <w:rsid w:val="00600B6C"/>
    <w:rsid w:val="00600C1C"/>
    <w:rsid w:val="00600CBF"/>
    <w:rsid w:val="00600DEB"/>
    <w:rsid w:val="00601072"/>
    <w:rsid w:val="00601097"/>
    <w:rsid w:val="006012DA"/>
    <w:rsid w:val="0060144E"/>
    <w:rsid w:val="0060150D"/>
    <w:rsid w:val="00601FCD"/>
    <w:rsid w:val="00602029"/>
    <w:rsid w:val="00602354"/>
    <w:rsid w:val="0060254B"/>
    <w:rsid w:val="0060268D"/>
    <w:rsid w:val="006027D5"/>
    <w:rsid w:val="00602B1C"/>
    <w:rsid w:val="00602F3E"/>
    <w:rsid w:val="0060305B"/>
    <w:rsid w:val="006032CB"/>
    <w:rsid w:val="00603460"/>
    <w:rsid w:val="006039A7"/>
    <w:rsid w:val="006039C5"/>
    <w:rsid w:val="00603B1B"/>
    <w:rsid w:val="006043D7"/>
    <w:rsid w:val="00604594"/>
    <w:rsid w:val="00604708"/>
    <w:rsid w:val="00604818"/>
    <w:rsid w:val="0060482F"/>
    <w:rsid w:val="006049C5"/>
    <w:rsid w:val="00604CFF"/>
    <w:rsid w:val="00605399"/>
    <w:rsid w:val="006054EE"/>
    <w:rsid w:val="0060591D"/>
    <w:rsid w:val="006059EC"/>
    <w:rsid w:val="00605A02"/>
    <w:rsid w:val="00605A5D"/>
    <w:rsid w:val="00605B5D"/>
    <w:rsid w:val="006074B1"/>
    <w:rsid w:val="0060764C"/>
    <w:rsid w:val="006079CA"/>
    <w:rsid w:val="00607ADE"/>
    <w:rsid w:val="00607E68"/>
    <w:rsid w:val="00610224"/>
    <w:rsid w:val="0061023F"/>
    <w:rsid w:val="006102C6"/>
    <w:rsid w:val="006103F0"/>
    <w:rsid w:val="00610B78"/>
    <w:rsid w:val="006112E3"/>
    <w:rsid w:val="006113A9"/>
    <w:rsid w:val="00611924"/>
    <w:rsid w:val="00611C82"/>
    <w:rsid w:val="00612081"/>
    <w:rsid w:val="006125DB"/>
    <w:rsid w:val="0061297E"/>
    <w:rsid w:val="00612C73"/>
    <w:rsid w:val="00612E96"/>
    <w:rsid w:val="00613120"/>
    <w:rsid w:val="006132BD"/>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000"/>
    <w:rsid w:val="006162D2"/>
    <w:rsid w:val="006164DD"/>
    <w:rsid w:val="00616885"/>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36"/>
    <w:rsid w:val="006217B4"/>
    <w:rsid w:val="006217DC"/>
    <w:rsid w:val="00621B6A"/>
    <w:rsid w:val="00621C0B"/>
    <w:rsid w:val="00621C72"/>
    <w:rsid w:val="00621CAD"/>
    <w:rsid w:val="00623427"/>
    <w:rsid w:val="00623AEB"/>
    <w:rsid w:val="00623BB4"/>
    <w:rsid w:val="00623E4E"/>
    <w:rsid w:val="00624C2C"/>
    <w:rsid w:val="00624C6E"/>
    <w:rsid w:val="00624FB3"/>
    <w:rsid w:val="00625642"/>
    <w:rsid w:val="00625B24"/>
    <w:rsid w:val="00626387"/>
    <w:rsid w:val="0062657C"/>
    <w:rsid w:val="00626C25"/>
    <w:rsid w:val="00626E64"/>
    <w:rsid w:val="0062725A"/>
    <w:rsid w:val="006278B5"/>
    <w:rsid w:val="00627B5D"/>
    <w:rsid w:val="00627BA3"/>
    <w:rsid w:val="00627C39"/>
    <w:rsid w:val="00627DE3"/>
    <w:rsid w:val="00627E44"/>
    <w:rsid w:val="006300D7"/>
    <w:rsid w:val="00630333"/>
    <w:rsid w:val="0063037C"/>
    <w:rsid w:val="006309AC"/>
    <w:rsid w:val="00630D0D"/>
    <w:rsid w:val="00631007"/>
    <w:rsid w:val="00631826"/>
    <w:rsid w:val="00631B1A"/>
    <w:rsid w:val="006326BC"/>
    <w:rsid w:val="00632763"/>
    <w:rsid w:val="00632927"/>
    <w:rsid w:val="00632A0E"/>
    <w:rsid w:val="00632A4C"/>
    <w:rsid w:val="00632EEF"/>
    <w:rsid w:val="0063305B"/>
    <w:rsid w:val="0063309C"/>
    <w:rsid w:val="006333DE"/>
    <w:rsid w:val="006334D2"/>
    <w:rsid w:val="00633951"/>
    <w:rsid w:val="00633965"/>
    <w:rsid w:val="00633A3A"/>
    <w:rsid w:val="00633B5E"/>
    <w:rsid w:val="00633C0A"/>
    <w:rsid w:val="0063405E"/>
    <w:rsid w:val="006341AD"/>
    <w:rsid w:val="006346F1"/>
    <w:rsid w:val="006347F5"/>
    <w:rsid w:val="00634F76"/>
    <w:rsid w:val="006353D0"/>
    <w:rsid w:val="00635BB5"/>
    <w:rsid w:val="00635CE9"/>
    <w:rsid w:val="00635EDC"/>
    <w:rsid w:val="00635F56"/>
    <w:rsid w:val="00636094"/>
    <w:rsid w:val="0063633A"/>
    <w:rsid w:val="0063650D"/>
    <w:rsid w:val="00636A76"/>
    <w:rsid w:val="00636C0F"/>
    <w:rsid w:val="0063720A"/>
    <w:rsid w:val="0063739E"/>
    <w:rsid w:val="006373C7"/>
    <w:rsid w:val="00637D85"/>
    <w:rsid w:val="00637E00"/>
    <w:rsid w:val="006401C6"/>
    <w:rsid w:val="00640207"/>
    <w:rsid w:val="00640222"/>
    <w:rsid w:val="006409F3"/>
    <w:rsid w:val="00641061"/>
    <w:rsid w:val="006411DF"/>
    <w:rsid w:val="006412EC"/>
    <w:rsid w:val="006418FA"/>
    <w:rsid w:val="006419ED"/>
    <w:rsid w:val="006427DE"/>
    <w:rsid w:val="006429E5"/>
    <w:rsid w:val="00642D10"/>
    <w:rsid w:val="00642D66"/>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6506"/>
    <w:rsid w:val="006466B5"/>
    <w:rsid w:val="00646E4E"/>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27C2"/>
    <w:rsid w:val="00653217"/>
    <w:rsid w:val="00653273"/>
    <w:rsid w:val="00653B4B"/>
    <w:rsid w:val="00653FED"/>
    <w:rsid w:val="0065424F"/>
    <w:rsid w:val="006544F6"/>
    <w:rsid w:val="006545DA"/>
    <w:rsid w:val="00654A2F"/>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F67"/>
    <w:rsid w:val="006605DC"/>
    <w:rsid w:val="00660602"/>
    <w:rsid w:val="00660861"/>
    <w:rsid w:val="006613A6"/>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E70"/>
    <w:rsid w:val="00665F8C"/>
    <w:rsid w:val="00666140"/>
    <w:rsid w:val="00666E49"/>
    <w:rsid w:val="006670CC"/>
    <w:rsid w:val="0066725F"/>
    <w:rsid w:val="006672FC"/>
    <w:rsid w:val="00667378"/>
    <w:rsid w:val="0066745C"/>
    <w:rsid w:val="00667A27"/>
    <w:rsid w:val="00670204"/>
    <w:rsid w:val="00670290"/>
    <w:rsid w:val="006704BF"/>
    <w:rsid w:val="00670646"/>
    <w:rsid w:val="006707A2"/>
    <w:rsid w:val="00670AD6"/>
    <w:rsid w:val="00670B12"/>
    <w:rsid w:val="00670ECD"/>
    <w:rsid w:val="00671010"/>
    <w:rsid w:val="0067106A"/>
    <w:rsid w:val="0067134F"/>
    <w:rsid w:val="0067145F"/>
    <w:rsid w:val="006719BE"/>
    <w:rsid w:val="00671B4F"/>
    <w:rsid w:val="00671E66"/>
    <w:rsid w:val="006725CC"/>
    <w:rsid w:val="0067273D"/>
    <w:rsid w:val="00672966"/>
    <w:rsid w:val="006729C5"/>
    <w:rsid w:val="00672D1B"/>
    <w:rsid w:val="0067328A"/>
    <w:rsid w:val="00673401"/>
    <w:rsid w:val="006735BC"/>
    <w:rsid w:val="006735C5"/>
    <w:rsid w:val="00673B6C"/>
    <w:rsid w:val="00673BDE"/>
    <w:rsid w:val="00673EB7"/>
    <w:rsid w:val="00673FBF"/>
    <w:rsid w:val="006740F1"/>
    <w:rsid w:val="0067439E"/>
    <w:rsid w:val="00674460"/>
    <w:rsid w:val="006754D4"/>
    <w:rsid w:val="00675652"/>
    <w:rsid w:val="006757BC"/>
    <w:rsid w:val="006758E5"/>
    <w:rsid w:val="00675C21"/>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47"/>
    <w:rsid w:val="00681254"/>
    <w:rsid w:val="00681307"/>
    <w:rsid w:val="00681B1F"/>
    <w:rsid w:val="00681CC5"/>
    <w:rsid w:val="00682085"/>
    <w:rsid w:val="006820C0"/>
    <w:rsid w:val="0068212E"/>
    <w:rsid w:val="0068226B"/>
    <w:rsid w:val="00682E47"/>
    <w:rsid w:val="00682ED3"/>
    <w:rsid w:val="00683D7F"/>
    <w:rsid w:val="00683E9E"/>
    <w:rsid w:val="00684074"/>
    <w:rsid w:val="00684258"/>
    <w:rsid w:val="006842A6"/>
    <w:rsid w:val="006845C9"/>
    <w:rsid w:val="00684A14"/>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413"/>
    <w:rsid w:val="006878B2"/>
    <w:rsid w:val="00687A10"/>
    <w:rsid w:val="00690D12"/>
    <w:rsid w:val="00690F0E"/>
    <w:rsid w:val="006919C5"/>
    <w:rsid w:val="00691F6B"/>
    <w:rsid w:val="00692799"/>
    <w:rsid w:val="006927F0"/>
    <w:rsid w:val="00692A0D"/>
    <w:rsid w:val="00692BDC"/>
    <w:rsid w:val="00692F1D"/>
    <w:rsid w:val="00692F99"/>
    <w:rsid w:val="00693077"/>
    <w:rsid w:val="00693295"/>
    <w:rsid w:val="00693299"/>
    <w:rsid w:val="00693529"/>
    <w:rsid w:val="006935E1"/>
    <w:rsid w:val="00693A5C"/>
    <w:rsid w:val="00693AE7"/>
    <w:rsid w:val="00693F0A"/>
    <w:rsid w:val="00694260"/>
    <w:rsid w:val="0069447C"/>
    <w:rsid w:val="0069489E"/>
    <w:rsid w:val="006949AD"/>
    <w:rsid w:val="006949ED"/>
    <w:rsid w:val="00694E1F"/>
    <w:rsid w:val="00694E55"/>
    <w:rsid w:val="006951BA"/>
    <w:rsid w:val="006951E3"/>
    <w:rsid w:val="00695861"/>
    <w:rsid w:val="00695900"/>
    <w:rsid w:val="00695D23"/>
    <w:rsid w:val="006960C8"/>
    <w:rsid w:val="00696244"/>
    <w:rsid w:val="006969D6"/>
    <w:rsid w:val="00696B6A"/>
    <w:rsid w:val="00696DD1"/>
    <w:rsid w:val="006971E7"/>
    <w:rsid w:val="0069755C"/>
    <w:rsid w:val="006979DC"/>
    <w:rsid w:val="00697C2C"/>
    <w:rsid w:val="00697E0B"/>
    <w:rsid w:val="00697F71"/>
    <w:rsid w:val="006A04D8"/>
    <w:rsid w:val="006A05EF"/>
    <w:rsid w:val="006A0942"/>
    <w:rsid w:val="006A0C0A"/>
    <w:rsid w:val="006A1262"/>
    <w:rsid w:val="006A1460"/>
    <w:rsid w:val="006A1584"/>
    <w:rsid w:val="006A18DD"/>
    <w:rsid w:val="006A20BD"/>
    <w:rsid w:val="006A2266"/>
    <w:rsid w:val="006A2312"/>
    <w:rsid w:val="006A2347"/>
    <w:rsid w:val="006A24B3"/>
    <w:rsid w:val="006A2BF5"/>
    <w:rsid w:val="006A2D0E"/>
    <w:rsid w:val="006A2DF3"/>
    <w:rsid w:val="006A2E66"/>
    <w:rsid w:val="006A3227"/>
    <w:rsid w:val="006A3396"/>
    <w:rsid w:val="006A3459"/>
    <w:rsid w:val="006A3A59"/>
    <w:rsid w:val="006A3F94"/>
    <w:rsid w:val="006A40D0"/>
    <w:rsid w:val="006A40F7"/>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72D"/>
    <w:rsid w:val="006B0A30"/>
    <w:rsid w:val="006B0D6D"/>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3648"/>
    <w:rsid w:val="006B393F"/>
    <w:rsid w:val="006B3E55"/>
    <w:rsid w:val="006B401E"/>
    <w:rsid w:val="006B42EC"/>
    <w:rsid w:val="006B47D1"/>
    <w:rsid w:val="006B4D09"/>
    <w:rsid w:val="006B503D"/>
    <w:rsid w:val="006B5111"/>
    <w:rsid w:val="006B5112"/>
    <w:rsid w:val="006B6346"/>
    <w:rsid w:val="006B6AD0"/>
    <w:rsid w:val="006B6BA3"/>
    <w:rsid w:val="006B6C83"/>
    <w:rsid w:val="006B6C95"/>
    <w:rsid w:val="006B7121"/>
    <w:rsid w:val="006B725C"/>
    <w:rsid w:val="006B77CB"/>
    <w:rsid w:val="006B784A"/>
    <w:rsid w:val="006B7864"/>
    <w:rsid w:val="006B7CA3"/>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8AE"/>
    <w:rsid w:val="006C3BD7"/>
    <w:rsid w:val="006C3C77"/>
    <w:rsid w:val="006C3E6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569"/>
    <w:rsid w:val="006D576E"/>
    <w:rsid w:val="006D59BF"/>
    <w:rsid w:val="006D5A62"/>
    <w:rsid w:val="006D5AF5"/>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D3A"/>
    <w:rsid w:val="006E41A1"/>
    <w:rsid w:val="006E41A2"/>
    <w:rsid w:val="006E42EE"/>
    <w:rsid w:val="006E43DC"/>
    <w:rsid w:val="006E4646"/>
    <w:rsid w:val="006E4AC1"/>
    <w:rsid w:val="006E4DFC"/>
    <w:rsid w:val="006E512D"/>
    <w:rsid w:val="006E5477"/>
    <w:rsid w:val="006E54C6"/>
    <w:rsid w:val="006E554E"/>
    <w:rsid w:val="006E5949"/>
    <w:rsid w:val="006E5AFE"/>
    <w:rsid w:val="006E696A"/>
    <w:rsid w:val="006E6AD1"/>
    <w:rsid w:val="006E6C33"/>
    <w:rsid w:val="006E6E8C"/>
    <w:rsid w:val="006E6F03"/>
    <w:rsid w:val="006E71A8"/>
    <w:rsid w:val="006E7496"/>
    <w:rsid w:val="006E7883"/>
    <w:rsid w:val="006E7969"/>
    <w:rsid w:val="006E7E49"/>
    <w:rsid w:val="006E7F71"/>
    <w:rsid w:val="006E7F8A"/>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7A7"/>
    <w:rsid w:val="006F59BB"/>
    <w:rsid w:val="006F5A9B"/>
    <w:rsid w:val="006F5B41"/>
    <w:rsid w:val="006F6689"/>
    <w:rsid w:val="006F6740"/>
    <w:rsid w:val="006F6768"/>
    <w:rsid w:val="006F6FA1"/>
    <w:rsid w:val="006F6FEA"/>
    <w:rsid w:val="006F70E1"/>
    <w:rsid w:val="006F7427"/>
    <w:rsid w:val="006F746D"/>
    <w:rsid w:val="006F7A92"/>
    <w:rsid w:val="006F7E42"/>
    <w:rsid w:val="00700042"/>
    <w:rsid w:val="0070013F"/>
    <w:rsid w:val="0070021C"/>
    <w:rsid w:val="0070023A"/>
    <w:rsid w:val="0070063F"/>
    <w:rsid w:val="00700F50"/>
    <w:rsid w:val="0070124B"/>
    <w:rsid w:val="007017EA"/>
    <w:rsid w:val="0070181F"/>
    <w:rsid w:val="0070193E"/>
    <w:rsid w:val="00701B27"/>
    <w:rsid w:val="00701F97"/>
    <w:rsid w:val="00702C22"/>
    <w:rsid w:val="007030F5"/>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267"/>
    <w:rsid w:val="0070743B"/>
    <w:rsid w:val="00707748"/>
    <w:rsid w:val="00707B13"/>
    <w:rsid w:val="00707CC2"/>
    <w:rsid w:val="00707EC9"/>
    <w:rsid w:val="007101A8"/>
    <w:rsid w:val="007101EE"/>
    <w:rsid w:val="007102C1"/>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C77"/>
    <w:rsid w:val="00716FC0"/>
    <w:rsid w:val="00717251"/>
    <w:rsid w:val="00717267"/>
    <w:rsid w:val="00717692"/>
    <w:rsid w:val="00717890"/>
    <w:rsid w:val="007178EE"/>
    <w:rsid w:val="00717A57"/>
    <w:rsid w:val="007205D5"/>
    <w:rsid w:val="00720759"/>
    <w:rsid w:val="00720A0C"/>
    <w:rsid w:val="00720FC3"/>
    <w:rsid w:val="007211F3"/>
    <w:rsid w:val="0072131D"/>
    <w:rsid w:val="007215A9"/>
    <w:rsid w:val="007216EC"/>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3F0C"/>
    <w:rsid w:val="00724426"/>
    <w:rsid w:val="00724437"/>
    <w:rsid w:val="007244BA"/>
    <w:rsid w:val="007245F9"/>
    <w:rsid w:val="0072461A"/>
    <w:rsid w:val="00724728"/>
    <w:rsid w:val="00724907"/>
    <w:rsid w:val="00724CB6"/>
    <w:rsid w:val="00725068"/>
    <w:rsid w:val="0072560E"/>
    <w:rsid w:val="00725849"/>
    <w:rsid w:val="00725CB6"/>
    <w:rsid w:val="00725CDC"/>
    <w:rsid w:val="00726281"/>
    <w:rsid w:val="0072650B"/>
    <w:rsid w:val="00726537"/>
    <w:rsid w:val="0072665F"/>
    <w:rsid w:val="007273EC"/>
    <w:rsid w:val="007279F1"/>
    <w:rsid w:val="00727E9F"/>
    <w:rsid w:val="007310FA"/>
    <w:rsid w:val="0073128B"/>
    <w:rsid w:val="0073150C"/>
    <w:rsid w:val="0073171A"/>
    <w:rsid w:val="00731850"/>
    <w:rsid w:val="0073192F"/>
    <w:rsid w:val="00731D9D"/>
    <w:rsid w:val="00731FF6"/>
    <w:rsid w:val="007325D3"/>
    <w:rsid w:val="00732885"/>
    <w:rsid w:val="0073303B"/>
    <w:rsid w:val="00733858"/>
    <w:rsid w:val="00733A80"/>
    <w:rsid w:val="00733C86"/>
    <w:rsid w:val="007343E7"/>
    <w:rsid w:val="0073487C"/>
    <w:rsid w:val="0073497A"/>
    <w:rsid w:val="00734D7B"/>
    <w:rsid w:val="0073532A"/>
    <w:rsid w:val="00735436"/>
    <w:rsid w:val="00735549"/>
    <w:rsid w:val="00735650"/>
    <w:rsid w:val="00735934"/>
    <w:rsid w:val="00735E35"/>
    <w:rsid w:val="00735F6B"/>
    <w:rsid w:val="0073637C"/>
    <w:rsid w:val="00736886"/>
    <w:rsid w:val="00736D7B"/>
    <w:rsid w:val="00737143"/>
    <w:rsid w:val="007377ED"/>
    <w:rsid w:val="00737944"/>
    <w:rsid w:val="007379C8"/>
    <w:rsid w:val="00737B9A"/>
    <w:rsid w:val="00737BDB"/>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39F"/>
    <w:rsid w:val="00743468"/>
    <w:rsid w:val="0074351A"/>
    <w:rsid w:val="007436B1"/>
    <w:rsid w:val="007436D5"/>
    <w:rsid w:val="00743867"/>
    <w:rsid w:val="00743CB3"/>
    <w:rsid w:val="00744055"/>
    <w:rsid w:val="0074443A"/>
    <w:rsid w:val="0074475B"/>
    <w:rsid w:val="00744776"/>
    <w:rsid w:val="00744B86"/>
    <w:rsid w:val="00744E4F"/>
    <w:rsid w:val="00744F3A"/>
    <w:rsid w:val="0074544C"/>
    <w:rsid w:val="0074576E"/>
    <w:rsid w:val="007458E7"/>
    <w:rsid w:val="00745C0F"/>
    <w:rsid w:val="00745C79"/>
    <w:rsid w:val="00745E38"/>
    <w:rsid w:val="00745EBB"/>
    <w:rsid w:val="00746167"/>
    <w:rsid w:val="00746199"/>
    <w:rsid w:val="0074631C"/>
    <w:rsid w:val="007464FA"/>
    <w:rsid w:val="00747446"/>
    <w:rsid w:val="00747BD8"/>
    <w:rsid w:val="00747F05"/>
    <w:rsid w:val="007502AA"/>
    <w:rsid w:val="0075038A"/>
    <w:rsid w:val="007503B7"/>
    <w:rsid w:val="0075076E"/>
    <w:rsid w:val="007509F9"/>
    <w:rsid w:val="00750E65"/>
    <w:rsid w:val="007511A5"/>
    <w:rsid w:val="00751ED5"/>
    <w:rsid w:val="00751F76"/>
    <w:rsid w:val="00752497"/>
    <w:rsid w:val="007524E2"/>
    <w:rsid w:val="00752678"/>
    <w:rsid w:val="007528FF"/>
    <w:rsid w:val="00752AA5"/>
    <w:rsid w:val="00752FE7"/>
    <w:rsid w:val="0075371F"/>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810"/>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67"/>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163"/>
    <w:rsid w:val="00764EB8"/>
    <w:rsid w:val="00765098"/>
    <w:rsid w:val="007650A8"/>
    <w:rsid w:val="0076533C"/>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67C3F"/>
    <w:rsid w:val="007700C8"/>
    <w:rsid w:val="00770108"/>
    <w:rsid w:val="007703C2"/>
    <w:rsid w:val="007704E8"/>
    <w:rsid w:val="00770CEE"/>
    <w:rsid w:val="0077117C"/>
    <w:rsid w:val="00771EFA"/>
    <w:rsid w:val="007721AD"/>
    <w:rsid w:val="00772232"/>
    <w:rsid w:val="00772772"/>
    <w:rsid w:val="007728F4"/>
    <w:rsid w:val="00772A0E"/>
    <w:rsid w:val="00772D15"/>
    <w:rsid w:val="00772DC3"/>
    <w:rsid w:val="00772FC1"/>
    <w:rsid w:val="007733C4"/>
    <w:rsid w:val="00773EC7"/>
    <w:rsid w:val="007743A1"/>
    <w:rsid w:val="007744EF"/>
    <w:rsid w:val="00774BB2"/>
    <w:rsid w:val="00774DFE"/>
    <w:rsid w:val="00774E5B"/>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1DD"/>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2B9"/>
    <w:rsid w:val="007833C3"/>
    <w:rsid w:val="007837BE"/>
    <w:rsid w:val="0078380D"/>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B94"/>
    <w:rsid w:val="00792ECC"/>
    <w:rsid w:val="007936DF"/>
    <w:rsid w:val="00793774"/>
    <w:rsid w:val="007938B7"/>
    <w:rsid w:val="00793901"/>
    <w:rsid w:val="007939C7"/>
    <w:rsid w:val="007939D1"/>
    <w:rsid w:val="00793D87"/>
    <w:rsid w:val="00793F70"/>
    <w:rsid w:val="007947FB"/>
    <w:rsid w:val="00794DFE"/>
    <w:rsid w:val="0079511B"/>
    <w:rsid w:val="007954AC"/>
    <w:rsid w:val="00795804"/>
    <w:rsid w:val="00795809"/>
    <w:rsid w:val="00795BA6"/>
    <w:rsid w:val="0079601B"/>
    <w:rsid w:val="007962E1"/>
    <w:rsid w:val="0079675E"/>
    <w:rsid w:val="007967DC"/>
    <w:rsid w:val="00796B15"/>
    <w:rsid w:val="00796EE5"/>
    <w:rsid w:val="007970B2"/>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49"/>
    <w:rsid w:val="007A1882"/>
    <w:rsid w:val="007A1B63"/>
    <w:rsid w:val="007A1FB9"/>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4F85"/>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339"/>
    <w:rsid w:val="007B068E"/>
    <w:rsid w:val="007B073B"/>
    <w:rsid w:val="007B1061"/>
    <w:rsid w:val="007B1F9A"/>
    <w:rsid w:val="007B2074"/>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CEF"/>
    <w:rsid w:val="007B7D58"/>
    <w:rsid w:val="007B7E59"/>
    <w:rsid w:val="007C03E7"/>
    <w:rsid w:val="007C055A"/>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47D"/>
    <w:rsid w:val="007C450E"/>
    <w:rsid w:val="007C508D"/>
    <w:rsid w:val="007C515A"/>
    <w:rsid w:val="007C52ED"/>
    <w:rsid w:val="007C52F0"/>
    <w:rsid w:val="007C557D"/>
    <w:rsid w:val="007C56CE"/>
    <w:rsid w:val="007C58C4"/>
    <w:rsid w:val="007C597C"/>
    <w:rsid w:val="007C5CE6"/>
    <w:rsid w:val="007C5DB6"/>
    <w:rsid w:val="007C5E8E"/>
    <w:rsid w:val="007C6215"/>
    <w:rsid w:val="007C64BC"/>
    <w:rsid w:val="007C677E"/>
    <w:rsid w:val="007C6939"/>
    <w:rsid w:val="007C6941"/>
    <w:rsid w:val="007C6BBF"/>
    <w:rsid w:val="007C6C13"/>
    <w:rsid w:val="007C6D8A"/>
    <w:rsid w:val="007C6E75"/>
    <w:rsid w:val="007C6F89"/>
    <w:rsid w:val="007C709B"/>
    <w:rsid w:val="007C7578"/>
    <w:rsid w:val="007C7771"/>
    <w:rsid w:val="007C778B"/>
    <w:rsid w:val="007C779D"/>
    <w:rsid w:val="007C7EE2"/>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9AD"/>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7C9"/>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0FB3"/>
    <w:rsid w:val="007F1083"/>
    <w:rsid w:val="007F128B"/>
    <w:rsid w:val="007F133E"/>
    <w:rsid w:val="007F18C0"/>
    <w:rsid w:val="007F1967"/>
    <w:rsid w:val="007F1C11"/>
    <w:rsid w:val="007F1F85"/>
    <w:rsid w:val="007F2477"/>
    <w:rsid w:val="007F2BC0"/>
    <w:rsid w:val="007F2DBB"/>
    <w:rsid w:val="007F2ED4"/>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6BBD"/>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CC9"/>
    <w:rsid w:val="00801D69"/>
    <w:rsid w:val="0080220C"/>
    <w:rsid w:val="00802410"/>
    <w:rsid w:val="0080270F"/>
    <w:rsid w:val="00802FDA"/>
    <w:rsid w:val="00803160"/>
    <w:rsid w:val="008034BD"/>
    <w:rsid w:val="0080369E"/>
    <w:rsid w:val="008036F8"/>
    <w:rsid w:val="0080397E"/>
    <w:rsid w:val="00803E2E"/>
    <w:rsid w:val="00803EAD"/>
    <w:rsid w:val="00803FD6"/>
    <w:rsid w:val="00804028"/>
    <w:rsid w:val="00804180"/>
    <w:rsid w:val="008041E1"/>
    <w:rsid w:val="00804708"/>
    <w:rsid w:val="00804765"/>
    <w:rsid w:val="00804867"/>
    <w:rsid w:val="00804B2F"/>
    <w:rsid w:val="008050E9"/>
    <w:rsid w:val="0080537F"/>
    <w:rsid w:val="008053AD"/>
    <w:rsid w:val="00805431"/>
    <w:rsid w:val="00805C10"/>
    <w:rsid w:val="00805D11"/>
    <w:rsid w:val="0080656E"/>
    <w:rsid w:val="00806979"/>
    <w:rsid w:val="0080699F"/>
    <w:rsid w:val="00806BD5"/>
    <w:rsid w:val="00806CC3"/>
    <w:rsid w:val="00806D29"/>
    <w:rsid w:val="00806F5E"/>
    <w:rsid w:val="00807011"/>
    <w:rsid w:val="00807098"/>
    <w:rsid w:val="00807365"/>
    <w:rsid w:val="0080770D"/>
    <w:rsid w:val="00807A91"/>
    <w:rsid w:val="00807D28"/>
    <w:rsid w:val="00807D5E"/>
    <w:rsid w:val="00807E1B"/>
    <w:rsid w:val="008100D3"/>
    <w:rsid w:val="0081012C"/>
    <w:rsid w:val="0081036B"/>
    <w:rsid w:val="00810453"/>
    <w:rsid w:val="00810BA9"/>
    <w:rsid w:val="00810DE9"/>
    <w:rsid w:val="00810EAE"/>
    <w:rsid w:val="00811036"/>
    <w:rsid w:val="00811236"/>
    <w:rsid w:val="00811E7A"/>
    <w:rsid w:val="00812027"/>
    <w:rsid w:val="008123D5"/>
    <w:rsid w:val="008124FE"/>
    <w:rsid w:val="008127B0"/>
    <w:rsid w:val="00812FE3"/>
    <w:rsid w:val="00813A9F"/>
    <w:rsid w:val="00813C95"/>
    <w:rsid w:val="00813CE0"/>
    <w:rsid w:val="00814072"/>
    <w:rsid w:val="008142CD"/>
    <w:rsid w:val="0081433F"/>
    <w:rsid w:val="008143E4"/>
    <w:rsid w:val="00814500"/>
    <w:rsid w:val="008148C3"/>
    <w:rsid w:val="00814935"/>
    <w:rsid w:val="00814B38"/>
    <w:rsid w:val="00814B62"/>
    <w:rsid w:val="00814B65"/>
    <w:rsid w:val="00814BD6"/>
    <w:rsid w:val="00814D2B"/>
    <w:rsid w:val="00814D69"/>
    <w:rsid w:val="00815277"/>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E0F"/>
    <w:rsid w:val="00817F27"/>
    <w:rsid w:val="0082013D"/>
    <w:rsid w:val="00820A96"/>
    <w:rsid w:val="00821610"/>
    <w:rsid w:val="008216E2"/>
    <w:rsid w:val="0082172C"/>
    <w:rsid w:val="0082180C"/>
    <w:rsid w:val="00821A22"/>
    <w:rsid w:val="00821DC0"/>
    <w:rsid w:val="00822131"/>
    <w:rsid w:val="00822656"/>
    <w:rsid w:val="00822689"/>
    <w:rsid w:val="00822B04"/>
    <w:rsid w:val="00822C87"/>
    <w:rsid w:val="00822D75"/>
    <w:rsid w:val="00823335"/>
    <w:rsid w:val="008235B7"/>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9B"/>
    <w:rsid w:val="008306FA"/>
    <w:rsid w:val="00830E6D"/>
    <w:rsid w:val="0083179C"/>
    <w:rsid w:val="00831BA1"/>
    <w:rsid w:val="00831C37"/>
    <w:rsid w:val="00832035"/>
    <w:rsid w:val="00832142"/>
    <w:rsid w:val="0083241A"/>
    <w:rsid w:val="00832C18"/>
    <w:rsid w:val="00832CAF"/>
    <w:rsid w:val="0083311A"/>
    <w:rsid w:val="00833ECB"/>
    <w:rsid w:val="0083400F"/>
    <w:rsid w:val="0083417A"/>
    <w:rsid w:val="00834374"/>
    <w:rsid w:val="00834512"/>
    <w:rsid w:val="008349E7"/>
    <w:rsid w:val="00834B30"/>
    <w:rsid w:val="0083502E"/>
    <w:rsid w:val="008350E9"/>
    <w:rsid w:val="00835B82"/>
    <w:rsid w:val="00835C0C"/>
    <w:rsid w:val="00836133"/>
    <w:rsid w:val="00836346"/>
    <w:rsid w:val="008364F7"/>
    <w:rsid w:val="0083657B"/>
    <w:rsid w:val="00836B5B"/>
    <w:rsid w:val="00837088"/>
    <w:rsid w:val="0083768C"/>
    <w:rsid w:val="00837C80"/>
    <w:rsid w:val="00837E87"/>
    <w:rsid w:val="008401C3"/>
    <w:rsid w:val="008404CA"/>
    <w:rsid w:val="008404D7"/>
    <w:rsid w:val="00840634"/>
    <w:rsid w:val="00840A68"/>
    <w:rsid w:val="00840A83"/>
    <w:rsid w:val="00840AD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EE2"/>
    <w:rsid w:val="00852FAF"/>
    <w:rsid w:val="00853C45"/>
    <w:rsid w:val="00854090"/>
    <w:rsid w:val="008540C8"/>
    <w:rsid w:val="0085412E"/>
    <w:rsid w:val="00854983"/>
    <w:rsid w:val="00854A91"/>
    <w:rsid w:val="00854E0E"/>
    <w:rsid w:val="008556DB"/>
    <w:rsid w:val="008561D7"/>
    <w:rsid w:val="00856301"/>
    <w:rsid w:val="008569DF"/>
    <w:rsid w:val="00856A3D"/>
    <w:rsid w:val="00856CF0"/>
    <w:rsid w:val="00856D2B"/>
    <w:rsid w:val="00856D37"/>
    <w:rsid w:val="00856E4A"/>
    <w:rsid w:val="0085722A"/>
    <w:rsid w:val="008573CB"/>
    <w:rsid w:val="0085744D"/>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4D36"/>
    <w:rsid w:val="00864E74"/>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57"/>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806"/>
    <w:rsid w:val="00873BF0"/>
    <w:rsid w:val="00873C85"/>
    <w:rsid w:val="00873D94"/>
    <w:rsid w:val="008742CE"/>
    <w:rsid w:val="00874656"/>
    <w:rsid w:val="00874762"/>
    <w:rsid w:val="00874E33"/>
    <w:rsid w:val="00874FAC"/>
    <w:rsid w:val="0087504C"/>
    <w:rsid w:val="00875395"/>
    <w:rsid w:val="00875755"/>
    <w:rsid w:val="00875905"/>
    <w:rsid w:val="008759C1"/>
    <w:rsid w:val="00875F79"/>
    <w:rsid w:val="00875FBD"/>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9DC"/>
    <w:rsid w:val="00882BB1"/>
    <w:rsid w:val="00883004"/>
    <w:rsid w:val="00883685"/>
    <w:rsid w:val="008837EC"/>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72FE"/>
    <w:rsid w:val="008876DF"/>
    <w:rsid w:val="00887771"/>
    <w:rsid w:val="00887C4D"/>
    <w:rsid w:val="00887FEF"/>
    <w:rsid w:val="0089000E"/>
    <w:rsid w:val="00890394"/>
    <w:rsid w:val="008907B2"/>
    <w:rsid w:val="00890B11"/>
    <w:rsid w:val="00890BCD"/>
    <w:rsid w:val="00890E0D"/>
    <w:rsid w:val="00890F04"/>
    <w:rsid w:val="00890FBE"/>
    <w:rsid w:val="00891548"/>
    <w:rsid w:val="00891F63"/>
    <w:rsid w:val="00892253"/>
    <w:rsid w:val="008922DF"/>
    <w:rsid w:val="0089270E"/>
    <w:rsid w:val="00892959"/>
    <w:rsid w:val="00893024"/>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9C0"/>
    <w:rsid w:val="00896D10"/>
    <w:rsid w:val="00896DF5"/>
    <w:rsid w:val="00896E6B"/>
    <w:rsid w:val="00896FD8"/>
    <w:rsid w:val="0089704F"/>
    <w:rsid w:val="00897082"/>
    <w:rsid w:val="008970F6"/>
    <w:rsid w:val="00897197"/>
    <w:rsid w:val="008972CB"/>
    <w:rsid w:val="008975C4"/>
    <w:rsid w:val="0089770A"/>
    <w:rsid w:val="0089792B"/>
    <w:rsid w:val="00897FA7"/>
    <w:rsid w:val="008A0159"/>
    <w:rsid w:val="008A0173"/>
    <w:rsid w:val="008A0339"/>
    <w:rsid w:val="008A03A0"/>
    <w:rsid w:val="008A0473"/>
    <w:rsid w:val="008A04C7"/>
    <w:rsid w:val="008A0964"/>
    <w:rsid w:val="008A1121"/>
    <w:rsid w:val="008A1C65"/>
    <w:rsid w:val="008A1EA1"/>
    <w:rsid w:val="008A1FBC"/>
    <w:rsid w:val="008A24BD"/>
    <w:rsid w:val="008A294D"/>
    <w:rsid w:val="008A2AAE"/>
    <w:rsid w:val="008A2BC0"/>
    <w:rsid w:val="008A2F26"/>
    <w:rsid w:val="008A2F49"/>
    <w:rsid w:val="008A2FCE"/>
    <w:rsid w:val="008A36ED"/>
    <w:rsid w:val="008A3898"/>
    <w:rsid w:val="008A42D8"/>
    <w:rsid w:val="008A457F"/>
    <w:rsid w:val="008A4DAC"/>
    <w:rsid w:val="008A4E04"/>
    <w:rsid w:val="008A4F06"/>
    <w:rsid w:val="008A5224"/>
    <w:rsid w:val="008A53C3"/>
    <w:rsid w:val="008A57B5"/>
    <w:rsid w:val="008A59E9"/>
    <w:rsid w:val="008A5A3A"/>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B58"/>
    <w:rsid w:val="008B5DF8"/>
    <w:rsid w:val="008B60ED"/>
    <w:rsid w:val="008B6116"/>
    <w:rsid w:val="008B66CB"/>
    <w:rsid w:val="008B6E5C"/>
    <w:rsid w:val="008B6EEA"/>
    <w:rsid w:val="008B73A1"/>
    <w:rsid w:val="008B766F"/>
    <w:rsid w:val="008C0A24"/>
    <w:rsid w:val="008C1161"/>
    <w:rsid w:val="008C1A66"/>
    <w:rsid w:val="008C1C6C"/>
    <w:rsid w:val="008C1C72"/>
    <w:rsid w:val="008C1E7F"/>
    <w:rsid w:val="008C2135"/>
    <w:rsid w:val="008C2236"/>
    <w:rsid w:val="008C2426"/>
    <w:rsid w:val="008C2453"/>
    <w:rsid w:val="008C2649"/>
    <w:rsid w:val="008C2670"/>
    <w:rsid w:val="008C26B4"/>
    <w:rsid w:val="008C2767"/>
    <w:rsid w:val="008C2BC8"/>
    <w:rsid w:val="008C2DB9"/>
    <w:rsid w:val="008C35FC"/>
    <w:rsid w:val="008C3B35"/>
    <w:rsid w:val="008C431A"/>
    <w:rsid w:val="008C47C4"/>
    <w:rsid w:val="008C4B47"/>
    <w:rsid w:val="008C570A"/>
    <w:rsid w:val="008C575E"/>
    <w:rsid w:val="008C59D5"/>
    <w:rsid w:val="008C5B10"/>
    <w:rsid w:val="008C5CF2"/>
    <w:rsid w:val="008C6970"/>
    <w:rsid w:val="008C69DC"/>
    <w:rsid w:val="008C6C7A"/>
    <w:rsid w:val="008C6D71"/>
    <w:rsid w:val="008C6F4F"/>
    <w:rsid w:val="008C6F9B"/>
    <w:rsid w:val="008C6FA2"/>
    <w:rsid w:val="008C7245"/>
    <w:rsid w:val="008C74CC"/>
    <w:rsid w:val="008C76D5"/>
    <w:rsid w:val="008C7CC2"/>
    <w:rsid w:val="008C7F77"/>
    <w:rsid w:val="008D003E"/>
    <w:rsid w:val="008D01FD"/>
    <w:rsid w:val="008D0459"/>
    <w:rsid w:val="008D05D2"/>
    <w:rsid w:val="008D069D"/>
    <w:rsid w:val="008D06A0"/>
    <w:rsid w:val="008D06CF"/>
    <w:rsid w:val="008D0A7A"/>
    <w:rsid w:val="008D0B27"/>
    <w:rsid w:val="008D0B53"/>
    <w:rsid w:val="008D0C4D"/>
    <w:rsid w:val="008D0C63"/>
    <w:rsid w:val="008D1023"/>
    <w:rsid w:val="008D13DC"/>
    <w:rsid w:val="008D149D"/>
    <w:rsid w:val="008D1CDD"/>
    <w:rsid w:val="008D1E23"/>
    <w:rsid w:val="008D2209"/>
    <w:rsid w:val="008D22AD"/>
    <w:rsid w:val="008D2461"/>
    <w:rsid w:val="008D2482"/>
    <w:rsid w:val="008D2781"/>
    <w:rsid w:val="008D2DD8"/>
    <w:rsid w:val="008D2E67"/>
    <w:rsid w:val="008D3208"/>
    <w:rsid w:val="008D399A"/>
    <w:rsid w:val="008D4259"/>
    <w:rsid w:val="008D4318"/>
    <w:rsid w:val="008D453F"/>
    <w:rsid w:val="008D4EC2"/>
    <w:rsid w:val="008D508F"/>
    <w:rsid w:val="008D538D"/>
    <w:rsid w:val="008D5879"/>
    <w:rsid w:val="008D592F"/>
    <w:rsid w:val="008D5FCD"/>
    <w:rsid w:val="008D6033"/>
    <w:rsid w:val="008D6255"/>
    <w:rsid w:val="008D62A2"/>
    <w:rsid w:val="008D6397"/>
    <w:rsid w:val="008D65B3"/>
    <w:rsid w:val="008D6733"/>
    <w:rsid w:val="008D6BDB"/>
    <w:rsid w:val="008D6E70"/>
    <w:rsid w:val="008D6F90"/>
    <w:rsid w:val="008D73FE"/>
    <w:rsid w:val="008D7554"/>
    <w:rsid w:val="008D7615"/>
    <w:rsid w:val="008D76A0"/>
    <w:rsid w:val="008D7787"/>
    <w:rsid w:val="008D7DEB"/>
    <w:rsid w:val="008D7E1F"/>
    <w:rsid w:val="008D7E95"/>
    <w:rsid w:val="008E0029"/>
    <w:rsid w:val="008E00FB"/>
    <w:rsid w:val="008E04B5"/>
    <w:rsid w:val="008E074C"/>
    <w:rsid w:val="008E0886"/>
    <w:rsid w:val="008E0CDD"/>
    <w:rsid w:val="008E0E89"/>
    <w:rsid w:val="008E0E8C"/>
    <w:rsid w:val="008E1217"/>
    <w:rsid w:val="008E15AC"/>
    <w:rsid w:val="008E1785"/>
    <w:rsid w:val="008E1797"/>
    <w:rsid w:val="008E1B6C"/>
    <w:rsid w:val="008E1FDF"/>
    <w:rsid w:val="008E2051"/>
    <w:rsid w:val="008E20D6"/>
    <w:rsid w:val="008E20EC"/>
    <w:rsid w:val="008E225F"/>
    <w:rsid w:val="008E22BB"/>
    <w:rsid w:val="008E2562"/>
    <w:rsid w:val="008E2B47"/>
    <w:rsid w:val="008E2E8C"/>
    <w:rsid w:val="008E3278"/>
    <w:rsid w:val="008E36E0"/>
    <w:rsid w:val="008E378A"/>
    <w:rsid w:val="008E37C3"/>
    <w:rsid w:val="008E391A"/>
    <w:rsid w:val="008E3B66"/>
    <w:rsid w:val="008E3F52"/>
    <w:rsid w:val="008E412D"/>
    <w:rsid w:val="008E451A"/>
    <w:rsid w:val="008E4738"/>
    <w:rsid w:val="008E48FD"/>
    <w:rsid w:val="008E4B8C"/>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9A6"/>
    <w:rsid w:val="008F1CF8"/>
    <w:rsid w:val="008F1FD7"/>
    <w:rsid w:val="008F20EE"/>
    <w:rsid w:val="008F2201"/>
    <w:rsid w:val="008F225C"/>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06E"/>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55D"/>
    <w:rsid w:val="00901837"/>
    <w:rsid w:val="00901845"/>
    <w:rsid w:val="00901F19"/>
    <w:rsid w:val="009022BC"/>
    <w:rsid w:val="0090255A"/>
    <w:rsid w:val="00902686"/>
    <w:rsid w:val="00902734"/>
    <w:rsid w:val="0090304C"/>
    <w:rsid w:val="00903281"/>
    <w:rsid w:val="00903F0F"/>
    <w:rsid w:val="00903F59"/>
    <w:rsid w:val="00904206"/>
    <w:rsid w:val="009045C7"/>
    <w:rsid w:val="0090480E"/>
    <w:rsid w:val="0090490C"/>
    <w:rsid w:val="00904A62"/>
    <w:rsid w:val="00904B0F"/>
    <w:rsid w:val="00904B6D"/>
    <w:rsid w:val="00904D35"/>
    <w:rsid w:val="00904E71"/>
    <w:rsid w:val="00905380"/>
    <w:rsid w:val="00905560"/>
    <w:rsid w:val="0090575A"/>
    <w:rsid w:val="00905A06"/>
    <w:rsid w:val="00905F49"/>
    <w:rsid w:val="00905F52"/>
    <w:rsid w:val="00906100"/>
    <w:rsid w:val="0090671B"/>
    <w:rsid w:val="009067B8"/>
    <w:rsid w:val="00906A1C"/>
    <w:rsid w:val="00906BF6"/>
    <w:rsid w:val="00906C1D"/>
    <w:rsid w:val="00906EED"/>
    <w:rsid w:val="00907071"/>
    <w:rsid w:val="0090715C"/>
    <w:rsid w:val="009076AC"/>
    <w:rsid w:val="00907BEE"/>
    <w:rsid w:val="00907F13"/>
    <w:rsid w:val="00910874"/>
    <w:rsid w:val="009108A7"/>
    <w:rsid w:val="00910F1F"/>
    <w:rsid w:val="0091120D"/>
    <w:rsid w:val="009119E6"/>
    <w:rsid w:val="00911A5A"/>
    <w:rsid w:val="00911CBA"/>
    <w:rsid w:val="00911E1A"/>
    <w:rsid w:val="0091225D"/>
    <w:rsid w:val="009123B9"/>
    <w:rsid w:val="00912A63"/>
    <w:rsid w:val="00912A96"/>
    <w:rsid w:val="00912AD2"/>
    <w:rsid w:val="00912F6D"/>
    <w:rsid w:val="00913AF7"/>
    <w:rsid w:val="00913B67"/>
    <w:rsid w:val="00913F4C"/>
    <w:rsid w:val="00913F8E"/>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5807"/>
    <w:rsid w:val="0091610F"/>
    <w:rsid w:val="009161BA"/>
    <w:rsid w:val="00917BB3"/>
    <w:rsid w:val="00917E26"/>
    <w:rsid w:val="00920536"/>
    <w:rsid w:val="0092078E"/>
    <w:rsid w:val="00920848"/>
    <w:rsid w:val="00920B36"/>
    <w:rsid w:val="0092102B"/>
    <w:rsid w:val="00921452"/>
    <w:rsid w:val="009216BF"/>
    <w:rsid w:val="009217B3"/>
    <w:rsid w:val="009218D2"/>
    <w:rsid w:val="00921A44"/>
    <w:rsid w:val="00921A74"/>
    <w:rsid w:val="00921C9F"/>
    <w:rsid w:val="00921ED5"/>
    <w:rsid w:val="00921FA1"/>
    <w:rsid w:val="009225B6"/>
    <w:rsid w:val="009226E3"/>
    <w:rsid w:val="00923151"/>
    <w:rsid w:val="009235CF"/>
    <w:rsid w:val="00923821"/>
    <w:rsid w:val="00923AFA"/>
    <w:rsid w:val="00924108"/>
    <w:rsid w:val="009243B3"/>
    <w:rsid w:val="00924882"/>
    <w:rsid w:val="0092507E"/>
    <w:rsid w:val="009250C2"/>
    <w:rsid w:val="00925267"/>
    <w:rsid w:val="00925395"/>
    <w:rsid w:val="009256F1"/>
    <w:rsid w:val="00925836"/>
    <w:rsid w:val="00925B66"/>
    <w:rsid w:val="00925DD1"/>
    <w:rsid w:val="0092603C"/>
    <w:rsid w:val="009260EC"/>
    <w:rsid w:val="00926264"/>
    <w:rsid w:val="00926595"/>
    <w:rsid w:val="00926856"/>
    <w:rsid w:val="0092698B"/>
    <w:rsid w:val="009269EB"/>
    <w:rsid w:val="009270A2"/>
    <w:rsid w:val="00927522"/>
    <w:rsid w:val="00927648"/>
    <w:rsid w:val="0092784B"/>
    <w:rsid w:val="009279AF"/>
    <w:rsid w:val="00927A45"/>
    <w:rsid w:val="00927C6D"/>
    <w:rsid w:val="00927F1D"/>
    <w:rsid w:val="0093011E"/>
    <w:rsid w:val="009301E4"/>
    <w:rsid w:val="00930305"/>
    <w:rsid w:val="0093063D"/>
    <w:rsid w:val="00930A2E"/>
    <w:rsid w:val="0093135E"/>
    <w:rsid w:val="00931607"/>
    <w:rsid w:val="00931D54"/>
    <w:rsid w:val="00931D5C"/>
    <w:rsid w:val="00931DF8"/>
    <w:rsid w:val="00931F51"/>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6FB"/>
    <w:rsid w:val="009348E1"/>
    <w:rsid w:val="00934B3F"/>
    <w:rsid w:val="00934EDF"/>
    <w:rsid w:val="00934FFD"/>
    <w:rsid w:val="009359C0"/>
    <w:rsid w:val="00935B52"/>
    <w:rsid w:val="009360F7"/>
    <w:rsid w:val="0093634D"/>
    <w:rsid w:val="0093677E"/>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5E49"/>
    <w:rsid w:val="009462D8"/>
    <w:rsid w:val="00946388"/>
    <w:rsid w:val="0094663A"/>
    <w:rsid w:val="00946681"/>
    <w:rsid w:val="00946795"/>
    <w:rsid w:val="00946AA5"/>
    <w:rsid w:val="00946C4B"/>
    <w:rsid w:val="00946D23"/>
    <w:rsid w:val="00947380"/>
    <w:rsid w:val="009478ED"/>
    <w:rsid w:val="009479E5"/>
    <w:rsid w:val="00947E3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C21"/>
    <w:rsid w:val="0095448D"/>
    <w:rsid w:val="009545ED"/>
    <w:rsid w:val="009548C3"/>
    <w:rsid w:val="00954E67"/>
    <w:rsid w:val="0095506D"/>
    <w:rsid w:val="009551B9"/>
    <w:rsid w:val="009555E2"/>
    <w:rsid w:val="009557DF"/>
    <w:rsid w:val="00955A2E"/>
    <w:rsid w:val="00955B09"/>
    <w:rsid w:val="00955B1F"/>
    <w:rsid w:val="00955CDB"/>
    <w:rsid w:val="00955D2B"/>
    <w:rsid w:val="00955D6A"/>
    <w:rsid w:val="00955E8D"/>
    <w:rsid w:val="00955FBA"/>
    <w:rsid w:val="00956101"/>
    <w:rsid w:val="0095622E"/>
    <w:rsid w:val="00956770"/>
    <w:rsid w:val="00956957"/>
    <w:rsid w:val="00956DE0"/>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7F6"/>
    <w:rsid w:val="009659EA"/>
    <w:rsid w:val="00965F0B"/>
    <w:rsid w:val="00966312"/>
    <w:rsid w:val="0096691D"/>
    <w:rsid w:val="00966EC4"/>
    <w:rsid w:val="0096766C"/>
    <w:rsid w:val="00967842"/>
    <w:rsid w:val="00967851"/>
    <w:rsid w:val="00967B96"/>
    <w:rsid w:val="00967C61"/>
    <w:rsid w:val="00967D2D"/>
    <w:rsid w:val="0097047D"/>
    <w:rsid w:val="0097077A"/>
    <w:rsid w:val="00970DB3"/>
    <w:rsid w:val="00970EF9"/>
    <w:rsid w:val="00970F7A"/>
    <w:rsid w:val="00970FE3"/>
    <w:rsid w:val="009712D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0CE"/>
    <w:rsid w:val="009751BA"/>
    <w:rsid w:val="0097536C"/>
    <w:rsid w:val="0097539E"/>
    <w:rsid w:val="0097577E"/>
    <w:rsid w:val="009758FD"/>
    <w:rsid w:val="00975910"/>
    <w:rsid w:val="00975BFC"/>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EEC"/>
    <w:rsid w:val="00980F14"/>
    <w:rsid w:val="00980FF2"/>
    <w:rsid w:val="00981078"/>
    <w:rsid w:val="00981281"/>
    <w:rsid w:val="009816DB"/>
    <w:rsid w:val="00981A77"/>
    <w:rsid w:val="00981BAF"/>
    <w:rsid w:val="00982038"/>
    <w:rsid w:val="00982314"/>
    <w:rsid w:val="009826A6"/>
    <w:rsid w:val="00982768"/>
    <w:rsid w:val="00982773"/>
    <w:rsid w:val="00982AB4"/>
    <w:rsid w:val="00982B36"/>
    <w:rsid w:val="00982E67"/>
    <w:rsid w:val="00983007"/>
    <w:rsid w:val="00983061"/>
    <w:rsid w:val="00983223"/>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01F"/>
    <w:rsid w:val="00986956"/>
    <w:rsid w:val="00986B31"/>
    <w:rsid w:val="009873AF"/>
    <w:rsid w:val="009875A6"/>
    <w:rsid w:val="009876A0"/>
    <w:rsid w:val="009879B5"/>
    <w:rsid w:val="009879F4"/>
    <w:rsid w:val="00987A56"/>
    <w:rsid w:val="00987DBC"/>
    <w:rsid w:val="00987E33"/>
    <w:rsid w:val="00987ED5"/>
    <w:rsid w:val="00987FB9"/>
    <w:rsid w:val="0099005F"/>
    <w:rsid w:val="0099022B"/>
    <w:rsid w:val="00990D80"/>
    <w:rsid w:val="00990E93"/>
    <w:rsid w:val="009917F3"/>
    <w:rsid w:val="009919FA"/>
    <w:rsid w:val="00991E06"/>
    <w:rsid w:val="00991F39"/>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30"/>
    <w:rsid w:val="009A12A5"/>
    <w:rsid w:val="009A1DFF"/>
    <w:rsid w:val="009A2144"/>
    <w:rsid w:val="009A23A2"/>
    <w:rsid w:val="009A246A"/>
    <w:rsid w:val="009A2942"/>
    <w:rsid w:val="009A2B51"/>
    <w:rsid w:val="009A3183"/>
    <w:rsid w:val="009A32D7"/>
    <w:rsid w:val="009A3576"/>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956"/>
    <w:rsid w:val="009A6C74"/>
    <w:rsid w:val="009A6EE7"/>
    <w:rsid w:val="009A7154"/>
    <w:rsid w:val="009A78D1"/>
    <w:rsid w:val="009A78F2"/>
    <w:rsid w:val="009A7D50"/>
    <w:rsid w:val="009A7DFB"/>
    <w:rsid w:val="009A7E08"/>
    <w:rsid w:val="009A7E11"/>
    <w:rsid w:val="009B003C"/>
    <w:rsid w:val="009B0B36"/>
    <w:rsid w:val="009B16E6"/>
    <w:rsid w:val="009B1823"/>
    <w:rsid w:val="009B187F"/>
    <w:rsid w:val="009B1F2A"/>
    <w:rsid w:val="009B2360"/>
    <w:rsid w:val="009B27E6"/>
    <w:rsid w:val="009B2C18"/>
    <w:rsid w:val="009B2C69"/>
    <w:rsid w:val="009B2E47"/>
    <w:rsid w:val="009B2F6A"/>
    <w:rsid w:val="009B3128"/>
    <w:rsid w:val="009B3685"/>
    <w:rsid w:val="009B3745"/>
    <w:rsid w:val="009B37C6"/>
    <w:rsid w:val="009B3C79"/>
    <w:rsid w:val="009B3D47"/>
    <w:rsid w:val="009B4016"/>
    <w:rsid w:val="009B4250"/>
    <w:rsid w:val="009B45AF"/>
    <w:rsid w:val="009B4821"/>
    <w:rsid w:val="009B4C1C"/>
    <w:rsid w:val="009B4C24"/>
    <w:rsid w:val="009B4E9E"/>
    <w:rsid w:val="009B52A1"/>
    <w:rsid w:val="009B53A0"/>
    <w:rsid w:val="009B5821"/>
    <w:rsid w:val="009B6AF1"/>
    <w:rsid w:val="009B70E9"/>
    <w:rsid w:val="009B72A8"/>
    <w:rsid w:val="009B7564"/>
    <w:rsid w:val="009B7BB7"/>
    <w:rsid w:val="009B7BC4"/>
    <w:rsid w:val="009B7FFA"/>
    <w:rsid w:val="009C00EF"/>
    <w:rsid w:val="009C0BC1"/>
    <w:rsid w:val="009C0DBE"/>
    <w:rsid w:val="009C1614"/>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E57"/>
    <w:rsid w:val="009C7F47"/>
    <w:rsid w:val="009C7F55"/>
    <w:rsid w:val="009D0361"/>
    <w:rsid w:val="009D045C"/>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CDE"/>
    <w:rsid w:val="009D3120"/>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D91"/>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86F"/>
    <w:rsid w:val="009E59AC"/>
    <w:rsid w:val="009E5AB4"/>
    <w:rsid w:val="009E5C6C"/>
    <w:rsid w:val="009E641D"/>
    <w:rsid w:val="009E6910"/>
    <w:rsid w:val="009E6A64"/>
    <w:rsid w:val="009E6FBA"/>
    <w:rsid w:val="009E6FC8"/>
    <w:rsid w:val="009E704E"/>
    <w:rsid w:val="009E73BD"/>
    <w:rsid w:val="009E7789"/>
    <w:rsid w:val="009E7E9B"/>
    <w:rsid w:val="009F0258"/>
    <w:rsid w:val="009F02E1"/>
    <w:rsid w:val="009F0361"/>
    <w:rsid w:val="009F0366"/>
    <w:rsid w:val="009F0446"/>
    <w:rsid w:val="009F056D"/>
    <w:rsid w:val="009F07FC"/>
    <w:rsid w:val="009F0992"/>
    <w:rsid w:val="009F0CD1"/>
    <w:rsid w:val="009F1792"/>
    <w:rsid w:val="009F187B"/>
    <w:rsid w:val="009F1933"/>
    <w:rsid w:val="009F1B9C"/>
    <w:rsid w:val="009F1CB4"/>
    <w:rsid w:val="009F1E33"/>
    <w:rsid w:val="009F24B3"/>
    <w:rsid w:val="009F2928"/>
    <w:rsid w:val="009F2A94"/>
    <w:rsid w:val="009F2AAF"/>
    <w:rsid w:val="009F2D7D"/>
    <w:rsid w:val="009F2E7E"/>
    <w:rsid w:val="009F34B4"/>
    <w:rsid w:val="009F36F5"/>
    <w:rsid w:val="009F385B"/>
    <w:rsid w:val="009F3A4B"/>
    <w:rsid w:val="009F4196"/>
    <w:rsid w:val="009F41E1"/>
    <w:rsid w:val="009F4375"/>
    <w:rsid w:val="009F4405"/>
    <w:rsid w:val="009F483A"/>
    <w:rsid w:val="009F4F05"/>
    <w:rsid w:val="009F53D2"/>
    <w:rsid w:val="009F5606"/>
    <w:rsid w:val="009F5807"/>
    <w:rsid w:val="009F5CA4"/>
    <w:rsid w:val="009F5EBD"/>
    <w:rsid w:val="009F6410"/>
    <w:rsid w:val="009F6457"/>
    <w:rsid w:val="009F7169"/>
    <w:rsid w:val="009F72DF"/>
    <w:rsid w:val="009F74AE"/>
    <w:rsid w:val="009F7883"/>
    <w:rsid w:val="009F79BE"/>
    <w:rsid w:val="009F7E5C"/>
    <w:rsid w:val="00A0018E"/>
    <w:rsid w:val="00A002C2"/>
    <w:rsid w:val="00A00926"/>
    <w:rsid w:val="00A00A76"/>
    <w:rsid w:val="00A00B60"/>
    <w:rsid w:val="00A00C01"/>
    <w:rsid w:val="00A00F48"/>
    <w:rsid w:val="00A01006"/>
    <w:rsid w:val="00A01DAC"/>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784"/>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19"/>
    <w:rsid w:val="00A17F6D"/>
    <w:rsid w:val="00A17FA0"/>
    <w:rsid w:val="00A20232"/>
    <w:rsid w:val="00A205BF"/>
    <w:rsid w:val="00A205D4"/>
    <w:rsid w:val="00A20961"/>
    <w:rsid w:val="00A2104B"/>
    <w:rsid w:val="00A210E9"/>
    <w:rsid w:val="00A21340"/>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919"/>
    <w:rsid w:val="00A23921"/>
    <w:rsid w:val="00A23CFF"/>
    <w:rsid w:val="00A23E0D"/>
    <w:rsid w:val="00A24002"/>
    <w:rsid w:val="00A24171"/>
    <w:rsid w:val="00A245E1"/>
    <w:rsid w:val="00A24665"/>
    <w:rsid w:val="00A2470A"/>
    <w:rsid w:val="00A2481C"/>
    <w:rsid w:val="00A24AE7"/>
    <w:rsid w:val="00A24CCF"/>
    <w:rsid w:val="00A24F1F"/>
    <w:rsid w:val="00A250B1"/>
    <w:rsid w:val="00A25296"/>
    <w:rsid w:val="00A253A6"/>
    <w:rsid w:val="00A253C6"/>
    <w:rsid w:val="00A2585A"/>
    <w:rsid w:val="00A25957"/>
    <w:rsid w:val="00A25B29"/>
    <w:rsid w:val="00A25C9D"/>
    <w:rsid w:val="00A25E31"/>
    <w:rsid w:val="00A261E4"/>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3A"/>
    <w:rsid w:val="00A33D5C"/>
    <w:rsid w:val="00A344E7"/>
    <w:rsid w:val="00A34685"/>
    <w:rsid w:val="00A347FF"/>
    <w:rsid w:val="00A34DA0"/>
    <w:rsid w:val="00A3585A"/>
    <w:rsid w:val="00A359A5"/>
    <w:rsid w:val="00A35A0B"/>
    <w:rsid w:val="00A35BD0"/>
    <w:rsid w:val="00A35FC8"/>
    <w:rsid w:val="00A36011"/>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7DD"/>
    <w:rsid w:val="00A46FAD"/>
    <w:rsid w:val="00A47B4B"/>
    <w:rsid w:val="00A500A9"/>
    <w:rsid w:val="00A500D8"/>
    <w:rsid w:val="00A5044D"/>
    <w:rsid w:val="00A50B00"/>
    <w:rsid w:val="00A50D49"/>
    <w:rsid w:val="00A511FB"/>
    <w:rsid w:val="00A514EB"/>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7F0"/>
    <w:rsid w:val="00A56C2C"/>
    <w:rsid w:val="00A57311"/>
    <w:rsid w:val="00A57ABF"/>
    <w:rsid w:val="00A57BD6"/>
    <w:rsid w:val="00A57EC0"/>
    <w:rsid w:val="00A57F96"/>
    <w:rsid w:val="00A60145"/>
    <w:rsid w:val="00A604A2"/>
    <w:rsid w:val="00A6065A"/>
    <w:rsid w:val="00A606AC"/>
    <w:rsid w:val="00A60807"/>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C62"/>
    <w:rsid w:val="00A62E41"/>
    <w:rsid w:val="00A630D3"/>
    <w:rsid w:val="00A63244"/>
    <w:rsid w:val="00A6367F"/>
    <w:rsid w:val="00A63872"/>
    <w:rsid w:val="00A63A37"/>
    <w:rsid w:val="00A64196"/>
    <w:rsid w:val="00A6446D"/>
    <w:rsid w:val="00A647A9"/>
    <w:rsid w:val="00A648F0"/>
    <w:rsid w:val="00A649B4"/>
    <w:rsid w:val="00A649B6"/>
    <w:rsid w:val="00A64BC7"/>
    <w:rsid w:val="00A64EB1"/>
    <w:rsid w:val="00A65417"/>
    <w:rsid w:val="00A655C8"/>
    <w:rsid w:val="00A6563A"/>
    <w:rsid w:val="00A657CF"/>
    <w:rsid w:val="00A65C72"/>
    <w:rsid w:val="00A65F12"/>
    <w:rsid w:val="00A65FBF"/>
    <w:rsid w:val="00A6629F"/>
    <w:rsid w:val="00A6636E"/>
    <w:rsid w:val="00A66851"/>
    <w:rsid w:val="00A669D6"/>
    <w:rsid w:val="00A6743F"/>
    <w:rsid w:val="00A677C1"/>
    <w:rsid w:val="00A67884"/>
    <w:rsid w:val="00A67A8E"/>
    <w:rsid w:val="00A67AC6"/>
    <w:rsid w:val="00A67E3E"/>
    <w:rsid w:val="00A67EE4"/>
    <w:rsid w:val="00A7014A"/>
    <w:rsid w:val="00A706ED"/>
    <w:rsid w:val="00A70A35"/>
    <w:rsid w:val="00A70C9C"/>
    <w:rsid w:val="00A71209"/>
    <w:rsid w:val="00A7141F"/>
    <w:rsid w:val="00A71D6B"/>
    <w:rsid w:val="00A71F00"/>
    <w:rsid w:val="00A71F75"/>
    <w:rsid w:val="00A72318"/>
    <w:rsid w:val="00A72376"/>
    <w:rsid w:val="00A72674"/>
    <w:rsid w:val="00A726A3"/>
    <w:rsid w:val="00A726DE"/>
    <w:rsid w:val="00A72D12"/>
    <w:rsid w:val="00A72E49"/>
    <w:rsid w:val="00A73242"/>
    <w:rsid w:val="00A732A0"/>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6EA2"/>
    <w:rsid w:val="00A7707F"/>
    <w:rsid w:val="00A770A5"/>
    <w:rsid w:val="00A77325"/>
    <w:rsid w:val="00A7735F"/>
    <w:rsid w:val="00A77542"/>
    <w:rsid w:val="00A806D6"/>
    <w:rsid w:val="00A80A1A"/>
    <w:rsid w:val="00A80CC4"/>
    <w:rsid w:val="00A80EE3"/>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24A"/>
    <w:rsid w:val="00A873EA"/>
    <w:rsid w:val="00A87482"/>
    <w:rsid w:val="00A87AA7"/>
    <w:rsid w:val="00A87E73"/>
    <w:rsid w:val="00A87EC7"/>
    <w:rsid w:val="00A87F4E"/>
    <w:rsid w:val="00A90134"/>
    <w:rsid w:val="00A901CB"/>
    <w:rsid w:val="00A905F1"/>
    <w:rsid w:val="00A9062F"/>
    <w:rsid w:val="00A90E27"/>
    <w:rsid w:val="00A90F11"/>
    <w:rsid w:val="00A91218"/>
    <w:rsid w:val="00A91469"/>
    <w:rsid w:val="00A9164F"/>
    <w:rsid w:val="00A91822"/>
    <w:rsid w:val="00A918B0"/>
    <w:rsid w:val="00A91DE0"/>
    <w:rsid w:val="00A91F3E"/>
    <w:rsid w:val="00A921D7"/>
    <w:rsid w:val="00A92457"/>
    <w:rsid w:val="00A9270F"/>
    <w:rsid w:val="00A927EE"/>
    <w:rsid w:val="00A92B81"/>
    <w:rsid w:val="00A934FE"/>
    <w:rsid w:val="00A93800"/>
    <w:rsid w:val="00A938E5"/>
    <w:rsid w:val="00A938FB"/>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7DC"/>
    <w:rsid w:val="00AA29F2"/>
    <w:rsid w:val="00AA2BD9"/>
    <w:rsid w:val="00AA2CD8"/>
    <w:rsid w:val="00AA30A2"/>
    <w:rsid w:val="00AA3745"/>
    <w:rsid w:val="00AA4282"/>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3FB"/>
    <w:rsid w:val="00AB1705"/>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43A"/>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CC3"/>
    <w:rsid w:val="00AC0EDC"/>
    <w:rsid w:val="00AC0EE7"/>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903"/>
    <w:rsid w:val="00AC4D1B"/>
    <w:rsid w:val="00AC4D53"/>
    <w:rsid w:val="00AC4D9E"/>
    <w:rsid w:val="00AC4E06"/>
    <w:rsid w:val="00AC4E2E"/>
    <w:rsid w:val="00AC5677"/>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EB4"/>
    <w:rsid w:val="00AD1F06"/>
    <w:rsid w:val="00AD220D"/>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603"/>
    <w:rsid w:val="00AD379F"/>
    <w:rsid w:val="00AD3935"/>
    <w:rsid w:val="00AD3BEC"/>
    <w:rsid w:val="00AD3DEF"/>
    <w:rsid w:val="00AD4597"/>
    <w:rsid w:val="00AD480A"/>
    <w:rsid w:val="00AD48F9"/>
    <w:rsid w:val="00AD4C34"/>
    <w:rsid w:val="00AD57E1"/>
    <w:rsid w:val="00AD5949"/>
    <w:rsid w:val="00AD63CA"/>
    <w:rsid w:val="00AD6980"/>
    <w:rsid w:val="00AD6C09"/>
    <w:rsid w:val="00AD6C7F"/>
    <w:rsid w:val="00AD6F42"/>
    <w:rsid w:val="00AD70C9"/>
    <w:rsid w:val="00AD732B"/>
    <w:rsid w:val="00AD75A6"/>
    <w:rsid w:val="00AD7927"/>
    <w:rsid w:val="00AD7E17"/>
    <w:rsid w:val="00AE0160"/>
    <w:rsid w:val="00AE0379"/>
    <w:rsid w:val="00AE0683"/>
    <w:rsid w:val="00AE0D23"/>
    <w:rsid w:val="00AE0E9E"/>
    <w:rsid w:val="00AE14B7"/>
    <w:rsid w:val="00AE14FD"/>
    <w:rsid w:val="00AE15F6"/>
    <w:rsid w:val="00AE19D1"/>
    <w:rsid w:val="00AE1C9A"/>
    <w:rsid w:val="00AE2205"/>
    <w:rsid w:val="00AE232B"/>
    <w:rsid w:val="00AE26F5"/>
    <w:rsid w:val="00AE2968"/>
    <w:rsid w:val="00AE2A82"/>
    <w:rsid w:val="00AE2A93"/>
    <w:rsid w:val="00AE3004"/>
    <w:rsid w:val="00AE3453"/>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723D"/>
    <w:rsid w:val="00AE773B"/>
    <w:rsid w:val="00AE7751"/>
    <w:rsid w:val="00AE780C"/>
    <w:rsid w:val="00AE7908"/>
    <w:rsid w:val="00AE7992"/>
    <w:rsid w:val="00AE7DA5"/>
    <w:rsid w:val="00AF045F"/>
    <w:rsid w:val="00AF0C64"/>
    <w:rsid w:val="00AF0FFE"/>
    <w:rsid w:val="00AF1414"/>
    <w:rsid w:val="00AF15C3"/>
    <w:rsid w:val="00AF19CD"/>
    <w:rsid w:val="00AF1A4A"/>
    <w:rsid w:val="00AF24F9"/>
    <w:rsid w:val="00AF25F3"/>
    <w:rsid w:val="00AF2799"/>
    <w:rsid w:val="00AF28B0"/>
    <w:rsid w:val="00AF2DED"/>
    <w:rsid w:val="00AF2F1C"/>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6EE0"/>
    <w:rsid w:val="00AF723A"/>
    <w:rsid w:val="00AF730B"/>
    <w:rsid w:val="00AF7363"/>
    <w:rsid w:val="00AF738A"/>
    <w:rsid w:val="00AF7D5F"/>
    <w:rsid w:val="00AF7EF2"/>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81"/>
    <w:rsid w:val="00B03BB8"/>
    <w:rsid w:val="00B03BE0"/>
    <w:rsid w:val="00B03CA7"/>
    <w:rsid w:val="00B03D26"/>
    <w:rsid w:val="00B03EFB"/>
    <w:rsid w:val="00B0402F"/>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390"/>
    <w:rsid w:val="00B0759A"/>
    <w:rsid w:val="00B075EC"/>
    <w:rsid w:val="00B076A7"/>
    <w:rsid w:val="00B076C4"/>
    <w:rsid w:val="00B07A11"/>
    <w:rsid w:val="00B07CBE"/>
    <w:rsid w:val="00B07ECC"/>
    <w:rsid w:val="00B108ED"/>
    <w:rsid w:val="00B10931"/>
    <w:rsid w:val="00B1093D"/>
    <w:rsid w:val="00B10BE8"/>
    <w:rsid w:val="00B10DF3"/>
    <w:rsid w:val="00B10FA8"/>
    <w:rsid w:val="00B11243"/>
    <w:rsid w:val="00B1125F"/>
    <w:rsid w:val="00B1167A"/>
    <w:rsid w:val="00B11882"/>
    <w:rsid w:val="00B11E29"/>
    <w:rsid w:val="00B11E38"/>
    <w:rsid w:val="00B12603"/>
    <w:rsid w:val="00B12A8C"/>
    <w:rsid w:val="00B12F34"/>
    <w:rsid w:val="00B12FED"/>
    <w:rsid w:val="00B13003"/>
    <w:rsid w:val="00B1310F"/>
    <w:rsid w:val="00B137BE"/>
    <w:rsid w:val="00B13829"/>
    <w:rsid w:val="00B13B18"/>
    <w:rsid w:val="00B13F1F"/>
    <w:rsid w:val="00B13FE4"/>
    <w:rsid w:val="00B14251"/>
    <w:rsid w:val="00B147CC"/>
    <w:rsid w:val="00B14CF3"/>
    <w:rsid w:val="00B15141"/>
    <w:rsid w:val="00B151C6"/>
    <w:rsid w:val="00B15988"/>
    <w:rsid w:val="00B15B44"/>
    <w:rsid w:val="00B165C7"/>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1016"/>
    <w:rsid w:val="00B21423"/>
    <w:rsid w:val="00B215F9"/>
    <w:rsid w:val="00B217CD"/>
    <w:rsid w:val="00B21B67"/>
    <w:rsid w:val="00B21CA7"/>
    <w:rsid w:val="00B22472"/>
    <w:rsid w:val="00B225E0"/>
    <w:rsid w:val="00B229C3"/>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DAE"/>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852"/>
    <w:rsid w:val="00B329FD"/>
    <w:rsid w:val="00B32F7F"/>
    <w:rsid w:val="00B33126"/>
    <w:rsid w:val="00B332D6"/>
    <w:rsid w:val="00B33650"/>
    <w:rsid w:val="00B338CE"/>
    <w:rsid w:val="00B3396B"/>
    <w:rsid w:val="00B33E78"/>
    <w:rsid w:val="00B33F7C"/>
    <w:rsid w:val="00B34307"/>
    <w:rsid w:val="00B34378"/>
    <w:rsid w:val="00B34390"/>
    <w:rsid w:val="00B3442C"/>
    <w:rsid w:val="00B3539A"/>
    <w:rsid w:val="00B35CB3"/>
    <w:rsid w:val="00B35D47"/>
    <w:rsid w:val="00B35F8E"/>
    <w:rsid w:val="00B36323"/>
    <w:rsid w:val="00B37070"/>
    <w:rsid w:val="00B37188"/>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DA9"/>
    <w:rsid w:val="00B4284B"/>
    <w:rsid w:val="00B42879"/>
    <w:rsid w:val="00B42886"/>
    <w:rsid w:val="00B430D3"/>
    <w:rsid w:val="00B437BD"/>
    <w:rsid w:val="00B43985"/>
    <w:rsid w:val="00B439FA"/>
    <w:rsid w:val="00B43A72"/>
    <w:rsid w:val="00B43D4D"/>
    <w:rsid w:val="00B43FAC"/>
    <w:rsid w:val="00B440CF"/>
    <w:rsid w:val="00B4418B"/>
    <w:rsid w:val="00B443C5"/>
    <w:rsid w:val="00B445DD"/>
    <w:rsid w:val="00B44631"/>
    <w:rsid w:val="00B4485B"/>
    <w:rsid w:val="00B453AD"/>
    <w:rsid w:val="00B45578"/>
    <w:rsid w:val="00B45A61"/>
    <w:rsid w:val="00B45AC0"/>
    <w:rsid w:val="00B45C4D"/>
    <w:rsid w:val="00B45E1C"/>
    <w:rsid w:val="00B45FBB"/>
    <w:rsid w:val="00B4617B"/>
    <w:rsid w:val="00B46501"/>
    <w:rsid w:val="00B46574"/>
    <w:rsid w:val="00B473FE"/>
    <w:rsid w:val="00B47784"/>
    <w:rsid w:val="00B4783F"/>
    <w:rsid w:val="00B47858"/>
    <w:rsid w:val="00B47CEF"/>
    <w:rsid w:val="00B50261"/>
    <w:rsid w:val="00B50269"/>
    <w:rsid w:val="00B5049A"/>
    <w:rsid w:val="00B504F7"/>
    <w:rsid w:val="00B50591"/>
    <w:rsid w:val="00B5060A"/>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43"/>
    <w:rsid w:val="00B5685D"/>
    <w:rsid w:val="00B56954"/>
    <w:rsid w:val="00B56A2A"/>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872"/>
    <w:rsid w:val="00B619AF"/>
    <w:rsid w:val="00B61B5C"/>
    <w:rsid w:val="00B61B85"/>
    <w:rsid w:val="00B61CFF"/>
    <w:rsid w:val="00B61F08"/>
    <w:rsid w:val="00B61F70"/>
    <w:rsid w:val="00B620F1"/>
    <w:rsid w:val="00B62333"/>
    <w:rsid w:val="00B6237B"/>
    <w:rsid w:val="00B624EF"/>
    <w:rsid w:val="00B62894"/>
    <w:rsid w:val="00B62A18"/>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B61"/>
    <w:rsid w:val="00B65CF7"/>
    <w:rsid w:val="00B664EC"/>
    <w:rsid w:val="00B66801"/>
    <w:rsid w:val="00B668B4"/>
    <w:rsid w:val="00B6696A"/>
    <w:rsid w:val="00B66E99"/>
    <w:rsid w:val="00B66FFC"/>
    <w:rsid w:val="00B6701B"/>
    <w:rsid w:val="00B6796C"/>
    <w:rsid w:val="00B67B2B"/>
    <w:rsid w:val="00B7021B"/>
    <w:rsid w:val="00B70333"/>
    <w:rsid w:val="00B70995"/>
    <w:rsid w:val="00B709CC"/>
    <w:rsid w:val="00B70A49"/>
    <w:rsid w:val="00B70EDB"/>
    <w:rsid w:val="00B71319"/>
    <w:rsid w:val="00B71416"/>
    <w:rsid w:val="00B71A5D"/>
    <w:rsid w:val="00B71D35"/>
    <w:rsid w:val="00B71F4F"/>
    <w:rsid w:val="00B71FBB"/>
    <w:rsid w:val="00B72369"/>
    <w:rsid w:val="00B7273B"/>
    <w:rsid w:val="00B727B8"/>
    <w:rsid w:val="00B73453"/>
    <w:rsid w:val="00B7359C"/>
    <w:rsid w:val="00B737C7"/>
    <w:rsid w:val="00B73BAF"/>
    <w:rsid w:val="00B73CED"/>
    <w:rsid w:val="00B73E00"/>
    <w:rsid w:val="00B73E31"/>
    <w:rsid w:val="00B74A0D"/>
    <w:rsid w:val="00B74EC0"/>
    <w:rsid w:val="00B75074"/>
    <w:rsid w:val="00B75542"/>
    <w:rsid w:val="00B75667"/>
    <w:rsid w:val="00B75863"/>
    <w:rsid w:val="00B75A5C"/>
    <w:rsid w:val="00B75BDA"/>
    <w:rsid w:val="00B7646F"/>
    <w:rsid w:val="00B769F3"/>
    <w:rsid w:val="00B77062"/>
    <w:rsid w:val="00B7709F"/>
    <w:rsid w:val="00B770A1"/>
    <w:rsid w:val="00B77104"/>
    <w:rsid w:val="00B77228"/>
    <w:rsid w:val="00B772B6"/>
    <w:rsid w:val="00B772FB"/>
    <w:rsid w:val="00B77373"/>
    <w:rsid w:val="00B774C5"/>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2D"/>
    <w:rsid w:val="00B830F7"/>
    <w:rsid w:val="00B8321E"/>
    <w:rsid w:val="00B83407"/>
    <w:rsid w:val="00B83420"/>
    <w:rsid w:val="00B837E5"/>
    <w:rsid w:val="00B837F5"/>
    <w:rsid w:val="00B83AC3"/>
    <w:rsid w:val="00B83AEB"/>
    <w:rsid w:val="00B83DAC"/>
    <w:rsid w:val="00B83DF6"/>
    <w:rsid w:val="00B84655"/>
    <w:rsid w:val="00B84BE8"/>
    <w:rsid w:val="00B84C93"/>
    <w:rsid w:val="00B84D2B"/>
    <w:rsid w:val="00B84DC5"/>
    <w:rsid w:val="00B855A8"/>
    <w:rsid w:val="00B85837"/>
    <w:rsid w:val="00B85840"/>
    <w:rsid w:val="00B85F67"/>
    <w:rsid w:val="00B86053"/>
    <w:rsid w:val="00B86367"/>
    <w:rsid w:val="00B86505"/>
    <w:rsid w:val="00B86557"/>
    <w:rsid w:val="00B86D87"/>
    <w:rsid w:val="00B87855"/>
    <w:rsid w:val="00B87A27"/>
    <w:rsid w:val="00B87C60"/>
    <w:rsid w:val="00B87C9B"/>
    <w:rsid w:val="00B90165"/>
    <w:rsid w:val="00B907F6"/>
    <w:rsid w:val="00B90960"/>
    <w:rsid w:val="00B909D6"/>
    <w:rsid w:val="00B91240"/>
    <w:rsid w:val="00B91356"/>
    <w:rsid w:val="00B91E9D"/>
    <w:rsid w:val="00B922C4"/>
    <w:rsid w:val="00B926E0"/>
    <w:rsid w:val="00B92754"/>
    <w:rsid w:val="00B92AD4"/>
    <w:rsid w:val="00B92B99"/>
    <w:rsid w:val="00B92BF1"/>
    <w:rsid w:val="00B930AA"/>
    <w:rsid w:val="00B932E1"/>
    <w:rsid w:val="00B933CC"/>
    <w:rsid w:val="00B93C36"/>
    <w:rsid w:val="00B94054"/>
    <w:rsid w:val="00B94253"/>
    <w:rsid w:val="00B9436E"/>
    <w:rsid w:val="00B946E7"/>
    <w:rsid w:val="00B9484B"/>
    <w:rsid w:val="00B949E8"/>
    <w:rsid w:val="00B950E8"/>
    <w:rsid w:val="00B95372"/>
    <w:rsid w:val="00B954FC"/>
    <w:rsid w:val="00B956CB"/>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1ED3"/>
    <w:rsid w:val="00BA270E"/>
    <w:rsid w:val="00BA2729"/>
    <w:rsid w:val="00BA283C"/>
    <w:rsid w:val="00BA2AEB"/>
    <w:rsid w:val="00BA2B41"/>
    <w:rsid w:val="00BA2B7F"/>
    <w:rsid w:val="00BA2BAA"/>
    <w:rsid w:val="00BA33E7"/>
    <w:rsid w:val="00BA3603"/>
    <w:rsid w:val="00BA388C"/>
    <w:rsid w:val="00BA38A7"/>
    <w:rsid w:val="00BA3974"/>
    <w:rsid w:val="00BA3C13"/>
    <w:rsid w:val="00BA3CC9"/>
    <w:rsid w:val="00BA3D2F"/>
    <w:rsid w:val="00BA3F29"/>
    <w:rsid w:val="00BA40BE"/>
    <w:rsid w:val="00BA48E0"/>
    <w:rsid w:val="00BA494E"/>
    <w:rsid w:val="00BA4CF4"/>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4EA"/>
    <w:rsid w:val="00BA7688"/>
    <w:rsid w:val="00BA7A20"/>
    <w:rsid w:val="00BA7BBD"/>
    <w:rsid w:val="00BA7D3A"/>
    <w:rsid w:val="00BA7EB0"/>
    <w:rsid w:val="00BB008F"/>
    <w:rsid w:val="00BB0528"/>
    <w:rsid w:val="00BB070E"/>
    <w:rsid w:val="00BB0D75"/>
    <w:rsid w:val="00BB113D"/>
    <w:rsid w:val="00BB1286"/>
    <w:rsid w:val="00BB1598"/>
    <w:rsid w:val="00BB1C4F"/>
    <w:rsid w:val="00BB20E7"/>
    <w:rsid w:val="00BB225D"/>
    <w:rsid w:val="00BB277B"/>
    <w:rsid w:val="00BB2835"/>
    <w:rsid w:val="00BB2EE1"/>
    <w:rsid w:val="00BB3102"/>
    <w:rsid w:val="00BB3135"/>
    <w:rsid w:val="00BB330B"/>
    <w:rsid w:val="00BB365A"/>
    <w:rsid w:val="00BB37B0"/>
    <w:rsid w:val="00BB3D91"/>
    <w:rsid w:val="00BB3F4C"/>
    <w:rsid w:val="00BB4A42"/>
    <w:rsid w:val="00BB4FB3"/>
    <w:rsid w:val="00BB5075"/>
    <w:rsid w:val="00BB5321"/>
    <w:rsid w:val="00BB56F2"/>
    <w:rsid w:val="00BB57E0"/>
    <w:rsid w:val="00BB5846"/>
    <w:rsid w:val="00BB5A5F"/>
    <w:rsid w:val="00BB5D11"/>
    <w:rsid w:val="00BB61DC"/>
    <w:rsid w:val="00BB6258"/>
    <w:rsid w:val="00BB6431"/>
    <w:rsid w:val="00BB645D"/>
    <w:rsid w:val="00BB6472"/>
    <w:rsid w:val="00BB6CB6"/>
    <w:rsid w:val="00BB71EC"/>
    <w:rsid w:val="00BB724B"/>
    <w:rsid w:val="00BB740F"/>
    <w:rsid w:val="00BB7DB1"/>
    <w:rsid w:val="00BC01AA"/>
    <w:rsid w:val="00BC01B6"/>
    <w:rsid w:val="00BC02D6"/>
    <w:rsid w:val="00BC06E5"/>
    <w:rsid w:val="00BC076A"/>
    <w:rsid w:val="00BC0AE6"/>
    <w:rsid w:val="00BC0E9A"/>
    <w:rsid w:val="00BC1248"/>
    <w:rsid w:val="00BC16BF"/>
    <w:rsid w:val="00BC17A3"/>
    <w:rsid w:val="00BC1B4B"/>
    <w:rsid w:val="00BC1CDB"/>
    <w:rsid w:val="00BC1EEB"/>
    <w:rsid w:val="00BC201A"/>
    <w:rsid w:val="00BC27C3"/>
    <w:rsid w:val="00BC2BC7"/>
    <w:rsid w:val="00BC2F45"/>
    <w:rsid w:val="00BC335A"/>
    <w:rsid w:val="00BC344E"/>
    <w:rsid w:val="00BC3463"/>
    <w:rsid w:val="00BC38B8"/>
    <w:rsid w:val="00BC3CF8"/>
    <w:rsid w:val="00BC4267"/>
    <w:rsid w:val="00BC4701"/>
    <w:rsid w:val="00BC4B9C"/>
    <w:rsid w:val="00BC4E88"/>
    <w:rsid w:val="00BC5181"/>
    <w:rsid w:val="00BC56C1"/>
    <w:rsid w:val="00BC5898"/>
    <w:rsid w:val="00BC5AB3"/>
    <w:rsid w:val="00BC5BE8"/>
    <w:rsid w:val="00BC5BF2"/>
    <w:rsid w:val="00BC5CE2"/>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0A6"/>
    <w:rsid w:val="00BD7495"/>
    <w:rsid w:val="00BD76F4"/>
    <w:rsid w:val="00BD7739"/>
    <w:rsid w:val="00BD78B8"/>
    <w:rsid w:val="00BD7A82"/>
    <w:rsid w:val="00BD7F39"/>
    <w:rsid w:val="00BD7F6C"/>
    <w:rsid w:val="00BD7F9E"/>
    <w:rsid w:val="00BE001D"/>
    <w:rsid w:val="00BE072F"/>
    <w:rsid w:val="00BE08DD"/>
    <w:rsid w:val="00BE0B2B"/>
    <w:rsid w:val="00BE0C3B"/>
    <w:rsid w:val="00BE13B8"/>
    <w:rsid w:val="00BE197A"/>
    <w:rsid w:val="00BE1A06"/>
    <w:rsid w:val="00BE1E8A"/>
    <w:rsid w:val="00BE2A02"/>
    <w:rsid w:val="00BE2E99"/>
    <w:rsid w:val="00BE31B9"/>
    <w:rsid w:val="00BE3AFA"/>
    <w:rsid w:val="00BE3F52"/>
    <w:rsid w:val="00BE403F"/>
    <w:rsid w:val="00BE45C1"/>
    <w:rsid w:val="00BE51C7"/>
    <w:rsid w:val="00BE5515"/>
    <w:rsid w:val="00BE5613"/>
    <w:rsid w:val="00BE5813"/>
    <w:rsid w:val="00BE5C7E"/>
    <w:rsid w:val="00BE5E42"/>
    <w:rsid w:val="00BE65B3"/>
    <w:rsid w:val="00BE68B9"/>
    <w:rsid w:val="00BE69B6"/>
    <w:rsid w:val="00BE7265"/>
    <w:rsid w:val="00BE72F4"/>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AA5"/>
    <w:rsid w:val="00BF2C65"/>
    <w:rsid w:val="00BF2D91"/>
    <w:rsid w:val="00BF30BA"/>
    <w:rsid w:val="00BF31CB"/>
    <w:rsid w:val="00BF3315"/>
    <w:rsid w:val="00BF366D"/>
    <w:rsid w:val="00BF3AE6"/>
    <w:rsid w:val="00BF3BDC"/>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3BF"/>
    <w:rsid w:val="00BF6550"/>
    <w:rsid w:val="00BF6597"/>
    <w:rsid w:val="00BF6FBF"/>
    <w:rsid w:val="00BF7026"/>
    <w:rsid w:val="00BF70A1"/>
    <w:rsid w:val="00BF70F8"/>
    <w:rsid w:val="00BF7746"/>
    <w:rsid w:val="00BF7CDD"/>
    <w:rsid w:val="00BF7D43"/>
    <w:rsid w:val="00C007CA"/>
    <w:rsid w:val="00C00E52"/>
    <w:rsid w:val="00C00F1A"/>
    <w:rsid w:val="00C010F5"/>
    <w:rsid w:val="00C01835"/>
    <w:rsid w:val="00C01A08"/>
    <w:rsid w:val="00C01C01"/>
    <w:rsid w:val="00C01DFD"/>
    <w:rsid w:val="00C02192"/>
    <w:rsid w:val="00C02608"/>
    <w:rsid w:val="00C0279C"/>
    <w:rsid w:val="00C02BFD"/>
    <w:rsid w:val="00C02C27"/>
    <w:rsid w:val="00C02C95"/>
    <w:rsid w:val="00C02CDE"/>
    <w:rsid w:val="00C03799"/>
    <w:rsid w:val="00C03B7B"/>
    <w:rsid w:val="00C03C30"/>
    <w:rsid w:val="00C04322"/>
    <w:rsid w:val="00C04339"/>
    <w:rsid w:val="00C046E2"/>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220"/>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17D9F"/>
    <w:rsid w:val="00C202D5"/>
    <w:rsid w:val="00C20530"/>
    <w:rsid w:val="00C2068D"/>
    <w:rsid w:val="00C206C4"/>
    <w:rsid w:val="00C206EC"/>
    <w:rsid w:val="00C20DD5"/>
    <w:rsid w:val="00C20E6E"/>
    <w:rsid w:val="00C20F2A"/>
    <w:rsid w:val="00C21436"/>
    <w:rsid w:val="00C217F8"/>
    <w:rsid w:val="00C21B35"/>
    <w:rsid w:val="00C222F7"/>
    <w:rsid w:val="00C226CE"/>
    <w:rsid w:val="00C22FA0"/>
    <w:rsid w:val="00C232DD"/>
    <w:rsid w:val="00C23D8F"/>
    <w:rsid w:val="00C2423A"/>
    <w:rsid w:val="00C244D8"/>
    <w:rsid w:val="00C245D9"/>
    <w:rsid w:val="00C24789"/>
    <w:rsid w:val="00C24EE5"/>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1CF3"/>
    <w:rsid w:val="00C3208A"/>
    <w:rsid w:val="00C32282"/>
    <w:rsid w:val="00C327DA"/>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736"/>
    <w:rsid w:val="00C34B00"/>
    <w:rsid w:val="00C34BDB"/>
    <w:rsid w:val="00C34C05"/>
    <w:rsid w:val="00C34CF3"/>
    <w:rsid w:val="00C34D4B"/>
    <w:rsid w:val="00C34F16"/>
    <w:rsid w:val="00C3566B"/>
    <w:rsid w:val="00C359D9"/>
    <w:rsid w:val="00C35B23"/>
    <w:rsid w:val="00C35CAE"/>
    <w:rsid w:val="00C36050"/>
    <w:rsid w:val="00C361B0"/>
    <w:rsid w:val="00C367B9"/>
    <w:rsid w:val="00C368FF"/>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01B"/>
    <w:rsid w:val="00C45422"/>
    <w:rsid w:val="00C4587D"/>
    <w:rsid w:val="00C4591C"/>
    <w:rsid w:val="00C45AD9"/>
    <w:rsid w:val="00C45AF5"/>
    <w:rsid w:val="00C45C66"/>
    <w:rsid w:val="00C46B84"/>
    <w:rsid w:val="00C46DC8"/>
    <w:rsid w:val="00C470AA"/>
    <w:rsid w:val="00C47335"/>
    <w:rsid w:val="00C47AE8"/>
    <w:rsid w:val="00C47B93"/>
    <w:rsid w:val="00C47BDE"/>
    <w:rsid w:val="00C47EC4"/>
    <w:rsid w:val="00C508B7"/>
    <w:rsid w:val="00C5093A"/>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E22"/>
    <w:rsid w:val="00C54075"/>
    <w:rsid w:val="00C542F0"/>
    <w:rsid w:val="00C545F4"/>
    <w:rsid w:val="00C54B94"/>
    <w:rsid w:val="00C54C14"/>
    <w:rsid w:val="00C54C62"/>
    <w:rsid w:val="00C54CBD"/>
    <w:rsid w:val="00C54CDD"/>
    <w:rsid w:val="00C54EA2"/>
    <w:rsid w:val="00C55220"/>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78E"/>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1DCB"/>
    <w:rsid w:val="00C723AF"/>
    <w:rsid w:val="00C723CA"/>
    <w:rsid w:val="00C72879"/>
    <w:rsid w:val="00C72C92"/>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4E7F"/>
    <w:rsid w:val="00C75004"/>
    <w:rsid w:val="00C75073"/>
    <w:rsid w:val="00C755E8"/>
    <w:rsid w:val="00C75970"/>
    <w:rsid w:val="00C75AC4"/>
    <w:rsid w:val="00C75BAC"/>
    <w:rsid w:val="00C75C9D"/>
    <w:rsid w:val="00C75DD1"/>
    <w:rsid w:val="00C76261"/>
    <w:rsid w:val="00C76952"/>
    <w:rsid w:val="00C77188"/>
    <w:rsid w:val="00C7731D"/>
    <w:rsid w:val="00C7799E"/>
    <w:rsid w:val="00C80245"/>
    <w:rsid w:val="00C80441"/>
    <w:rsid w:val="00C80547"/>
    <w:rsid w:val="00C80816"/>
    <w:rsid w:val="00C80DB5"/>
    <w:rsid w:val="00C81220"/>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A83"/>
    <w:rsid w:val="00C84D5A"/>
    <w:rsid w:val="00C85034"/>
    <w:rsid w:val="00C8534D"/>
    <w:rsid w:val="00C853F3"/>
    <w:rsid w:val="00C8547F"/>
    <w:rsid w:val="00C8548F"/>
    <w:rsid w:val="00C8555F"/>
    <w:rsid w:val="00C85F12"/>
    <w:rsid w:val="00C86345"/>
    <w:rsid w:val="00C86379"/>
    <w:rsid w:val="00C864DB"/>
    <w:rsid w:val="00C8669B"/>
    <w:rsid w:val="00C86A6A"/>
    <w:rsid w:val="00C870BA"/>
    <w:rsid w:val="00C872A0"/>
    <w:rsid w:val="00C8781D"/>
    <w:rsid w:val="00C8787B"/>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3B4"/>
    <w:rsid w:val="00C945EC"/>
    <w:rsid w:val="00C946D8"/>
    <w:rsid w:val="00C947E8"/>
    <w:rsid w:val="00C94A5E"/>
    <w:rsid w:val="00C94B58"/>
    <w:rsid w:val="00C94BBA"/>
    <w:rsid w:val="00C94E45"/>
    <w:rsid w:val="00C95300"/>
    <w:rsid w:val="00C95548"/>
    <w:rsid w:val="00C955F6"/>
    <w:rsid w:val="00C95656"/>
    <w:rsid w:val="00C95668"/>
    <w:rsid w:val="00C95730"/>
    <w:rsid w:val="00C95962"/>
    <w:rsid w:val="00C959AA"/>
    <w:rsid w:val="00C95EC0"/>
    <w:rsid w:val="00C95F63"/>
    <w:rsid w:val="00C963E1"/>
    <w:rsid w:val="00C965AD"/>
    <w:rsid w:val="00C96603"/>
    <w:rsid w:val="00C96A24"/>
    <w:rsid w:val="00C96D37"/>
    <w:rsid w:val="00C96D71"/>
    <w:rsid w:val="00C96F89"/>
    <w:rsid w:val="00C96FE0"/>
    <w:rsid w:val="00C97572"/>
    <w:rsid w:val="00C9785E"/>
    <w:rsid w:val="00C97AF1"/>
    <w:rsid w:val="00C97D77"/>
    <w:rsid w:val="00CA0108"/>
    <w:rsid w:val="00CA05AC"/>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BDF"/>
    <w:rsid w:val="00CA6EC1"/>
    <w:rsid w:val="00CB01BC"/>
    <w:rsid w:val="00CB03CF"/>
    <w:rsid w:val="00CB047F"/>
    <w:rsid w:val="00CB0A9B"/>
    <w:rsid w:val="00CB0CE5"/>
    <w:rsid w:val="00CB11BD"/>
    <w:rsid w:val="00CB1368"/>
    <w:rsid w:val="00CB167F"/>
    <w:rsid w:val="00CB1F2A"/>
    <w:rsid w:val="00CB22A5"/>
    <w:rsid w:val="00CB2918"/>
    <w:rsid w:val="00CB299C"/>
    <w:rsid w:val="00CB2BBA"/>
    <w:rsid w:val="00CB2F06"/>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6069"/>
    <w:rsid w:val="00CB62C2"/>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1E7E"/>
    <w:rsid w:val="00CC266E"/>
    <w:rsid w:val="00CC26C2"/>
    <w:rsid w:val="00CC27F5"/>
    <w:rsid w:val="00CC2D18"/>
    <w:rsid w:val="00CC2E9A"/>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992"/>
    <w:rsid w:val="00CC7A6D"/>
    <w:rsid w:val="00CC7DF5"/>
    <w:rsid w:val="00CD04B6"/>
    <w:rsid w:val="00CD0740"/>
    <w:rsid w:val="00CD0768"/>
    <w:rsid w:val="00CD09BD"/>
    <w:rsid w:val="00CD0B87"/>
    <w:rsid w:val="00CD14AE"/>
    <w:rsid w:val="00CD14CB"/>
    <w:rsid w:val="00CD179D"/>
    <w:rsid w:val="00CD1B7E"/>
    <w:rsid w:val="00CD1E74"/>
    <w:rsid w:val="00CD23E0"/>
    <w:rsid w:val="00CD2585"/>
    <w:rsid w:val="00CD283A"/>
    <w:rsid w:val="00CD309B"/>
    <w:rsid w:val="00CD3122"/>
    <w:rsid w:val="00CD325D"/>
    <w:rsid w:val="00CD3372"/>
    <w:rsid w:val="00CD3421"/>
    <w:rsid w:val="00CD392B"/>
    <w:rsid w:val="00CD3B95"/>
    <w:rsid w:val="00CD3C3B"/>
    <w:rsid w:val="00CD3D0C"/>
    <w:rsid w:val="00CD3D4B"/>
    <w:rsid w:val="00CD3F09"/>
    <w:rsid w:val="00CD3FAF"/>
    <w:rsid w:val="00CD4008"/>
    <w:rsid w:val="00CD41FF"/>
    <w:rsid w:val="00CD492B"/>
    <w:rsid w:val="00CD4D33"/>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558"/>
    <w:rsid w:val="00CE38AA"/>
    <w:rsid w:val="00CE3CDC"/>
    <w:rsid w:val="00CE3D16"/>
    <w:rsid w:val="00CE3D41"/>
    <w:rsid w:val="00CE3FBA"/>
    <w:rsid w:val="00CE5205"/>
    <w:rsid w:val="00CE528D"/>
    <w:rsid w:val="00CE52E0"/>
    <w:rsid w:val="00CE5386"/>
    <w:rsid w:val="00CE53A7"/>
    <w:rsid w:val="00CE56FD"/>
    <w:rsid w:val="00CE5DFA"/>
    <w:rsid w:val="00CE5E50"/>
    <w:rsid w:val="00CE5F5F"/>
    <w:rsid w:val="00CE630B"/>
    <w:rsid w:val="00CE69F3"/>
    <w:rsid w:val="00CE6AD5"/>
    <w:rsid w:val="00CE6D13"/>
    <w:rsid w:val="00CE6E24"/>
    <w:rsid w:val="00CE6E26"/>
    <w:rsid w:val="00CE7392"/>
    <w:rsid w:val="00CE76BD"/>
    <w:rsid w:val="00CE781A"/>
    <w:rsid w:val="00CE785A"/>
    <w:rsid w:val="00CE7B7F"/>
    <w:rsid w:val="00CF00E4"/>
    <w:rsid w:val="00CF0131"/>
    <w:rsid w:val="00CF02AC"/>
    <w:rsid w:val="00CF057C"/>
    <w:rsid w:val="00CF06E6"/>
    <w:rsid w:val="00CF0D76"/>
    <w:rsid w:val="00CF18AB"/>
    <w:rsid w:val="00CF1AA6"/>
    <w:rsid w:val="00CF1C27"/>
    <w:rsid w:val="00CF20C8"/>
    <w:rsid w:val="00CF2305"/>
    <w:rsid w:val="00CF2606"/>
    <w:rsid w:val="00CF2639"/>
    <w:rsid w:val="00CF274B"/>
    <w:rsid w:val="00CF2EF5"/>
    <w:rsid w:val="00CF2FBF"/>
    <w:rsid w:val="00CF33BA"/>
    <w:rsid w:val="00CF3B0E"/>
    <w:rsid w:val="00CF3E2B"/>
    <w:rsid w:val="00CF3F01"/>
    <w:rsid w:val="00CF4050"/>
    <w:rsid w:val="00CF41AE"/>
    <w:rsid w:val="00CF4313"/>
    <w:rsid w:val="00CF4539"/>
    <w:rsid w:val="00CF495B"/>
    <w:rsid w:val="00CF4B3B"/>
    <w:rsid w:val="00CF4F02"/>
    <w:rsid w:val="00CF4F88"/>
    <w:rsid w:val="00CF50F7"/>
    <w:rsid w:val="00CF528F"/>
    <w:rsid w:val="00CF5E8C"/>
    <w:rsid w:val="00CF5EE9"/>
    <w:rsid w:val="00CF60DF"/>
    <w:rsid w:val="00CF617D"/>
    <w:rsid w:val="00CF61A3"/>
    <w:rsid w:val="00CF6301"/>
    <w:rsid w:val="00CF6565"/>
    <w:rsid w:val="00CF66DE"/>
    <w:rsid w:val="00CF6848"/>
    <w:rsid w:val="00CF6AF3"/>
    <w:rsid w:val="00CF6C9A"/>
    <w:rsid w:val="00CF74F6"/>
    <w:rsid w:val="00CF76AE"/>
    <w:rsid w:val="00CF7BB4"/>
    <w:rsid w:val="00CF7CCF"/>
    <w:rsid w:val="00CF7D8D"/>
    <w:rsid w:val="00D00250"/>
    <w:rsid w:val="00D0033A"/>
    <w:rsid w:val="00D004D6"/>
    <w:rsid w:val="00D00522"/>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69A"/>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560"/>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4EF6"/>
    <w:rsid w:val="00D1552A"/>
    <w:rsid w:val="00D15927"/>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1B"/>
    <w:rsid w:val="00D23426"/>
    <w:rsid w:val="00D2348D"/>
    <w:rsid w:val="00D234B2"/>
    <w:rsid w:val="00D23556"/>
    <w:rsid w:val="00D239F9"/>
    <w:rsid w:val="00D23A1F"/>
    <w:rsid w:val="00D23B89"/>
    <w:rsid w:val="00D23CE2"/>
    <w:rsid w:val="00D244D5"/>
    <w:rsid w:val="00D2466D"/>
    <w:rsid w:val="00D24726"/>
    <w:rsid w:val="00D24AED"/>
    <w:rsid w:val="00D24C3D"/>
    <w:rsid w:val="00D24D04"/>
    <w:rsid w:val="00D25093"/>
    <w:rsid w:val="00D250F6"/>
    <w:rsid w:val="00D2579E"/>
    <w:rsid w:val="00D25866"/>
    <w:rsid w:val="00D25A61"/>
    <w:rsid w:val="00D25E03"/>
    <w:rsid w:val="00D25F82"/>
    <w:rsid w:val="00D261FB"/>
    <w:rsid w:val="00D26283"/>
    <w:rsid w:val="00D263B5"/>
    <w:rsid w:val="00D26586"/>
    <w:rsid w:val="00D2664C"/>
    <w:rsid w:val="00D2670D"/>
    <w:rsid w:val="00D26B2E"/>
    <w:rsid w:val="00D26C4A"/>
    <w:rsid w:val="00D26DBE"/>
    <w:rsid w:val="00D2747E"/>
    <w:rsid w:val="00D2794D"/>
    <w:rsid w:val="00D27AAD"/>
    <w:rsid w:val="00D27F01"/>
    <w:rsid w:val="00D30373"/>
    <w:rsid w:val="00D309B2"/>
    <w:rsid w:val="00D309D3"/>
    <w:rsid w:val="00D30A81"/>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4973"/>
    <w:rsid w:val="00D34C36"/>
    <w:rsid w:val="00D35048"/>
    <w:rsid w:val="00D35504"/>
    <w:rsid w:val="00D35718"/>
    <w:rsid w:val="00D3587C"/>
    <w:rsid w:val="00D358B2"/>
    <w:rsid w:val="00D359BB"/>
    <w:rsid w:val="00D3609F"/>
    <w:rsid w:val="00D3610A"/>
    <w:rsid w:val="00D366C8"/>
    <w:rsid w:val="00D368C6"/>
    <w:rsid w:val="00D36C8E"/>
    <w:rsid w:val="00D36D5A"/>
    <w:rsid w:val="00D37A26"/>
    <w:rsid w:val="00D37C2D"/>
    <w:rsid w:val="00D37CC2"/>
    <w:rsid w:val="00D403BD"/>
    <w:rsid w:val="00D404CE"/>
    <w:rsid w:val="00D40539"/>
    <w:rsid w:val="00D40D79"/>
    <w:rsid w:val="00D40E25"/>
    <w:rsid w:val="00D40E78"/>
    <w:rsid w:val="00D40F5C"/>
    <w:rsid w:val="00D41009"/>
    <w:rsid w:val="00D41392"/>
    <w:rsid w:val="00D41394"/>
    <w:rsid w:val="00D41901"/>
    <w:rsid w:val="00D4191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47F89"/>
    <w:rsid w:val="00D503ED"/>
    <w:rsid w:val="00D5044A"/>
    <w:rsid w:val="00D50481"/>
    <w:rsid w:val="00D50C82"/>
    <w:rsid w:val="00D50F95"/>
    <w:rsid w:val="00D5102A"/>
    <w:rsid w:val="00D512D1"/>
    <w:rsid w:val="00D513F0"/>
    <w:rsid w:val="00D51565"/>
    <w:rsid w:val="00D51715"/>
    <w:rsid w:val="00D519C7"/>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521C"/>
    <w:rsid w:val="00D554E6"/>
    <w:rsid w:val="00D55538"/>
    <w:rsid w:val="00D55723"/>
    <w:rsid w:val="00D55A1B"/>
    <w:rsid w:val="00D55B68"/>
    <w:rsid w:val="00D55BD5"/>
    <w:rsid w:val="00D55C37"/>
    <w:rsid w:val="00D55F57"/>
    <w:rsid w:val="00D56330"/>
    <w:rsid w:val="00D563C2"/>
    <w:rsid w:val="00D56810"/>
    <w:rsid w:val="00D56C31"/>
    <w:rsid w:val="00D56D65"/>
    <w:rsid w:val="00D572B2"/>
    <w:rsid w:val="00D57615"/>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522"/>
    <w:rsid w:val="00D71707"/>
    <w:rsid w:val="00D71BD5"/>
    <w:rsid w:val="00D72265"/>
    <w:rsid w:val="00D7235F"/>
    <w:rsid w:val="00D7267B"/>
    <w:rsid w:val="00D72BDC"/>
    <w:rsid w:val="00D72C87"/>
    <w:rsid w:val="00D72E11"/>
    <w:rsid w:val="00D72E7E"/>
    <w:rsid w:val="00D72F1A"/>
    <w:rsid w:val="00D73118"/>
    <w:rsid w:val="00D73347"/>
    <w:rsid w:val="00D73372"/>
    <w:rsid w:val="00D7364D"/>
    <w:rsid w:val="00D73712"/>
    <w:rsid w:val="00D73A3C"/>
    <w:rsid w:val="00D73A6B"/>
    <w:rsid w:val="00D73DAD"/>
    <w:rsid w:val="00D73E0D"/>
    <w:rsid w:val="00D74138"/>
    <w:rsid w:val="00D74461"/>
    <w:rsid w:val="00D744B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E4"/>
    <w:rsid w:val="00D81B26"/>
    <w:rsid w:val="00D820F3"/>
    <w:rsid w:val="00D829AC"/>
    <w:rsid w:val="00D82AA1"/>
    <w:rsid w:val="00D82BC4"/>
    <w:rsid w:val="00D82C77"/>
    <w:rsid w:val="00D82CF1"/>
    <w:rsid w:val="00D832AB"/>
    <w:rsid w:val="00D83401"/>
    <w:rsid w:val="00D83689"/>
    <w:rsid w:val="00D83850"/>
    <w:rsid w:val="00D83F09"/>
    <w:rsid w:val="00D84268"/>
    <w:rsid w:val="00D84278"/>
    <w:rsid w:val="00D846C5"/>
    <w:rsid w:val="00D847C6"/>
    <w:rsid w:val="00D84B69"/>
    <w:rsid w:val="00D84D2C"/>
    <w:rsid w:val="00D86923"/>
    <w:rsid w:val="00D86ACF"/>
    <w:rsid w:val="00D86B37"/>
    <w:rsid w:val="00D86E83"/>
    <w:rsid w:val="00D86EF6"/>
    <w:rsid w:val="00D87154"/>
    <w:rsid w:val="00D87477"/>
    <w:rsid w:val="00D8778A"/>
    <w:rsid w:val="00D878DD"/>
    <w:rsid w:val="00D87DAB"/>
    <w:rsid w:val="00D90604"/>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0AB"/>
    <w:rsid w:val="00D931F2"/>
    <w:rsid w:val="00D938C1"/>
    <w:rsid w:val="00D938CE"/>
    <w:rsid w:val="00D93EF4"/>
    <w:rsid w:val="00D942EC"/>
    <w:rsid w:val="00D94909"/>
    <w:rsid w:val="00D949DC"/>
    <w:rsid w:val="00D94BB0"/>
    <w:rsid w:val="00D94FF3"/>
    <w:rsid w:val="00D95322"/>
    <w:rsid w:val="00D955B0"/>
    <w:rsid w:val="00D957C0"/>
    <w:rsid w:val="00D95ABC"/>
    <w:rsid w:val="00D95BC2"/>
    <w:rsid w:val="00D95BFF"/>
    <w:rsid w:val="00D95E1E"/>
    <w:rsid w:val="00D95F45"/>
    <w:rsid w:val="00D965FD"/>
    <w:rsid w:val="00D96AD5"/>
    <w:rsid w:val="00D96CDB"/>
    <w:rsid w:val="00D973DD"/>
    <w:rsid w:val="00D977D5"/>
    <w:rsid w:val="00D9793D"/>
    <w:rsid w:val="00D97B21"/>
    <w:rsid w:val="00D97D08"/>
    <w:rsid w:val="00D97E86"/>
    <w:rsid w:val="00DA000D"/>
    <w:rsid w:val="00DA015E"/>
    <w:rsid w:val="00DA02EC"/>
    <w:rsid w:val="00DA0A37"/>
    <w:rsid w:val="00DA0FC0"/>
    <w:rsid w:val="00DA10F6"/>
    <w:rsid w:val="00DA193F"/>
    <w:rsid w:val="00DA1A0C"/>
    <w:rsid w:val="00DA1D80"/>
    <w:rsid w:val="00DA1DD2"/>
    <w:rsid w:val="00DA2046"/>
    <w:rsid w:val="00DA2185"/>
    <w:rsid w:val="00DA23D2"/>
    <w:rsid w:val="00DA2771"/>
    <w:rsid w:val="00DA29C4"/>
    <w:rsid w:val="00DA2A61"/>
    <w:rsid w:val="00DA2AD1"/>
    <w:rsid w:val="00DA2D90"/>
    <w:rsid w:val="00DA3A02"/>
    <w:rsid w:val="00DA3A26"/>
    <w:rsid w:val="00DA3B43"/>
    <w:rsid w:val="00DA3D75"/>
    <w:rsid w:val="00DA3F00"/>
    <w:rsid w:val="00DA408B"/>
    <w:rsid w:val="00DA43CA"/>
    <w:rsid w:val="00DA4562"/>
    <w:rsid w:val="00DA492A"/>
    <w:rsid w:val="00DA49D8"/>
    <w:rsid w:val="00DA4E82"/>
    <w:rsid w:val="00DA4F1D"/>
    <w:rsid w:val="00DA5CA9"/>
    <w:rsid w:val="00DA5E7E"/>
    <w:rsid w:val="00DA6511"/>
    <w:rsid w:val="00DA6C8B"/>
    <w:rsid w:val="00DA6DE0"/>
    <w:rsid w:val="00DA714A"/>
    <w:rsid w:val="00DA71AF"/>
    <w:rsid w:val="00DA727D"/>
    <w:rsid w:val="00DA72C6"/>
    <w:rsid w:val="00DA7461"/>
    <w:rsid w:val="00DA74D3"/>
    <w:rsid w:val="00DA7A85"/>
    <w:rsid w:val="00DA7BC7"/>
    <w:rsid w:val="00DA7E4C"/>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42C3"/>
    <w:rsid w:val="00DB4322"/>
    <w:rsid w:val="00DB444F"/>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7E8"/>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5F7"/>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4F91"/>
    <w:rsid w:val="00DD52E1"/>
    <w:rsid w:val="00DD59AB"/>
    <w:rsid w:val="00DD5FFE"/>
    <w:rsid w:val="00DD6396"/>
    <w:rsid w:val="00DD6463"/>
    <w:rsid w:val="00DD6649"/>
    <w:rsid w:val="00DD6ACD"/>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79F"/>
    <w:rsid w:val="00DE2D4B"/>
    <w:rsid w:val="00DE307F"/>
    <w:rsid w:val="00DE3351"/>
    <w:rsid w:val="00DE3E7C"/>
    <w:rsid w:val="00DE42A0"/>
    <w:rsid w:val="00DE464E"/>
    <w:rsid w:val="00DE4664"/>
    <w:rsid w:val="00DE4811"/>
    <w:rsid w:val="00DE491C"/>
    <w:rsid w:val="00DE4B0C"/>
    <w:rsid w:val="00DE5FDA"/>
    <w:rsid w:val="00DE61AA"/>
    <w:rsid w:val="00DE67C4"/>
    <w:rsid w:val="00DE6ACB"/>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0F"/>
    <w:rsid w:val="00DF3C20"/>
    <w:rsid w:val="00DF3CBE"/>
    <w:rsid w:val="00DF3F3E"/>
    <w:rsid w:val="00DF4158"/>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A9"/>
    <w:rsid w:val="00DF6A83"/>
    <w:rsid w:val="00DF7226"/>
    <w:rsid w:val="00DF76CF"/>
    <w:rsid w:val="00DF7B38"/>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0C0"/>
    <w:rsid w:val="00E042A0"/>
    <w:rsid w:val="00E0466A"/>
    <w:rsid w:val="00E046C1"/>
    <w:rsid w:val="00E04831"/>
    <w:rsid w:val="00E049EC"/>
    <w:rsid w:val="00E04ADD"/>
    <w:rsid w:val="00E05046"/>
    <w:rsid w:val="00E056CB"/>
    <w:rsid w:val="00E05704"/>
    <w:rsid w:val="00E05716"/>
    <w:rsid w:val="00E05A43"/>
    <w:rsid w:val="00E05BD3"/>
    <w:rsid w:val="00E05EC6"/>
    <w:rsid w:val="00E05FB3"/>
    <w:rsid w:val="00E05FC4"/>
    <w:rsid w:val="00E0630C"/>
    <w:rsid w:val="00E06977"/>
    <w:rsid w:val="00E06AF4"/>
    <w:rsid w:val="00E06D39"/>
    <w:rsid w:val="00E06F6A"/>
    <w:rsid w:val="00E0701C"/>
    <w:rsid w:val="00E071F0"/>
    <w:rsid w:val="00E073C8"/>
    <w:rsid w:val="00E07427"/>
    <w:rsid w:val="00E07686"/>
    <w:rsid w:val="00E07B1E"/>
    <w:rsid w:val="00E07B69"/>
    <w:rsid w:val="00E07E45"/>
    <w:rsid w:val="00E1007C"/>
    <w:rsid w:val="00E101F9"/>
    <w:rsid w:val="00E102BD"/>
    <w:rsid w:val="00E1039D"/>
    <w:rsid w:val="00E103F8"/>
    <w:rsid w:val="00E104ED"/>
    <w:rsid w:val="00E10631"/>
    <w:rsid w:val="00E10843"/>
    <w:rsid w:val="00E10BE0"/>
    <w:rsid w:val="00E11124"/>
    <w:rsid w:val="00E11B7C"/>
    <w:rsid w:val="00E11EB8"/>
    <w:rsid w:val="00E1273A"/>
    <w:rsid w:val="00E12933"/>
    <w:rsid w:val="00E12935"/>
    <w:rsid w:val="00E12958"/>
    <w:rsid w:val="00E1299E"/>
    <w:rsid w:val="00E12A5A"/>
    <w:rsid w:val="00E12AF0"/>
    <w:rsid w:val="00E1304D"/>
    <w:rsid w:val="00E134D0"/>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5AF"/>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1ECE"/>
    <w:rsid w:val="00E2229E"/>
    <w:rsid w:val="00E222C6"/>
    <w:rsid w:val="00E224C9"/>
    <w:rsid w:val="00E225EC"/>
    <w:rsid w:val="00E22625"/>
    <w:rsid w:val="00E229F7"/>
    <w:rsid w:val="00E22A10"/>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4FF2"/>
    <w:rsid w:val="00E250DB"/>
    <w:rsid w:val="00E252F1"/>
    <w:rsid w:val="00E25328"/>
    <w:rsid w:val="00E25334"/>
    <w:rsid w:val="00E2558D"/>
    <w:rsid w:val="00E25940"/>
    <w:rsid w:val="00E259D3"/>
    <w:rsid w:val="00E25DAB"/>
    <w:rsid w:val="00E25F1D"/>
    <w:rsid w:val="00E25F49"/>
    <w:rsid w:val="00E2617B"/>
    <w:rsid w:val="00E26467"/>
    <w:rsid w:val="00E2690E"/>
    <w:rsid w:val="00E26CA9"/>
    <w:rsid w:val="00E26E78"/>
    <w:rsid w:val="00E27081"/>
    <w:rsid w:val="00E272FE"/>
    <w:rsid w:val="00E27D73"/>
    <w:rsid w:val="00E30063"/>
    <w:rsid w:val="00E30517"/>
    <w:rsid w:val="00E3070A"/>
    <w:rsid w:val="00E3093D"/>
    <w:rsid w:val="00E30A72"/>
    <w:rsid w:val="00E30DB2"/>
    <w:rsid w:val="00E31506"/>
    <w:rsid w:val="00E31618"/>
    <w:rsid w:val="00E317A6"/>
    <w:rsid w:val="00E3200D"/>
    <w:rsid w:val="00E32E0E"/>
    <w:rsid w:val="00E32E9B"/>
    <w:rsid w:val="00E3305B"/>
    <w:rsid w:val="00E3318D"/>
    <w:rsid w:val="00E33506"/>
    <w:rsid w:val="00E33802"/>
    <w:rsid w:val="00E33814"/>
    <w:rsid w:val="00E339C6"/>
    <w:rsid w:val="00E33ADF"/>
    <w:rsid w:val="00E33B8C"/>
    <w:rsid w:val="00E33E4D"/>
    <w:rsid w:val="00E344E8"/>
    <w:rsid w:val="00E34D51"/>
    <w:rsid w:val="00E34D6F"/>
    <w:rsid w:val="00E34DDC"/>
    <w:rsid w:val="00E34F08"/>
    <w:rsid w:val="00E34FFD"/>
    <w:rsid w:val="00E35698"/>
    <w:rsid w:val="00E35AC2"/>
    <w:rsid w:val="00E35E19"/>
    <w:rsid w:val="00E35E7A"/>
    <w:rsid w:val="00E35EB9"/>
    <w:rsid w:val="00E35EBF"/>
    <w:rsid w:val="00E35F47"/>
    <w:rsid w:val="00E3610B"/>
    <w:rsid w:val="00E363B9"/>
    <w:rsid w:val="00E36400"/>
    <w:rsid w:val="00E36AED"/>
    <w:rsid w:val="00E36B03"/>
    <w:rsid w:val="00E377BF"/>
    <w:rsid w:val="00E37C25"/>
    <w:rsid w:val="00E37FDD"/>
    <w:rsid w:val="00E40362"/>
    <w:rsid w:val="00E40966"/>
    <w:rsid w:val="00E40A2C"/>
    <w:rsid w:val="00E41062"/>
    <w:rsid w:val="00E413FA"/>
    <w:rsid w:val="00E4180B"/>
    <w:rsid w:val="00E41BAC"/>
    <w:rsid w:val="00E42027"/>
    <w:rsid w:val="00E422B2"/>
    <w:rsid w:val="00E4252B"/>
    <w:rsid w:val="00E42532"/>
    <w:rsid w:val="00E42D71"/>
    <w:rsid w:val="00E43259"/>
    <w:rsid w:val="00E432AE"/>
    <w:rsid w:val="00E434D2"/>
    <w:rsid w:val="00E4356E"/>
    <w:rsid w:val="00E438A3"/>
    <w:rsid w:val="00E43C76"/>
    <w:rsid w:val="00E43F1E"/>
    <w:rsid w:val="00E4409C"/>
    <w:rsid w:val="00E443F9"/>
    <w:rsid w:val="00E443FC"/>
    <w:rsid w:val="00E4466A"/>
    <w:rsid w:val="00E447D5"/>
    <w:rsid w:val="00E44F02"/>
    <w:rsid w:val="00E45041"/>
    <w:rsid w:val="00E450D8"/>
    <w:rsid w:val="00E4515C"/>
    <w:rsid w:val="00E452D0"/>
    <w:rsid w:val="00E45A9D"/>
    <w:rsid w:val="00E460A1"/>
    <w:rsid w:val="00E46809"/>
    <w:rsid w:val="00E46A54"/>
    <w:rsid w:val="00E46CC9"/>
    <w:rsid w:val="00E46D6E"/>
    <w:rsid w:val="00E47C2F"/>
    <w:rsid w:val="00E47D5F"/>
    <w:rsid w:val="00E47D96"/>
    <w:rsid w:val="00E47F73"/>
    <w:rsid w:val="00E47FDB"/>
    <w:rsid w:val="00E501A1"/>
    <w:rsid w:val="00E508D6"/>
    <w:rsid w:val="00E512F9"/>
    <w:rsid w:val="00E515A3"/>
    <w:rsid w:val="00E5174B"/>
    <w:rsid w:val="00E51A16"/>
    <w:rsid w:val="00E51E23"/>
    <w:rsid w:val="00E51ED1"/>
    <w:rsid w:val="00E52242"/>
    <w:rsid w:val="00E52293"/>
    <w:rsid w:val="00E52351"/>
    <w:rsid w:val="00E523F3"/>
    <w:rsid w:val="00E52F76"/>
    <w:rsid w:val="00E5315C"/>
    <w:rsid w:val="00E534EA"/>
    <w:rsid w:val="00E537C1"/>
    <w:rsid w:val="00E538E0"/>
    <w:rsid w:val="00E53E31"/>
    <w:rsid w:val="00E542C2"/>
    <w:rsid w:val="00E54499"/>
    <w:rsid w:val="00E547DF"/>
    <w:rsid w:val="00E54B12"/>
    <w:rsid w:val="00E54D33"/>
    <w:rsid w:val="00E54DC6"/>
    <w:rsid w:val="00E54FC5"/>
    <w:rsid w:val="00E56198"/>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C15"/>
    <w:rsid w:val="00E61DAC"/>
    <w:rsid w:val="00E61F86"/>
    <w:rsid w:val="00E6264C"/>
    <w:rsid w:val="00E62AF2"/>
    <w:rsid w:val="00E62C6B"/>
    <w:rsid w:val="00E62DDA"/>
    <w:rsid w:val="00E62E0E"/>
    <w:rsid w:val="00E630F7"/>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6E1D"/>
    <w:rsid w:val="00E67631"/>
    <w:rsid w:val="00E678F2"/>
    <w:rsid w:val="00E67947"/>
    <w:rsid w:val="00E6799A"/>
    <w:rsid w:val="00E67BC6"/>
    <w:rsid w:val="00E7041A"/>
    <w:rsid w:val="00E705E5"/>
    <w:rsid w:val="00E70B0C"/>
    <w:rsid w:val="00E70EE5"/>
    <w:rsid w:val="00E713B5"/>
    <w:rsid w:val="00E71952"/>
    <w:rsid w:val="00E71B8C"/>
    <w:rsid w:val="00E71DF1"/>
    <w:rsid w:val="00E71EDB"/>
    <w:rsid w:val="00E723D3"/>
    <w:rsid w:val="00E7242A"/>
    <w:rsid w:val="00E72737"/>
    <w:rsid w:val="00E72ABE"/>
    <w:rsid w:val="00E72BCC"/>
    <w:rsid w:val="00E72F09"/>
    <w:rsid w:val="00E7309E"/>
    <w:rsid w:val="00E73279"/>
    <w:rsid w:val="00E734C8"/>
    <w:rsid w:val="00E739A7"/>
    <w:rsid w:val="00E73E01"/>
    <w:rsid w:val="00E742D9"/>
    <w:rsid w:val="00E7449A"/>
    <w:rsid w:val="00E746D0"/>
    <w:rsid w:val="00E74B5A"/>
    <w:rsid w:val="00E74D56"/>
    <w:rsid w:val="00E7524F"/>
    <w:rsid w:val="00E7556D"/>
    <w:rsid w:val="00E75693"/>
    <w:rsid w:val="00E756FB"/>
    <w:rsid w:val="00E75BE4"/>
    <w:rsid w:val="00E760E3"/>
    <w:rsid w:val="00E76141"/>
    <w:rsid w:val="00E76270"/>
    <w:rsid w:val="00E766FA"/>
    <w:rsid w:val="00E76B45"/>
    <w:rsid w:val="00E77040"/>
    <w:rsid w:val="00E772C4"/>
    <w:rsid w:val="00E77655"/>
    <w:rsid w:val="00E7768F"/>
    <w:rsid w:val="00E8016D"/>
    <w:rsid w:val="00E80CE8"/>
    <w:rsid w:val="00E810EC"/>
    <w:rsid w:val="00E8112C"/>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8E"/>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30"/>
    <w:rsid w:val="00E97353"/>
    <w:rsid w:val="00E9738B"/>
    <w:rsid w:val="00E97507"/>
    <w:rsid w:val="00E97512"/>
    <w:rsid w:val="00E97C34"/>
    <w:rsid w:val="00E97DF8"/>
    <w:rsid w:val="00EA00FF"/>
    <w:rsid w:val="00EA0281"/>
    <w:rsid w:val="00EA0BD3"/>
    <w:rsid w:val="00EA0BFA"/>
    <w:rsid w:val="00EA0E05"/>
    <w:rsid w:val="00EA0E10"/>
    <w:rsid w:val="00EA1B19"/>
    <w:rsid w:val="00EA1B4A"/>
    <w:rsid w:val="00EA1BF0"/>
    <w:rsid w:val="00EA1CC1"/>
    <w:rsid w:val="00EA1E46"/>
    <w:rsid w:val="00EA20E1"/>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11F"/>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2C8"/>
    <w:rsid w:val="00EB461B"/>
    <w:rsid w:val="00EB4FA6"/>
    <w:rsid w:val="00EB5008"/>
    <w:rsid w:val="00EB534C"/>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C62"/>
    <w:rsid w:val="00EC1D83"/>
    <w:rsid w:val="00EC1FE9"/>
    <w:rsid w:val="00EC20E6"/>
    <w:rsid w:val="00EC219F"/>
    <w:rsid w:val="00EC259E"/>
    <w:rsid w:val="00EC263E"/>
    <w:rsid w:val="00EC28CD"/>
    <w:rsid w:val="00EC2915"/>
    <w:rsid w:val="00EC2C50"/>
    <w:rsid w:val="00EC2E21"/>
    <w:rsid w:val="00EC30FE"/>
    <w:rsid w:val="00EC36DD"/>
    <w:rsid w:val="00EC3E81"/>
    <w:rsid w:val="00EC3EC8"/>
    <w:rsid w:val="00EC44E7"/>
    <w:rsid w:val="00EC45D7"/>
    <w:rsid w:val="00EC4ABD"/>
    <w:rsid w:val="00EC4D77"/>
    <w:rsid w:val="00EC4D7B"/>
    <w:rsid w:val="00EC4E2E"/>
    <w:rsid w:val="00EC4F80"/>
    <w:rsid w:val="00EC5125"/>
    <w:rsid w:val="00EC555C"/>
    <w:rsid w:val="00EC55A8"/>
    <w:rsid w:val="00EC5A50"/>
    <w:rsid w:val="00EC5EA0"/>
    <w:rsid w:val="00EC60A1"/>
    <w:rsid w:val="00EC614D"/>
    <w:rsid w:val="00EC6337"/>
    <w:rsid w:val="00EC64BC"/>
    <w:rsid w:val="00EC6AAB"/>
    <w:rsid w:val="00EC6D68"/>
    <w:rsid w:val="00EC6D82"/>
    <w:rsid w:val="00EC7183"/>
    <w:rsid w:val="00EC71AB"/>
    <w:rsid w:val="00EC7BD1"/>
    <w:rsid w:val="00EC7EE8"/>
    <w:rsid w:val="00ED05E1"/>
    <w:rsid w:val="00ED0DE8"/>
    <w:rsid w:val="00ED0EB9"/>
    <w:rsid w:val="00ED17D6"/>
    <w:rsid w:val="00ED18C7"/>
    <w:rsid w:val="00ED1A21"/>
    <w:rsid w:val="00ED1A39"/>
    <w:rsid w:val="00ED1ABE"/>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066"/>
    <w:rsid w:val="00ED5122"/>
    <w:rsid w:val="00ED54F7"/>
    <w:rsid w:val="00ED56A7"/>
    <w:rsid w:val="00ED58F2"/>
    <w:rsid w:val="00ED6100"/>
    <w:rsid w:val="00ED6496"/>
    <w:rsid w:val="00ED6A1F"/>
    <w:rsid w:val="00ED6E4E"/>
    <w:rsid w:val="00ED6EC0"/>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2CCF"/>
    <w:rsid w:val="00EE3196"/>
    <w:rsid w:val="00EE3203"/>
    <w:rsid w:val="00EE3318"/>
    <w:rsid w:val="00EE33A6"/>
    <w:rsid w:val="00EE3C4A"/>
    <w:rsid w:val="00EE3DCB"/>
    <w:rsid w:val="00EE4825"/>
    <w:rsid w:val="00EE5112"/>
    <w:rsid w:val="00EE588E"/>
    <w:rsid w:val="00EE5E4E"/>
    <w:rsid w:val="00EE62B4"/>
    <w:rsid w:val="00EE636D"/>
    <w:rsid w:val="00EE66B1"/>
    <w:rsid w:val="00EE6EA1"/>
    <w:rsid w:val="00EE6F69"/>
    <w:rsid w:val="00EE71DA"/>
    <w:rsid w:val="00EE752C"/>
    <w:rsid w:val="00EE7845"/>
    <w:rsid w:val="00EE79AA"/>
    <w:rsid w:val="00EE7D91"/>
    <w:rsid w:val="00EE7ECE"/>
    <w:rsid w:val="00EE7F2E"/>
    <w:rsid w:val="00EF0299"/>
    <w:rsid w:val="00EF082A"/>
    <w:rsid w:val="00EF0E14"/>
    <w:rsid w:val="00EF0E50"/>
    <w:rsid w:val="00EF1176"/>
    <w:rsid w:val="00EF14E6"/>
    <w:rsid w:val="00EF16D6"/>
    <w:rsid w:val="00EF17D0"/>
    <w:rsid w:val="00EF209D"/>
    <w:rsid w:val="00EF20A8"/>
    <w:rsid w:val="00EF20FD"/>
    <w:rsid w:val="00EF2457"/>
    <w:rsid w:val="00EF2786"/>
    <w:rsid w:val="00EF28E6"/>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C0F"/>
    <w:rsid w:val="00EF6D38"/>
    <w:rsid w:val="00EF6EF5"/>
    <w:rsid w:val="00EF6F6C"/>
    <w:rsid w:val="00EF71EE"/>
    <w:rsid w:val="00EF7690"/>
    <w:rsid w:val="00EF786F"/>
    <w:rsid w:val="00EF7878"/>
    <w:rsid w:val="00EF7DD1"/>
    <w:rsid w:val="00EF7E2A"/>
    <w:rsid w:val="00EF7F14"/>
    <w:rsid w:val="00EF7F47"/>
    <w:rsid w:val="00F000F0"/>
    <w:rsid w:val="00F00180"/>
    <w:rsid w:val="00F004AB"/>
    <w:rsid w:val="00F006E4"/>
    <w:rsid w:val="00F00923"/>
    <w:rsid w:val="00F009FA"/>
    <w:rsid w:val="00F00C9D"/>
    <w:rsid w:val="00F00DC2"/>
    <w:rsid w:val="00F00FF1"/>
    <w:rsid w:val="00F0109A"/>
    <w:rsid w:val="00F01571"/>
    <w:rsid w:val="00F01769"/>
    <w:rsid w:val="00F0197D"/>
    <w:rsid w:val="00F01A58"/>
    <w:rsid w:val="00F023A1"/>
    <w:rsid w:val="00F023F1"/>
    <w:rsid w:val="00F026AE"/>
    <w:rsid w:val="00F027FF"/>
    <w:rsid w:val="00F02B5B"/>
    <w:rsid w:val="00F02EBD"/>
    <w:rsid w:val="00F0301D"/>
    <w:rsid w:val="00F032DF"/>
    <w:rsid w:val="00F0372A"/>
    <w:rsid w:val="00F0379A"/>
    <w:rsid w:val="00F0388F"/>
    <w:rsid w:val="00F03891"/>
    <w:rsid w:val="00F038D4"/>
    <w:rsid w:val="00F03E01"/>
    <w:rsid w:val="00F046B2"/>
    <w:rsid w:val="00F046FD"/>
    <w:rsid w:val="00F048ED"/>
    <w:rsid w:val="00F04D51"/>
    <w:rsid w:val="00F05011"/>
    <w:rsid w:val="00F051BE"/>
    <w:rsid w:val="00F05AE3"/>
    <w:rsid w:val="00F05EED"/>
    <w:rsid w:val="00F06B84"/>
    <w:rsid w:val="00F06F02"/>
    <w:rsid w:val="00F07834"/>
    <w:rsid w:val="00F10437"/>
    <w:rsid w:val="00F10465"/>
    <w:rsid w:val="00F10864"/>
    <w:rsid w:val="00F10A06"/>
    <w:rsid w:val="00F10C54"/>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43D"/>
    <w:rsid w:val="00F17A86"/>
    <w:rsid w:val="00F17A8F"/>
    <w:rsid w:val="00F17B91"/>
    <w:rsid w:val="00F17D56"/>
    <w:rsid w:val="00F20046"/>
    <w:rsid w:val="00F20242"/>
    <w:rsid w:val="00F206FE"/>
    <w:rsid w:val="00F20B30"/>
    <w:rsid w:val="00F20F5B"/>
    <w:rsid w:val="00F21048"/>
    <w:rsid w:val="00F210AB"/>
    <w:rsid w:val="00F21313"/>
    <w:rsid w:val="00F21407"/>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385"/>
    <w:rsid w:val="00F2643A"/>
    <w:rsid w:val="00F266E8"/>
    <w:rsid w:val="00F26886"/>
    <w:rsid w:val="00F26893"/>
    <w:rsid w:val="00F2699C"/>
    <w:rsid w:val="00F27000"/>
    <w:rsid w:val="00F275F0"/>
    <w:rsid w:val="00F27E0C"/>
    <w:rsid w:val="00F27F00"/>
    <w:rsid w:val="00F3002F"/>
    <w:rsid w:val="00F30353"/>
    <w:rsid w:val="00F3075E"/>
    <w:rsid w:val="00F308C0"/>
    <w:rsid w:val="00F30B8F"/>
    <w:rsid w:val="00F3172C"/>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145"/>
    <w:rsid w:val="00F3521B"/>
    <w:rsid w:val="00F352C7"/>
    <w:rsid w:val="00F35561"/>
    <w:rsid w:val="00F35865"/>
    <w:rsid w:val="00F35E92"/>
    <w:rsid w:val="00F360BA"/>
    <w:rsid w:val="00F366CE"/>
    <w:rsid w:val="00F369FF"/>
    <w:rsid w:val="00F36BBA"/>
    <w:rsid w:val="00F36BD9"/>
    <w:rsid w:val="00F37059"/>
    <w:rsid w:val="00F3709B"/>
    <w:rsid w:val="00F377A2"/>
    <w:rsid w:val="00F37922"/>
    <w:rsid w:val="00F37AEF"/>
    <w:rsid w:val="00F37DC6"/>
    <w:rsid w:val="00F40B98"/>
    <w:rsid w:val="00F418B9"/>
    <w:rsid w:val="00F41A1E"/>
    <w:rsid w:val="00F41D1F"/>
    <w:rsid w:val="00F41D2D"/>
    <w:rsid w:val="00F424D3"/>
    <w:rsid w:val="00F42910"/>
    <w:rsid w:val="00F42A6D"/>
    <w:rsid w:val="00F42C2B"/>
    <w:rsid w:val="00F4365B"/>
    <w:rsid w:val="00F4440C"/>
    <w:rsid w:val="00F4447C"/>
    <w:rsid w:val="00F44833"/>
    <w:rsid w:val="00F44B90"/>
    <w:rsid w:val="00F44F86"/>
    <w:rsid w:val="00F450BD"/>
    <w:rsid w:val="00F45A75"/>
    <w:rsid w:val="00F45B82"/>
    <w:rsid w:val="00F46694"/>
    <w:rsid w:val="00F467B0"/>
    <w:rsid w:val="00F4683A"/>
    <w:rsid w:val="00F469EF"/>
    <w:rsid w:val="00F46A21"/>
    <w:rsid w:val="00F46E40"/>
    <w:rsid w:val="00F46F8B"/>
    <w:rsid w:val="00F47132"/>
    <w:rsid w:val="00F47728"/>
    <w:rsid w:val="00F477A8"/>
    <w:rsid w:val="00F47AF4"/>
    <w:rsid w:val="00F47AFE"/>
    <w:rsid w:val="00F47CBA"/>
    <w:rsid w:val="00F47CC9"/>
    <w:rsid w:val="00F47CF5"/>
    <w:rsid w:val="00F47DD1"/>
    <w:rsid w:val="00F50020"/>
    <w:rsid w:val="00F50440"/>
    <w:rsid w:val="00F50671"/>
    <w:rsid w:val="00F506D9"/>
    <w:rsid w:val="00F50849"/>
    <w:rsid w:val="00F50E5F"/>
    <w:rsid w:val="00F51342"/>
    <w:rsid w:val="00F513BA"/>
    <w:rsid w:val="00F51447"/>
    <w:rsid w:val="00F514EF"/>
    <w:rsid w:val="00F516F4"/>
    <w:rsid w:val="00F517FC"/>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3DF5"/>
    <w:rsid w:val="00F54192"/>
    <w:rsid w:val="00F542D8"/>
    <w:rsid w:val="00F54460"/>
    <w:rsid w:val="00F548C8"/>
    <w:rsid w:val="00F548E6"/>
    <w:rsid w:val="00F54B39"/>
    <w:rsid w:val="00F553D1"/>
    <w:rsid w:val="00F556C7"/>
    <w:rsid w:val="00F558E3"/>
    <w:rsid w:val="00F55AC5"/>
    <w:rsid w:val="00F564B4"/>
    <w:rsid w:val="00F5676C"/>
    <w:rsid w:val="00F56C42"/>
    <w:rsid w:val="00F56D29"/>
    <w:rsid w:val="00F56D31"/>
    <w:rsid w:val="00F57183"/>
    <w:rsid w:val="00F57492"/>
    <w:rsid w:val="00F5765A"/>
    <w:rsid w:val="00F57C72"/>
    <w:rsid w:val="00F57E51"/>
    <w:rsid w:val="00F600C8"/>
    <w:rsid w:val="00F6021A"/>
    <w:rsid w:val="00F6021F"/>
    <w:rsid w:val="00F6036A"/>
    <w:rsid w:val="00F60646"/>
    <w:rsid w:val="00F60845"/>
    <w:rsid w:val="00F60B3C"/>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622"/>
    <w:rsid w:val="00F648A2"/>
    <w:rsid w:val="00F64928"/>
    <w:rsid w:val="00F64966"/>
    <w:rsid w:val="00F64F9D"/>
    <w:rsid w:val="00F650F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1A1"/>
    <w:rsid w:val="00F71719"/>
    <w:rsid w:val="00F71976"/>
    <w:rsid w:val="00F71F79"/>
    <w:rsid w:val="00F7219A"/>
    <w:rsid w:val="00F721A1"/>
    <w:rsid w:val="00F724E3"/>
    <w:rsid w:val="00F72524"/>
    <w:rsid w:val="00F727AA"/>
    <w:rsid w:val="00F72C94"/>
    <w:rsid w:val="00F72DAB"/>
    <w:rsid w:val="00F7325D"/>
    <w:rsid w:val="00F73F43"/>
    <w:rsid w:val="00F74664"/>
    <w:rsid w:val="00F74791"/>
    <w:rsid w:val="00F747FD"/>
    <w:rsid w:val="00F74A7A"/>
    <w:rsid w:val="00F74D87"/>
    <w:rsid w:val="00F752BB"/>
    <w:rsid w:val="00F75399"/>
    <w:rsid w:val="00F75C0B"/>
    <w:rsid w:val="00F75E09"/>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D1B"/>
    <w:rsid w:val="00F81E0E"/>
    <w:rsid w:val="00F81F25"/>
    <w:rsid w:val="00F8212C"/>
    <w:rsid w:val="00F82272"/>
    <w:rsid w:val="00F824FA"/>
    <w:rsid w:val="00F825FF"/>
    <w:rsid w:val="00F82760"/>
    <w:rsid w:val="00F82A7D"/>
    <w:rsid w:val="00F82D8E"/>
    <w:rsid w:val="00F82DD6"/>
    <w:rsid w:val="00F83301"/>
    <w:rsid w:val="00F83473"/>
    <w:rsid w:val="00F837DD"/>
    <w:rsid w:val="00F84212"/>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93"/>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025"/>
    <w:rsid w:val="00F9303F"/>
    <w:rsid w:val="00F932B9"/>
    <w:rsid w:val="00F9358A"/>
    <w:rsid w:val="00F939D3"/>
    <w:rsid w:val="00F939E7"/>
    <w:rsid w:val="00F93A3D"/>
    <w:rsid w:val="00F93A5F"/>
    <w:rsid w:val="00F94003"/>
    <w:rsid w:val="00F9434A"/>
    <w:rsid w:val="00F945E2"/>
    <w:rsid w:val="00F94737"/>
    <w:rsid w:val="00F9495D"/>
    <w:rsid w:val="00F95010"/>
    <w:rsid w:val="00F95013"/>
    <w:rsid w:val="00F951BD"/>
    <w:rsid w:val="00F95528"/>
    <w:rsid w:val="00F955A3"/>
    <w:rsid w:val="00F9590D"/>
    <w:rsid w:val="00F96198"/>
    <w:rsid w:val="00F9632D"/>
    <w:rsid w:val="00F9644F"/>
    <w:rsid w:val="00F96479"/>
    <w:rsid w:val="00F965A4"/>
    <w:rsid w:val="00F965D9"/>
    <w:rsid w:val="00F96C7A"/>
    <w:rsid w:val="00F96E7C"/>
    <w:rsid w:val="00F971E1"/>
    <w:rsid w:val="00F97494"/>
    <w:rsid w:val="00F975B5"/>
    <w:rsid w:val="00F97666"/>
    <w:rsid w:val="00F97C44"/>
    <w:rsid w:val="00F97F06"/>
    <w:rsid w:val="00FA001A"/>
    <w:rsid w:val="00FA0509"/>
    <w:rsid w:val="00FA0DC5"/>
    <w:rsid w:val="00FA0E7C"/>
    <w:rsid w:val="00FA142B"/>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3D9C"/>
    <w:rsid w:val="00FA4131"/>
    <w:rsid w:val="00FA484A"/>
    <w:rsid w:val="00FA4BA3"/>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6FF"/>
    <w:rsid w:val="00FB0DF1"/>
    <w:rsid w:val="00FB1309"/>
    <w:rsid w:val="00FB14B4"/>
    <w:rsid w:val="00FB15D5"/>
    <w:rsid w:val="00FB186A"/>
    <w:rsid w:val="00FB18E8"/>
    <w:rsid w:val="00FB19D8"/>
    <w:rsid w:val="00FB22E5"/>
    <w:rsid w:val="00FB2363"/>
    <w:rsid w:val="00FB2864"/>
    <w:rsid w:val="00FB2F94"/>
    <w:rsid w:val="00FB3006"/>
    <w:rsid w:val="00FB306F"/>
    <w:rsid w:val="00FB3210"/>
    <w:rsid w:val="00FB35B1"/>
    <w:rsid w:val="00FB39DA"/>
    <w:rsid w:val="00FB3CD6"/>
    <w:rsid w:val="00FB3DC0"/>
    <w:rsid w:val="00FB4065"/>
    <w:rsid w:val="00FB4760"/>
    <w:rsid w:val="00FB47B5"/>
    <w:rsid w:val="00FB47F0"/>
    <w:rsid w:val="00FB4AC1"/>
    <w:rsid w:val="00FB4F43"/>
    <w:rsid w:val="00FB508B"/>
    <w:rsid w:val="00FB5201"/>
    <w:rsid w:val="00FB52FD"/>
    <w:rsid w:val="00FB53B1"/>
    <w:rsid w:val="00FB5591"/>
    <w:rsid w:val="00FB579D"/>
    <w:rsid w:val="00FB57A7"/>
    <w:rsid w:val="00FB5A6F"/>
    <w:rsid w:val="00FB5CDA"/>
    <w:rsid w:val="00FB67CA"/>
    <w:rsid w:val="00FB7284"/>
    <w:rsid w:val="00FB72CB"/>
    <w:rsid w:val="00FB73A3"/>
    <w:rsid w:val="00FB7658"/>
    <w:rsid w:val="00FB77BB"/>
    <w:rsid w:val="00FB78F1"/>
    <w:rsid w:val="00FB7C38"/>
    <w:rsid w:val="00FB7EDD"/>
    <w:rsid w:val="00FC0038"/>
    <w:rsid w:val="00FC072E"/>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187"/>
    <w:rsid w:val="00FC629C"/>
    <w:rsid w:val="00FC65A0"/>
    <w:rsid w:val="00FC65A3"/>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84D"/>
    <w:rsid w:val="00FD3905"/>
    <w:rsid w:val="00FD3EBC"/>
    <w:rsid w:val="00FD4249"/>
    <w:rsid w:val="00FD4CC0"/>
    <w:rsid w:val="00FD4CE8"/>
    <w:rsid w:val="00FD4E42"/>
    <w:rsid w:val="00FD5999"/>
    <w:rsid w:val="00FD5D9B"/>
    <w:rsid w:val="00FD6318"/>
    <w:rsid w:val="00FD6A29"/>
    <w:rsid w:val="00FD6A3D"/>
    <w:rsid w:val="00FD6D13"/>
    <w:rsid w:val="00FD6F9D"/>
    <w:rsid w:val="00FD72D9"/>
    <w:rsid w:val="00FD73AE"/>
    <w:rsid w:val="00FD75E4"/>
    <w:rsid w:val="00FD7698"/>
    <w:rsid w:val="00FD7B69"/>
    <w:rsid w:val="00FD7BD8"/>
    <w:rsid w:val="00FD7C14"/>
    <w:rsid w:val="00FD7D6B"/>
    <w:rsid w:val="00FE00DC"/>
    <w:rsid w:val="00FE00EA"/>
    <w:rsid w:val="00FE0477"/>
    <w:rsid w:val="00FE0510"/>
    <w:rsid w:val="00FE0657"/>
    <w:rsid w:val="00FE08F4"/>
    <w:rsid w:val="00FE0D43"/>
    <w:rsid w:val="00FE1192"/>
    <w:rsid w:val="00FE15F5"/>
    <w:rsid w:val="00FE1728"/>
    <w:rsid w:val="00FE219E"/>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86E"/>
    <w:rsid w:val="00FE5172"/>
    <w:rsid w:val="00FE5236"/>
    <w:rsid w:val="00FE5977"/>
    <w:rsid w:val="00FE5A97"/>
    <w:rsid w:val="00FE5CB2"/>
    <w:rsid w:val="00FE6286"/>
    <w:rsid w:val="00FE65DB"/>
    <w:rsid w:val="00FE6755"/>
    <w:rsid w:val="00FE69BC"/>
    <w:rsid w:val="00FE6DEC"/>
    <w:rsid w:val="00FE6F99"/>
    <w:rsid w:val="00FE74E2"/>
    <w:rsid w:val="00FE74FC"/>
    <w:rsid w:val="00FE754F"/>
    <w:rsid w:val="00FE756B"/>
    <w:rsid w:val="00FE761D"/>
    <w:rsid w:val="00FE76FA"/>
    <w:rsid w:val="00FE7A09"/>
    <w:rsid w:val="00FE7CE5"/>
    <w:rsid w:val="00FE7D2A"/>
    <w:rsid w:val="00FF01C5"/>
    <w:rsid w:val="00FF0224"/>
    <w:rsid w:val="00FF0289"/>
    <w:rsid w:val="00FF02D6"/>
    <w:rsid w:val="00FF03D3"/>
    <w:rsid w:val="00FF0895"/>
    <w:rsid w:val="00FF0BBB"/>
    <w:rsid w:val="00FF0FA0"/>
    <w:rsid w:val="00FF1455"/>
    <w:rsid w:val="00FF1716"/>
    <w:rsid w:val="00FF1920"/>
    <w:rsid w:val="00FF1ACF"/>
    <w:rsid w:val="00FF1B22"/>
    <w:rsid w:val="00FF1D6F"/>
    <w:rsid w:val="00FF2A88"/>
    <w:rsid w:val="00FF2FE6"/>
    <w:rsid w:val="00FF37C5"/>
    <w:rsid w:val="00FF3A12"/>
    <w:rsid w:val="00FF3B00"/>
    <w:rsid w:val="00FF3CFC"/>
    <w:rsid w:val="00FF3FB4"/>
    <w:rsid w:val="00FF43AF"/>
    <w:rsid w:val="00FF43CE"/>
    <w:rsid w:val="00FF48E0"/>
    <w:rsid w:val="00FF5016"/>
    <w:rsid w:val="00FF5026"/>
    <w:rsid w:val="00FF5173"/>
    <w:rsid w:val="00FF51D0"/>
    <w:rsid w:val="00FF52CC"/>
    <w:rsid w:val="00FF52E3"/>
    <w:rsid w:val="00FF5312"/>
    <w:rsid w:val="00FF53DE"/>
    <w:rsid w:val="00FF578F"/>
    <w:rsid w:val="00FF5D1A"/>
    <w:rsid w:val="00FF609A"/>
    <w:rsid w:val="00FF6411"/>
    <w:rsid w:val="00FF6784"/>
    <w:rsid w:val="00FF67FC"/>
    <w:rsid w:val="00FF6CF6"/>
    <w:rsid w:val="00FF70CF"/>
    <w:rsid w:val="00FF72A3"/>
    <w:rsid w:val="00FF74BE"/>
    <w:rsid w:val="00FF78DB"/>
    <w:rsid w:val="00FF7BE7"/>
    <w:rsid w:val="02113C4D"/>
    <w:rsid w:val="02D14AA7"/>
    <w:rsid w:val="03E51953"/>
    <w:rsid w:val="03EF5E3C"/>
    <w:rsid w:val="041A1201"/>
    <w:rsid w:val="048B65DB"/>
    <w:rsid w:val="054E0AE2"/>
    <w:rsid w:val="056C48D3"/>
    <w:rsid w:val="05DC2648"/>
    <w:rsid w:val="05E70D01"/>
    <w:rsid w:val="06236CC8"/>
    <w:rsid w:val="06790EE8"/>
    <w:rsid w:val="081E4CC5"/>
    <w:rsid w:val="08EF2AC4"/>
    <w:rsid w:val="09877B1A"/>
    <w:rsid w:val="0A03162D"/>
    <w:rsid w:val="0BA713E7"/>
    <w:rsid w:val="0BF3451E"/>
    <w:rsid w:val="0E2BE4CE"/>
    <w:rsid w:val="0F6C6022"/>
    <w:rsid w:val="0F875FA0"/>
    <w:rsid w:val="10E327E0"/>
    <w:rsid w:val="112E1165"/>
    <w:rsid w:val="120F3667"/>
    <w:rsid w:val="12B63559"/>
    <w:rsid w:val="132D6A30"/>
    <w:rsid w:val="138328B3"/>
    <w:rsid w:val="14D6364D"/>
    <w:rsid w:val="161E6859"/>
    <w:rsid w:val="16360838"/>
    <w:rsid w:val="164F7028"/>
    <w:rsid w:val="170E3533"/>
    <w:rsid w:val="17845313"/>
    <w:rsid w:val="180A51BF"/>
    <w:rsid w:val="1949272F"/>
    <w:rsid w:val="1CE85B68"/>
    <w:rsid w:val="1D300464"/>
    <w:rsid w:val="1D366DAB"/>
    <w:rsid w:val="1DCF3D35"/>
    <w:rsid w:val="1E511BAF"/>
    <w:rsid w:val="1FD30CD6"/>
    <w:rsid w:val="20C35775"/>
    <w:rsid w:val="20D70CFF"/>
    <w:rsid w:val="237842F5"/>
    <w:rsid w:val="24E66A82"/>
    <w:rsid w:val="261B72CD"/>
    <w:rsid w:val="26210AA2"/>
    <w:rsid w:val="28545A36"/>
    <w:rsid w:val="28A5267A"/>
    <w:rsid w:val="29682EFC"/>
    <w:rsid w:val="2B080C74"/>
    <w:rsid w:val="2D216DF1"/>
    <w:rsid w:val="2DC05B90"/>
    <w:rsid w:val="2DC5554E"/>
    <w:rsid w:val="2DC83B29"/>
    <w:rsid w:val="2E0B42FD"/>
    <w:rsid w:val="300B6E23"/>
    <w:rsid w:val="304A4CA8"/>
    <w:rsid w:val="316E5FCD"/>
    <w:rsid w:val="323E71CC"/>
    <w:rsid w:val="33DC0CB2"/>
    <w:rsid w:val="33E73517"/>
    <w:rsid w:val="343B16F8"/>
    <w:rsid w:val="34A014E0"/>
    <w:rsid w:val="355433D3"/>
    <w:rsid w:val="361A6360"/>
    <w:rsid w:val="376D1B58"/>
    <w:rsid w:val="3AA56AE1"/>
    <w:rsid w:val="3AEF20EA"/>
    <w:rsid w:val="3D11396A"/>
    <w:rsid w:val="3DD550D9"/>
    <w:rsid w:val="3E710FD7"/>
    <w:rsid w:val="3EF4219B"/>
    <w:rsid w:val="3EFD138F"/>
    <w:rsid w:val="40597A9B"/>
    <w:rsid w:val="40A67BAB"/>
    <w:rsid w:val="41732588"/>
    <w:rsid w:val="42117FD8"/>
    <w:rsid w:val="42560B89"/>
    <w:rsid w:val="429E50CA"/>
    <w:rsid w:val="43800E3E"/>
    <w:rsid w:val="44F478DF"/>
    <w:rsid w:val="471B6394"/>
    <w:rsid w:val="476305AE"/>
    <w:rsid w:val="479C166A"/>
    <w:rsid w:val="479F1017"/>
    <w:rsid w:val="488618DF"/>
    <w:rsid w:val="49BB7B88"/>
    <w:rsid w:val="49F62572"/>
    <w:rsid w:val="4A326C6E"/>
    <w:rsid w:val="4A55403D"/>
    <w:rsid w:val="4B501B2A"/>
    <w:rsid w:val="4CEA3F70"/>
    <w:rsid w:val="4EA03A92"/>
    <w:rsid w:val="4EAA4EA9"/>
    <w:rsid w:val="4FF6098F"/>
    <w:rsid w:val="50A2019C"/>
    <w:rsid w:val="5119295C"/>
    <w:rsid w:val="51CD65C3"/>
    <w:rsid w:val="52A1087D"/>
    <w:rsid w:val="52BB0165"/>
    <w:rsid w:val="53BD067C"/>
    <w:rsid w:val="5413475E"/>
    <w:rsid w:val="54BB1E7A"/>
    <w:rsid w:val="55BE3094"/>
    <w:rsid w:val="57171175"/>
    <w:rsid w:val="57FF7BEA"/>
    <w:rsid w:val="58F76A8B"/>
    <w:rsid w:val="59ED7FC0"/>
    <w:rsid w:val="5A6A5EEC"/>
    <w:rsid w:val="5BAA4BA9"/>
    <w:rsid w:val="5C1D259C"/>
    <w:rsid w:val="5C5225CF"/>
    <w:rsid w:val="5F433D76"/>
    <w:rsid w:val="5FC85030"/>
    <w:rsid w:val="5FF505AE"/>
    <w:rsid w:val="60083E64"/>
    <w:rsid w:val="60D652C2"/>
    <w:rsid w:val="61891805"/>
    <w:rsid w:val="624501CC"/>
    <w:rsid w:val="632307A5"/>
    <w:rsid w:val="635213CD"/>
    <w:rsid w:val="63CD6B7E"/>
    <w:rsid w:val="643718AE"/>
    <w:rsid w:val="64424AFB"/>
    <w:rsid w:val="650B3714"/>
    <w:rsid w:val="655679DA"/>
    <w:rsid w:val="65D36C51"/>
    <w:rsid w:val="676D37E9"/>
    <w:rsid w:val="68360E8F"/>
    <w:rsid w:val="68580BCC"/>
    <w:rsid w:val="70A3154F"/>
    <w:rsid w:val="70CB6C95"/>
    <w:rsid w:val="70F7708B"/>
    <w:rsid w:val="72127040"/>
    <w:rsid w:val="72E4477B"/>
    <w:rsid w:val="739F0086"/>
    <w:rsid w:val="75406AFC"/>
    <w:rsid w:val="769A009D"/>
    <w:rsid w:val="76B615EA"/>
    <w:rsid w:val="77202353"/>
    <w:rsid w:val="78DA098C"/>
    <w:rsid w:val="79621F9C"/>
    <w:rsid w:val="7A2A1EFF"/>
    <w:rsid w:val="7B31541B"/>
    <w:rsid w:val="7B7D2122"/>
    <w:rsid w:val="7E1E4A67"/>
    <w:rsid w:val="7F6E7F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US" w:eastAsia="en-US" w:bidi="ar-SA"/>
    </w:rPr>
  </w:style>
  <w:style w:type="paragraph" w:styleId="2">
    <w:name w:val="heading 1"/>
    <w:next w:val="1"/>
    <w:link w:val="103"/>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Times New Roman" w:hAnsi="Times New Roman" w:eastAsia="time" w:cs="Times New Roman"/>
      <w:sz w:val="36"/>
      <w:lang w:val="en-GB" w:eastAsia="en-US" w:bidi="ar-SA"/>
    </w:rPr>
  </w:style>
  <w:style w:type="paragraph" w:styleId="3">
    <w:name w:val="heading 2"/>
    <w:basedOn w:val="2"/>
    <w:next w:val="1"/>
    <w:link w:val="104"/>
    <w:qFormat/>
    <w:uiPriority w:val="0"/>
    <w:pPr>
      <w:numPr>
        <w:ilvl w:val="1"/>
        <w:numId w:val="1"/>
      </w:numPr>
      <w:pBdr>
        <w:top w:val="none" w:color="auto" w:sz="0" w:space="0"/>
      </w:pBdr>
      <w:spacing w:before="180"/>
      <w:ind w:left="0" w:firstLine="0"/>
      <w:outlineLvl w:val="1"/>
    </w:pPr>
    <w:rPr>
      <w:rFonts w:ascii="Arial" w:hAnsi="Arial"/>
      <w:sz w:val="32"/>
    </w:rPr>
  </w:style>
  <w:style w:type="paragraph" w:styleId="4">
    <w:name w:val="heading 3"/>
    <w:basedOn w:val="3"/>
    <w:next w:val="1"/>
    <w:link w:val="105"/>
    <w:qFormat/>
    <w:uiPriority w:val="0"/>
    <w:pPr>
      <w:numPr>
        <w:ilvl w:val="2"/>
      </w:numPr>
      <w:spacing w:before="120"/>
      <w:outlineLvl w:val="2"/>
    </w:pPr>
    <w:rPr>
      <w:sz w:val="28"/>
    </w:rPr>
  </w:style>
  <w:style w:type="paragraph" w:styleId="5">
    <w:name w:val="heading 4"/>
    <w:basedOn w:val="4"/>
    <w:next w:val="1"/>
    <w:link w:val="106"/>
    <w:qFormat/>
    <w:uiPriority w:val="0"/>
    <w:pPr>
      <w:numPr>
        <w:ilvl w:val="3"/>
      </w:numPr>
      <w:outlineLvl w:val="3"/>
    </w:pPr>
    <w:rPr>
      <w:sz w:val="24"/>
    </w:rPr>
  </w:style>
  <w:style w:type="paragraph" w:styleId="6">
    <w:name w:val="heading 5"/>
    <w:basedOn w:val="5"/>
    <w:next w:val="1"/>
    <w:link w:val="107"/>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8"/>
    <w:qFormat/>
    <w:uiPriority w:val="0"/>
    <w:pPr>
      <w:spacing w:before="120" w:after="120"/>
    </w:pPr>
    <w:rPr>
      <w:b/>
      <w:bCs/>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7"/>
    <w:qFormat/>
    <w:uiPriority w:val="0"/>
  </w:style>
  <w:style w:type="paragraph" w:styleId="31">
    <w:name w:val="Body Text 3"/>
    <w:basedOn w:val="1"/>
    <w:qFormat/>
    <w:uiPriority w:val="0"/>
    <w:rPr>
      <w:i/>
    </w:rPr>
  </w:style>
  <w:style w:type="paragraph" w:styleId="32">
    <w:name w:val="Body Text"/>
    <w:basedOn w:val="1"/>
    <w:link w:val="141"/>
    <w:qFormat/>
    <w:uiPriority w:val="0"/>
    <w:pPr>
      <w:spacing w:after="120"/>
      <w:jc w:val="both"/>
    </w:pPr>
    <w:rPr>
      <w:rFonts w:ascii="Times" w:hAnsi="Times"/>
      <w:szCs w:val="24"/>
    </w:rPr>
  </w:style>
  <w:style w:type="paragraph" w:styleId="33">
    <w:name w:val="Plain Text"/>
    <w:basedOn w:val="1"/>
    <w:link w:val="160"/>
    <w:qFormat/>
    <w:uiPriority w:val="0"/>
    <w:pPr>
      <w:overflowPunct/>
      <w:autoSpaceDE/>
      <w:autoSpaceDN/>
      <w:adjustRightInd/>
      <w:textAlignment w:val="auto"/>
    </w:pPr>
    <w:rPr>
      <w:rFonts w:ascii="Courier New" w:hAnsi="Courier New" w:eastAsia="Malgun Gothic"/>
      <w:lang w:val="nb-NO"/>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ody Text Indent 2"/>
    <w:basedOn w:val="1"/>
    <w:link w:val="170"/>
    <w:semiHidden/>
    <w:unhideWhenUsed/>
    <w:qFormat/>
    <w:uiPriority w:val="0"/>
    <w:pPr>
      <w:spacing w:after="120" w:line="480" w:lineRule="auto"/>
      <w:ind w:left="420" w:leftChars="200"/>
    </w:pPr>
  </w:style>
  <w:style w:type="paragraph" w:styleId="37">
    <w:name w:val="Balloon Text"/>
    <w:basedOn w:val="1"/>
    <w:link w:val="163"/>
    <w:qFormat/>
    <w:uiPriority w:val="0"/>
    <w:rPr>
      <w:rFonts w:ascii="Tahoma" w:hAnsi="Tahoma" w:cs="Tahoma"/>
      <w:sz w:val="16"/>
      <w:szCs w:val="16"/>
    </w:rPr>
  </w:style>
  <w:style w:type="paragraph" w:styleId="38">
    <w:name w:val="footer"/>
    <w:basedOn w:val="39"/>
    <w:link w:val="127"/>
    <w:qFormat/>
    <w:uiPriority w:val="0"/>
    <w:pPr>
      <w:jc w:val="center"/>
    </w:pPr>
    <w:rPr>
      <w:i/>
    </w:rPr>
  </w:style>
  <w:style w:type="paragraph" w:styleId="39">
    <w:name w:val="header"/>
    <w:link w:val="137"/>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40">
    <w:name w:val="index heading"/>
    <w:basedOn w:val="1"/>
    <w:next w:val="1"/>
    <w:semiHidden/>
    <w:qFormat/>
    <w:uiPriority w:val="0"/>
    <w:pPr>
      <w:pBdr>
        <w:top w:val="single" w:color="auto" w:sz="12" w:space="0"/>
      </w:pBdr>
      <w:overflowPunct/>
      <w:autoSpaceDE/>
      <w:autoSpaceDN/>
      <w:adjustRightInd/>
      <w:spacing w:before="360" w:after="240"/>
      <w:textAlignment w:val="auto"/>
    </w:pPr>
    <w:rPr>
      <w:rFonts w:eastAsia="Malgun Gothic"/>
      <w:b/>
      <w:i/>
      <w:sz w:val="26"/>
      <w:lang w:val="en-GB"/>
    </w:rPr>
  </w:style>
  <w:style w:type="paragraph" w:styleId="41">
    <w:name w:val="Subtitle"/>
    <w:basedOn w:val="1"/>
    <w:next w:val="1"/>
    <w:link w:val="115"/>
    <w:qFormat/>
    <w:uiPriority w:val="0"/>
    <w:pPr>
      <w:spacing w:after="60"/>
      <w:jc w:val="center"/>
      <w:outlineLvl w:val="1"/>
    </w:pPr>
    <w:rPr>
      <w:rFonts w:ascii="Cambria" w:hAnsi="Cambria"/>
      <w:sz w:val="24"/>
      <w:szCs w:val="24"/>
    </w:rPr>
  </w:style>
  <w:style w:type="paragraph" w:styleId="42">
    <w:name w:val="footnote text"/>
    <w:basedOn w:val="1"/>
    <w:link w:val="169"/>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5"/>
    <w:next w:val="1"/>
    <w:qFormat/>
    <w:uiPriority w:val="39"/>
    <w:pPr>
      <w:ind w:left="1418" w:hanging="1418"/>
    </w:pPr>
  </w:style>
  <w:style w:type="paragraph" w:styleId="46">
    <w:name w:val="Body Text 2"/>
    <w:basedOn w:val="1"/>
    <w:qFormat/>
    <w:uiPriority w:val="0"/>
    <w:pPr>
      <w:tabs>
        <w:tab w:val="left" w:pos="1985"/>
      </w:tabs>
      <w:spacing w:after="0"/>
      <w:jc w:val="both"/>
    </w:pPr>
    <w:rPr>
      <w:rFonts w:ascii="Arial" w:hAnsi="Arial"/>
      <w:sz w:val="22"/>
    </w:r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30"/>
    <w:next w:val="30"/>
    <w:link w:val="138"/>
    <w:qFormat/>
    <w:uiPriority w:val="0"/>
    <w:rPr>
      <w:b/>
      <w:bCs/>
    </w:rPr>
  </w:style>
  <w:style w:type="table" w:styleId="52">
    <w:name w:val="Table Grid"/>
    <w:basedOn w:val="51"/>
    <w:qFormat/>
    <w:uiPriority w:val="3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basedOn w:val="53"/>
    <w:unhideWhenUsed/>
    <w:qFormat/>
    <w:uiPriority w:val="0"/>
    <w:rPr>
      <w:color w:val="954F72" w:themeColor="followedHyperlink"/>
      <w:u w:val="single"/>
      <w14:textFill>
        <w14:solidFill>
          <w14:schemeClr w14:val="folHlink"/>
        </w14:solidFill>
      </w14:textFill>
    </w:rPr>
  </w:style>
  <w:style w:type="character" w:styleId="56">
    <w:name w:val="Hyperlink"/>
    <w:qFormat/>
    <w:uiPriority w:val="99"/>
    <w:rPr>
      <w:color w:val="0000FF"/>
      <w:u w:val="single"/>
    </w:rPr>
  </w:style>
  <w:style w:type="character" w:styleId="57">
    <w:name w:val="annotation reference"/>
    <w:qFormat/>
    <w:uiPriority w:val="0"/>
    <w:rPr>
      <w:sz w:val="16"/>
      <w:szCs w:val="16"/>
    </w:rPr>
  </w:style>
  <w:style w:type="character" w:styleId="58">
    <w:name w:val="footnote reference"/>
    <w:semiHidden/>
    <w:qFormat/>
    <w:uiPriority w:val="0"/>
    <w:rPr>
      <w:b/>
      <w:position w:val="6"/>
      <w:sz w:val="16"/>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1">
    <w:name w:val="TT"/>
    <w:basedOn w:val="2"/>
    <w:next w:val="1"/>
    <w:qFormat/>
    <w:uiPriority w:val="0"/>
    <w:pPr>
      <w:outlineLvl w:val="9"/>
    </w:pPr>
  </w:style>
  <w:style w:type="paragraph" w:customStyle="1" w:styleId="62">
    <w:name w:val="TAH"/>
    <w:basedOn w:val="63"/>
    <w:link w:val="139"/>
    <w:qFormat/>
    <w:uiPriority w:val="0"/>
    <w:rPr>
      <w:b/>
    </w:rPr>
  </w:style>
  <w:style w:type="paragraph" w:customStyle="1" w:styleId="63">
    <w:name w:val="TAC"/>
    <w:basedOn w:val="64"/>
    <w:link w:val="122"/>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link w:val="148"/>
    <w:qFormat/>
    <w:uiPriority w:val="0"/>
    <w:pPr>
      <w:keepNext w:val="0"/>
      <w:spacing w:before="0" w:after="240"/>
    </w:pPr>
  </w:style>
  <w:style w:type="paragraph" w:customStyle="1" w:styleId="66">
    <w:name w:val="TH"/>
    <w:basedOn w:val="1"/>
    <w:link w:val="123"/>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5">
    <w:name w:val="Editor's Note"/>
    <w:basedOn w:val="67"/>
    <w:link w:val="147"/>
    <w:qFormat/>
    <w:uiPriority w:val="0"/>
    <w:rPr>
      <w:color w:val="FF0000"/>
    </w:rPr>
  </w:style>
  <w:style w:type="paragraph" w:customStyle="1" w:styleId="86">
    <w:name w:val="B1"/>
    <w:basedOn w:val="14"/>
    <w:link w:val="135"/>
    <w:qFormat/>
    <w:uiPriority w:val="0"/>
  </w:style>
  <w:style w:type="paragraph" w:customStyle="1" w:styleId="87">
    <w:name w:val="B2"/>
    <w:basedOn w:val="13"/>
    <w:link w:val="143"/>
    <w:qFormat/>
    <w:uiPriority w:val="0"/>
  </w:style>
  <w:style w:type="paragraph" w:customStyle="1" w:styleId="88">
    <w:name w:val="B3"/>
    <w:basedOn w:val="12"/>
    <w:link w:val="149"/>
    <w:qFormat/>
    <w:uiPriority w:val="0"/>
  </w:style>
  <w:style w:type="paragraph" w:customStyle="1" w:styleId="89">
    <w:name w:val="B4"/>
    <w:basedOn w:val="44"/>
    <w:qFormat/>
    <w:uiPriority w:val="0"/>
  </w:style>
  <w:style w:type="paragraph" w:customStyle="1" w:styleId="90">
    <w:name w:val="B5"/>
    <w:basedOn w:val="43"/>
    <w:qFormat/>
    <w:uiPriority w:val="0"/>
  </w:style>
  <w:style w:type="paragraph" w:customStyle="1" w:styleId="91">
    <w:name w:val="ZTD"/>
    <w:basedOn w:val="79"/>
    <w:qFormat/>
    <w:uiPriority w:val="0"/>
    <w:pPr>
      <w:framePr w:hRule="auto" w:y="852"/>
    </w:pPr>
    <w:rPr>
      <w:i w:val="0"/>
      <w:sz w:val="40"/>
    </w:rPr>
  </w:style>
  <w:style w:type="character" w:customStyle="1" w:styleId="92">
    <w:name w:val="MTEquationSection"/>
    <w:qFormat/>
    <w:uiPriority w:val="0"/>
    <w:rPr>
      <w:rFonts w:ascii="Arial" w:hAnsi="Arial"/>
      <w:color w:val="FF0000"/>
      <w:sz w:val="24"/>
    </w:rPr>
  </w:style>
  <w:style w:type="paragraph" w:customStyle="1" w:styleId="93">
    <w:name w:val="Bulleted o 1"/>
    <w:basedOn w:val="1"/>
    <w:qFormat/>
    <w:uiPriority w:val="0"/>
    <w:pPr>
      <w:numPr>
        <w:ilvl w:val="0"/>
        <w:numId w:val="2"/>
      </w:numPr>
    </w:pPr>
  </w:style>
  <w:style w:type="paragraph" w:customStyle="1" w:styleId="94">
    <w:name w:val="text"/>
    <w:basedOn w:val="1"/>
    <w:qFormat/>
    <w:uiPriority w:val="0"/>
    <w:pPr>
      <w:spacing w:after="240"/>
      <w:jc w:val="both"/>
    </w:pPr>
    <w:rPr>
      <w:sz w:val="24"/>
      <w:lang w:eastAsia="zh-CN"/>
    </w:rPr>
  </w:style>
  <w:style w:type="paragraph" w:customStyle="1" w:styleId="95">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6">
    <w:name w:val="00 BodyText"/>
    <w:basedOn w:val="1"/>
    <w:qFormat/>
    <w:uiPriority w:val="0"/>
    <w:pPr>
      <w:spacing w:after="220"/>
    </w:pPr>
    <w:rPr>
      <w:rFonts w:ascii="Arial" w:hAnsi="Arial"/>
      <w:sz w:val="22"/>
    </w:rPr>
  </w:style>
  <w:style w:type="paragraph" w:customStyle="1" w:styleId="97">
    <w:name w:val="11 BodyText"/>
    <w:basedOn w:val="1"/>
    <w:qFormat/>
    <w:uiPriority w:val="0"/>
    <w:pPr>
      <w:spacing w:after="220"/>
      <w:ind w:left="1298"/>
    </w:pPr>
    <w:rPr>
      <w:rFonts w:ascii="Arial" w:hAnsi="Arial"/>
      <w:sz w:val="22"/>
    </w:rPr>
  </w:style>
  <w:style w:type="paragraph" w:customStyle="1" w:styleId="98">
    <w:name w:val="table"/>
    <w:basedOn w:val="94"/>
    <w:next w:val="94"/>
    <w:qFormat/>
    <w:uiPriority w:val="0"/>
    <w:pPr>
      <w:spacing w:after="0"/>
      <w:jc w:val="center"/>
    </w:pPr>
    <w:rPr>
      <w:sz w:val="20"/>
    </w:rPr>
  </w:style>
  <w:style w:type="paragraph" w:customStyle="1" w:styleId="99">
    <w:name w:val="body Char Char Char"/>
    <w:basedOn w:val="1"/>
    <w:qFormat/>
    <w:uiPriority w:val="0"/>
    <w:pPr>
      <w:tabs>
        <w:tab w:val="left" w:pos="2160"/>
      </w:tabs>
      <w:spacing w:before="120" w:after="120" w:line="280" w:lineRule="atLeast"/>
      <w:jc w:val="both"/>
    </w:pPr>
    <w:rPr>
      <w:rFonts w:ascii="New York" w:hAnsi="New York"/>
      <w:sz w:val="24"/>
    </w:rPr>
  </w:style>
  <w:style w:type="character" w:customStyle="1" w:styleId="100">
    <w:name w:val="Heading 1 Char"/>
    <w:qFormat/>
    <w:uiPriority w:val="0"/>
    <w:rPr>
      <w:rFonts w:ascii="Arial" w:hAnsi="Arial"/>
      <w:sz w:val="36"/>
      <w:lang w:val="en-GB" w:eastAsia="en-US" w:bidi="ar-SA"/>
    </w:rPr>
  </w:style>
  <w:style w:type="paragraph" w:customStyle="1" w:styleId="101">
    <w:name w:val="body"/>
    <w:basedOn w:val="1"/>
    <w:qFormat/>
    <w:uiPriority w:val="0"/>
    <w:pPr>
      <w:tabs>
        <w:tab w:val="left" w:pos="2160"/>
      </w:tabs>
      <w:spacing w:before="120" w:after="120" w:line="280" w:lineRule="atLeast"/>
      <w:jc w:val="both"/>
    </w:pPr>
    <w:rPr>
      <w:rFonts w:ascii="New York" w:hAnsi="New York"/>
      <w:sz w:val="24"/>
    </w:rPr>
  </w:style>
  <w:style w:type="paragraph" w:customStyle="1" w:styleId="102">
    <w:name w:val="CR Cover Page"/>
    <w:qFormat/>
    <w:uiPriority w:val="0"/>
    <w:pPr>
      <w:spacing w:after="120"/>
    </w:pPr>
    <w:rPr>
      <w:rFonts w:ascii="Arial" w:hAnsi="Arial" w:eastAsia="MS Mincho" w:cs="Times New Roman"/>
      <w:lang w:val="en-GB" w:eastAsia="en-US" w:bidi="ar-SA"/>
    </w:rPr>
  </w:style>
  <w:style w:type="character" w:customStyle="1" w:styleId="103">
    <w:name w:val="标题 1 字符"/>
    <w:link w:val="2"/>
    <w:qFormat/>
    <w:uiPriority w:val="0"/>
    <w:rPr>
      <w:rFonts w:ascii="Times New Roman" w:hAnsi="Times New Roman" w:eastAsia="time"/>
      <w:sz w:val="36"/>
      <w:lang w:val="en-GB" w:eastAsia="en-US"/>
    </w:rPr>
  </w:style>
  <w:style w:type="character" w:customStyle="1" w:styleId="104">
    <w:name w:val="标题 2 字符"/>
    <w:link w:val="3"/>
    <w:qFormat/>
    <w:uiPriority w:val="0"/>
    <w:rPr>
      <w:rFonts w:ascii="Arial" w:hAnsi="Arial" w:eastAsia="time"/>
      <w:sz w:val="32"/>
      <w:lang w:val="en-GB" w:eastAsia="en-US"/>
    </w:rPr>
  </w:style>
  <w:style w:type="character" w:customStyle="1" w:styleId="105">
    <w:name w:val="标题 3 字符"/>
    <w:link w:val="4"/>
    <w:qFormat/>
    <w:uiPriority w:val="0"/>
    <w:rPr>
      <w:rFonts w:ascii="Arial" w:hAnsi="Arial"/>
      <w:sz w:val="28"/>
      <w:lang w:val="en-GB" w:eastAsia="en-US"/>
    </w:rPr>
  </w:style>
  <w:style w:type="character" w:customStyle="1" w:styleId="106">
    <w:name w:val="标题 4 字符"/>
    <w:link w:val="5"/>
    <w:qFormat/>
    <w:uiPriority w:val="0"/>
    <w:rPr>
      <w:rFonts w:ascii="Arial" w:hAnsi="Arial"/>
      <w:sz w:val="24"/>
      <w:lang w:val="en-GB" w:eastAsia="en-US"/>
    </w:rPr>
  </w:style>
  <w:style w:type="character" w:customStyle="1" w:styleId="107">
    <w:name w:val="标题 5 字符"/>
    <w:link w:val="6"/>
    <w:qFormat/>
    <w:uiPriority w:val="0"/>
    <w:rPr>
      <w:rFonts w:ascii="Arial" w:hAnsi="Arial"/>
      <w:sz w:val="22"/>
      <w:lang w:val="en-GB" w:eastAsia="en-US"/>
    </w:rPr>
  </w:style>
  <w:style w:type="character" w:customStyle="1" w:styleId="108">
    <w:name w:val="Char Char3"/>
    <w:qFormat/>
    <w:uiPriority w:val="0"/>
    <w:rPr>
      <w:rFonts w:ascii="Arial" w:hAnsi="Arial"/>
      <w:sz w:val="36"/>
      <w:lang w:val="en-GB" w:eastAsia="en-US" w:bidi="ar-SA"/>
    </w:rPr>
  </w:style>
  <w:style w:type="character" w:customStyle="1" w:styleId="109">
    <w:name w:val="Char Char2"/>
    <w:qFormat/>
    <w:uiPriority w:val="0"/>
    <w:rPr>
      <w:rFonts w:ascii="Arial" w:hAnsi="Arial"/>
      <w:sz w:val="32"/>
      <w:lang w:val="en-GB" w:eastAsia="en-US" w:bidi="ar-SA"/>
    </w:rPr>
  </w:style>
  <w:style w:type="character" w:customStyle="1" w:styleId="110">
    <w:name w:val="Char Char1"/>
    <w:qFormat/>
    <w:uiPriority w:val="0"/>
    <w:rPr>
      <w:rFonts w:ascii="Arial" w:hAnsi="Arial"/>
      <w:sz w:val="28"/>
      <w:lang w:val="en-GB" w:eastAsia="en-US" w:bidi="ar-SA"/>
    </w:rPr>
  </w:style>
  <w:style w:type="character" w:customStyle="1" w:styleId="111">
    <w:name w:val="h4 Char Char"/>
    <w:qFormat/>
    <w:uiPriority w:val="0"/>
    <w:rPr>
      <w:rFonts w:ascii="Arial" w:hAnsi="Arial"/>
      <w:sz w:val="24"/>
      <w:lang w:val="en-GB" w:eastAsia="en-US" w:bidi="ar-SA"/>
    </w:rPr>
  </w:style>
  <w:style w:type="character" w:customStyle="1" w:styleId="112">
    <w:name w:val="Char Char"/>
    <w:qFormat/>
    <w:uiPriority w:val="0"/>
    <w:rPr>
      <w:rFonts w:ascii="Arial" w:hAnsi="Arial"/>
      <w:sz w:val="22"/>
      <w:lang w:val="en-GB" w:eastAsia="en-US" w:bidi="ar-SA"/>
    </w:rPr>
  </w:style>
  <w:style w:type="paragraph" w:styleId="113">
    <w:name w:val="List Paragraph"/>
    <w:basedOn w:val="1"/>
    <w:link w:val="124"/>
    <w:qFormat/>
    <w:uiPriority w:val="34"/>
    <w:pPr>
      <w:overflowPunct/>
      <w:autoSpaceDE/>
      <w:autoSpaceDN/>
      <w:adjustRightInd/>
      <w:spacing w:before="120"/>
      <w:ind w:left="720"/>
      <w:textAlignment w:val="auto"/>
    </w:pPr>
    <w:rPr>
      <w:rFonts w:eastAsia="Times New Roman"/>
      <w:szCs w:val="22"/>
    </w:rPr>
  </w:style>
  <w:style w:type="paragraph" w:customStyle="1" w:styleId="114">
    <w:name w:val="Reference"/>
    <w:basedOn w:val="68"/>
    <w:qFormat/>
    <w:uiPriority w:val="0"/>
    <w:pPr>
      <w:tabs>
        <w:tab w:val="left" w:pos="360"/>
      </w:tabs>
      <w:suppressAutoHyphens/>
      <w:autoSpaceDN/>
      <w:adjustRightInd/>
      <w:ind w:left="0" w:firstLine="0"/>
    </w:pPr>
    <w:rPr>
      <w:lang w:eastAsia="ar-SA"/>
    </w:rPr>
  </w:style>
  <w:style w:type="character" w:customStyle="1" w:styleId="115">
    <w:name w:val="副标题 字符"/>
    <w:link w:val="41"/>
    <w:qFormat/>
    <w:uiPriority w:val="0"/>
    <w:rPr>
      <w:rFonts w:ascii="Cambria" w:hAnsi="Cambria" w:eastAsia="Times New Roman" w:cs="Times New Roman"/>
      <w:sz w:val="24"/>
      <w:szCs w:val="24"/>
      <w:lang w:val="en-GB"/>
    </w:rPr>
  </w:style>
  <w:style w:type="paragraph" w:customStyle="1" w:styleId="116">
    <w:name w:val="Revision"/>
    <w:hidden/>
    <w:semiHidden/>
    <w:qFormat/>
    <w:uiPriority w:val="99"/>
    <w:rPr>
      <w:rFonts w:ascii="Times New Roman" w:hAnsi="Times New Roman" w:eastAsia="宋体" w:cs="Times New Roman"/>
      <w:lang w:val="en-GB" w:eastAsia="en-US" w:bidi="ar-SA"/>
    </w:rPr>
  </w:style>
  <w:style w:type="character" w:customStyle="1" w:styleId="117">
    <w:name w:val="批注文字 字符"/>
    <w:link w:val="30"/>
    <w:qFormat/>
    <w:uiPriority w:val="0"/>
    <w:rPr>
      <w:rFonts w:ascii="Times New Roman" w:hAnsi="Times New Roman"/>
      <w:lang w:val="en-GB"/>
    </w:rPr>
  </w:style>
  <w:style w:type="paragraph" w:customStyle="1" w:styleId="118">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11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120">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1">
    <w:name w:val="Placeholder Text"/>
    <w:semiHidden/>
    <w:qFormat/>
    <w:uiPriority w:val="99"/>
    <w:rPr>
      <w:color w:val="808080"/>
    </w:rPr>
  </w:style>
  <w:style w:type="character" w:customStyle="1" w:styleId="122">
    <w:name w:val="TAC Char"/>
    <w:link w:val="63"/>
    <w:qFormat/>
    <w:uiPriority w:val="0"/>
    <w:rPr>
      <w:rFonts w:ascii="Arial" w:hAnsi="Arial"/>
      <w:sz w:val="18"/>
      <w:lang w:val="en-GB" w:eastAsia="en-US"/>
    </w:rPr>
  </w:style>
  <w:style w:type="character" w:customStyle="1" w:styleId="123">
    <w:name w:val="TH Char"/>
    <w:link w:val="66"/>
    <w:qFormat/>
    <w:uiPriority w:val="0"/>
    <w:rPr>
      <w:rFonts w:ascii="Arial" w:hAnsi="Arial"/>
      <w:b/>
      <w:lang w:val="en-GB" w:eastAsia="en-US"/>
    </w:rPr>
  </w:style>
  <w:style w:type="character" w:customStyle="1" w:styleId="124">
    <w:name w:val="列出段落 字符"/>
    <w:link w:val="113"/>
    <w:qFormat/>
    <w:locked/>
    <w:uiPriority w:val="34"/>
    <w:rPr>
      <w:rFonts w:ascii="Times New Roman" w:hAnsi="Times New Roman" w:eastAsia="Times New Roman"/>
      <w:szCs w:val="22"/>
      <w:lang w:eastAsia="en-US"/>
    </w:rPr>
  </w:style>
  <w:style w:type="paragraph" w:customStyle="1" w:styleId="125">
    <w:name w:val="References"/>
    <w:basedOn w:val="1"/>
    <w:qFormat/>
    <w:uiPriority w:val="0"/>
    <w:pPr>
      <w:numPr>
        <w:ilvl w:val="0"/>
        <w:numId w:val="3"/>
      </w:numPr>
      <w:overflowPunct/>
      <w:adjustRightInd/>
      <w:snapToGrid w:val="0"/>
      <w:spacing w:after="60"/>
      <w:jc w:val="both"/>
      <w:textAlignment w:val="auto"/>
    </w:pPr>
    <w:rPr>
      <w:szCs w:val="16"/>
    </w:rPr>
  </w:style>
  <w:style w:type="table" w:customStyle="1" w:styleId="126">
    <w:name w:val="网格表 5 深色 - 着色 1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character" w:customStyle="1" w:styleId="127">
    <w:name w:val="页脚 字符"/>
    <w:basedOn w:val="53"/>
    <w:link w:val="38"/>
    <w:qFormat/>
    <w:uiPriority w:val="0"/>
    <w:rPr>
      <w:rFonts w:ascii="Arial" w:hAnsi="Arial"/>
      <w:b/>
      <w:i/>
      <w:sz w:val="18"/>
      <w:lang w:eastAsia="en-US"/>
    </w:rPr>
  </w:style>
  <w:style w:type="character" w:customStyle="1" w:styleId="128">
    <w:name w:val="题注 字符"/>
    <w:link w:val="28"/>
    <w:qFormat/>
    <w:locked/>
    <w:uiPriority w:val="0"/>
    <w:rPr>
      <w:rFonts w:ascii="Times New Roman" w:hAnsi="Times New Roman"/>
      <w:b/>
      <w:bCs/>
      <w:lang w:eastAsia="en-US"/>
    </w:rPr>
  </w:style>
  <w:style w:type="table" w:customStyle="1" w:styleId="129">
    <w:name w:val="网格型浅色1"/>
    <w:basedOn w:val="51"/>
    <w:qFormat/>
    <w:uiPriority w:val="40"/>
    <w:rPr>
      <w:rFonts w:eastAsia="Times New Roman"/>
      <w:lang w:eastAsia="en-US"/>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30">
    <w:name w:val="网格表 5 深色 - 着色 5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table" w:customStyle="1" w:styleId="131">
    <w:name w:val="网格表 5 深色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132">
    <w:name w:val="网格表 4 - 着色 21"/>
    <w:basedOn w:val="51"/>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character" w:customStyle="1" w:styleId="133">
    <w:name w:val="Unresolved Mention1"/>
    <w:basedOn w:val="53"/>
    <w:semiHidden/>
    <w:unhideWhenUsed/>
    <w:qFormat/>
    <w:uiPriority w:val="99"/>
    <w:rPr>
      <w:color w:val="808080"/>
      <w:shd w:val="clear" w:color="auto" w:fill="E6E6E6"/>
    </w:rPr>
  </w:style>
  <w:style w:type="table" w:customStyle="1" w:styleId="134">
    <w:name w:val="网格表 4 - 着色 11"/>
    <w:basedOn w:val="51"/>
    <w:qFormat/>
    <w:uiPriority w:val="49"/>
    <w:rPr>
      <w:rFonts w:asciiTheme="minorHAnsi" w:hAnsiTheme="minorHAnsi" w:eastAsiaTheme="minorEastAsia" w:cstheme="minorBidi"/>
      <w:sz w:val="22"/>
      <w:szCs w:val="22"/>
      <w:lang w:eastAsia="ko-KR"/>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5">
    <w:name w:val="B1 (文字)"/>
    <w:link w:val="86"/>
    <w:qFormat/>
    <w:locked/>
    <w:uiPriority w:val="99"/>
    <w:rPr>
      <w:rFonts w:ascii="Times New Roman" w:hAnsi="Times New Roman"/>
      <w:lang w:eastAsia="en-US"/>
    </w:rPr>
  </w:style>
  <w:style w:type="paragraph" w:customStyle="1" w:styleId="136">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137">
    <w:name w:val="页眉 字符"/>
    <w:basedOn w:val="53"/>
    <w:link w:val="39"/>
    <w:qFormat/>
    <w:locked/>
    <w:uiPriority w:val="0"/>
    <w:rPr>
      <w:rFonts w:ascii="Arial" w:hAnsi="Arial"/>
      <w:b/>
      <w:sz w:val="18"/>
      <w:lang w:eastAsia="en-US"/>
    </w:rPr>
  </w:style>
  <w:style w:type="character" w:customStyle="1" w:styleId="138">
    <w:name w:val="批注主题 字符"/>
    <w:basedOn w:val="117"/>
    <w:link w:val="50"/>
    <w:qFormat/>
    <w:uiPriority w:val="0"/>
    <w:rPr>
      <w:rFonts w:ascii="Times New Roman" w:hAnsi="Times New Roman"/>
      <w:b/>
      <w:bCs/>
      <w:lang w:val="en-GB"/>
    </w:rPr>
  </w:style>
  <w:style w:type="character" w:customStyle="1" w:styleId="139">
    <w:name w:val="TAH Car"/>
    <w:link w:val="62"/>
    <w:qFormat/>
    <w:uiPriority w:val="0"/>
    <w:rPr>
      <w:rFonts w:ascii="Arial" w:hAnsi="Arial"/>
      <w:b/>
      <w:sz w:val="18"/>
      <w:lang w:eastAsia="en-US"/>
    </w:rPr>
  </w:style>
  <w:style w:type="character" w:customStyle="1" w:styleId="140">
    <w:name w:val="TAH Char"/>
    <w:qFormat/>
    <w:uiPriority w:val="0"/>
    <w:rPr>
      <w:rFonts w:ascii="Arial" w:hAnsi="Arial" w:eastAsia="宋体"/>
      <w:b/>
      <w:sz w:val="18"/>
      <w:lang w:val="en-GB" w:eastAsia="en-US" w:bidi="ar-SA"/>
    </w:rPr>
  </w:style>
  <w:style w:type="character" w:customStyle="1" w:styleId="141">
    <w:name w:val="正文文本 字符"/>
    <w:basedOn w:val="53"/>
    <w:link w:val="32"/>
    <w:qFormat/>
    <w:uiPriority w:val="0"/>
    <w:rPr>
      <w:rFonts w:ascii="Times" w:hAnsi="Times"/>
      <w:szCs w:val="24"/>
      <w:lang w:eastAsia="en-US"/>
    </w:rPr>
  </w:style>
  <w:style w:type="paragraph" w:customStyle="1" w:styleId="142">
    <w:name w:val="Überschrift 1.H1"/>
    <w:basedOn w:val="1"/>
    <w:next w:val="1"/>
    <w:qFormat/>
    <w:uiPriority w:val="0"/>
    <w:pPr>
      <w:keepNext/>
      <w:keepLines/>
      <w:numPr>
        <w:ilvl w:val="0"/>
        <w:numId w:val="4"/>
      </w:numPr>
      <w:pBdr>
        <w:top w:val="single" w:color="auto" w:sz="12" w:space="3"/>
      </w:pBdr>
      <w:spacing w:before="240"/>
      <w:outlineLvl w:val="0"/>
    </w:pPr>
    <w:rPr>
      <w:rFonts w:ascii="Arial" w:hAnsi="Arial" w:eastAsia="Times New Roman"/>
      <w:sz w:val="36"/>
      <w:lang w:val="en-GB" w:eastAsia="de-DE"/>
    </w:rPr>
  </w:style>
  <w:style w:type="character" w:customStyle="1" w:styleId="143">
    <w:name w:val="B2 Char"/>
    <w:link w:val="87"/>
    <w:qFormat/>
    <w:uiPriority w:val="0"/>
    <w:rPr>
      <w:rFonts w:ascii="Times New Roman" w:hAnsi="Times New Roman"/>
      <w:lang w:eastAsia="en-US"/>
    </w:rPr>
  </w:style>
  <w:style w:type="paragraph" w:customStyle="1" w:styleId="144">
    <w:name w:val="RAN1 bullet3"/>
    <w:basedOn w:val="1"/>
    <w:qFormat/>
    <w:uiPriority w:val="0"/>
    <w:pPr>
      <w:numPr>
        <w:ilvl w:val="2"/>
        <w:numId w:val="5"/>
      </w:numPr>
      <w:tabs>
        <w:tab w:val="left" w:pos="1440"/>
      </w:tabs>
      <w:overflowPunct/>
      <w:autoSpaceDE/>
      <w:autoSpaceDN/>
      <w:adjustRightInd/>
      <w:spacing w:after="0"/>
      <w:textAlignment w:val="auto"/>
    </w:pPr>
    <w:rPr>
      <w:rFonts w:ascii="Times" w:hAnsi="Times" w:eastAsia="Batang"/>
    </w:rPr>
  </w:style>
  <w:style w:type="character" w:customStyle="1" w:styleId="145">
    <w:name w:val="B1 Zchn"/>
    <w:qFormat/>
    <w:uiPriority w:val="0"/>
    <w:rPr>
      <w:lang w:eastAsia="en-US"/>
    </w:rPr>
  </w:style>
  <w:style w:type="character" w:customStyle="1" w:styleId="146">
    <w:name w:val="B1 Char1"/>
    <w:qFormat/>
    <w:uiPriority w:val="0"/>
    <w:rPr>
      <w:rFonts w:eastAsia="Times New Roman"/>
      <w:lang w:eastAsia="ja-JP"/>
    </w:rPr>
  </w:style>
  <w:style w:type="character" w:customStyle="1" w:styleId="147">
    <w:name w:val="Editor's Note Char"/>
    <w:link w:val="85"/>
    <w:qFormat/>
    <w:uiPriority w:val="0"/>
    <w:rPr>
      <w:rFonts w:ascii="Times New Roman" w:hAnsi="Times New Roman"/>
      <w:color w:val="FF0000"/>
      <w:lang w:eastAsia="en-US"/>
    </w:rPr>
  </w:style>
  <w:style w:type="character" w:customStyle="1" w:styleId="148">
    <w:name w:val="TF Char"/>
    <w:link w:val="65"/>
    <w:qFormat/>
    <w:uiPriority w:val="0"/>
    <w:rPr>
      <w:rFonts w:ascii="Arial" w:hAnsi="Arial"/>
      <w:b/>
      <w:lang w:eastAsia="en-US"/>
    </w:rPr>
  </w:style>
  <w:style w:type="character" w:customStyle="1" w:styleId="149">
    <w:name w:val="B3 Char2"/>
    <w:link w:val="88"/>
    <w:qFormat/>
    <w:uiPriority w:val="0"/>
    <w:rPr>
      <w:rFonts w:ascii="Times New Roman" w:hAnsi="Times New Roman"/>
      <w:lang w:eastAsia="en-US"/>
    </w:rPr>
  </w:style>
  <w:style w:type="paragraph" w:customStyle="1" w:styleId="150">
    <w:name w:val="Text"/>
    <w:basedOn w:val="1"/>
    <w:link w:val="151"/>
    <w:qFormat/>
    <w:uiPriority w:val="0"/>
    <w:pPr>
      <w:overflowPunct/>
      <w:autoSpaceDE/>
      <w:autoSpaceDN/>
      <w:adjustRightInd/>
      <w:spacing w:after="0"/>
      <w:textAlignment w:val="auto"/>
    </w:pPr>
    <w:rPr>
      <w:rFonts w:ascii="Times" w:hAnsi="Times" w:eastAsia="Batang"/>
      <w:szCs w:val="24"/>
      <w:lang w:val="en-GB"/>
    </w:rPr>
  </w:style>
  <w:style w:type="character" w:customStyle="1" w:styleId="151">
    <w:name w:val="Text Char"/>
    <w:link w:val="150"/>
    <w:qFormat/>
    <w:uiPriority w:val="0"/>
    <w:rPr>
      <w:rFonts w:ascii="Times" w:hAnsi="Times" w:eastAsia="Batang"/>
      <w:szCs w:val="24"/>
      <w:lang w:val="en-GB" w:eastAsia="en-US"/>
    </w:rPr>
  </w:style>
  <w:style w:type="paragraph" w:customStyle="1" w:styleId="152">
    <w:name w:val="text intend 1"/>
    <w:basedOn w:val="1"/>
    <w:qFormat/>
    <w:uiPriority w:val="0"/>
    <w:pPr>
      <w:numPr>
        <w:ilvl w:val="0"/>
        <w:numId w:val="6"/>
      </w:numPr>
      <w:overflowPunct/>
      <w:autoSpaceDE/>
      <w:autoSpaceDN/>
      <w:adjustRightInd/>
      <w:spacing w:after="120"/>
      <w:jc w:val="both"/>
      <w:textAlignment w:val="auto"/>
    </w:pPr>
    <w:rPr>
      <w:rFonts w:eastAsia="MS Mincho"/>
      <w:sz w:val="24"/>
    </w:rPr>
  </w:style>
  <w:style w:type="paragraph" w:customStyle="1" w:styleId="153">
    <w:name w:val="INDENT1"/>
    <w:basedOn w:val="1"/>
    <w:qFormat/>
    <w:uiPriority w:val="0"/>
    <w:pPr>
      <w:overflowPunct/>
      <w:autoSpaceDE/>
      <w:autoSpaceDN/>
      <w:adjustRightInd/>
      <w:ind w:left="851"/>
      <w:textAlignment w:val="auto"/>
    </w:pPr>
    <w:rPr>
      <w:rFonts w:eastAsia="Malgun Gothic"/>
      <w:lang w:val="en-GB"/>
    </w:rPr>
  </w:style>
  <w:style w:type="paragraph" w:customStyle="1" w:styleId="154">
    <w:name w:val="INDENT2"/>
    <w:basedOn w:val="1"/>
    <w:qFormat/>
    <w:uiPriority w:val="0"/>
    <w:pPr>
      <w:overflowPunct/>
      <w:autoSpaceDE/>
      <w:autoSpaceDN/>
      <w:adjustRightInd/>
      <w:ind w:left="1135" w:hanging="284"/>
      <w:textAlignment w:val="auto"/>
    </w:pPr>
    <w:rPr>
      <w:rFonts w:eastAsia="Malgun Gothic"/>
      <w:lang w:val="en-GB"/>
    </w:rPr>
  </w:style>
  <w:style w:type="paragraph" w:customStyle="1" w:styleId="155">
    <w:name w:val="INDENT3"/>
    <w:basedOn w:val="1"/>
    <w:qFormat/>
    <w:uiPriority w:val="0"/>
    <w:pPr>
      <w:overflowPunct/>
      <w:autoSpaceDE/>
      <w:autoSpaceDN/>
      <w:adjustRightInd/>
      <w:ind w:left="1701" w:hanging="567"/>
      <w:textAlignment w:val="auto"/>
    </w:pPr>
    <w:rPr>
      <w:rFonts w:eastAsia="Malgun Gothic"/>
      <w:lang w:val="en-GB"/>
    </w:rPr>
  </w:style>
  <w:style w:type="paragraph" w:customStyle="1" w:styleId="156">
    <w:name w:val="Figure_Title"/>
    <w:basedOn w:val="1"/>
    <w:next w:val="1"/>
    <w:qFormat/>
    <w:uiPriority w:val="0"/>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157">
    <w:name w:val="Rec_CCITT_#"/>
    <w:basedOn w:val="1"/>
    <w:qFormat/>
    <w:uiPriority w:val="0"/>
    <w:pPr>
      <w:keepNext/>
      <w:keepLines/>
      <w:overflowPunct/>
      <w:autoSpaceDE/>
      <w:autoSpaceDN/>
      <w:adjustRightInd/>
      <w:textAlignment w:val="auto"/>
    </w:pPr>
    <w:rPr>
      <w:rFonts w:eastAsia="Malgun Gothic"/>
      <w:b/>
      <w:lang w:val="en-GB"/>
    </w:rPr>
  </w:style>
  <w:style w:type="paragraph" w:customStyle="1" w:styleId="158">
    <w:name w:val="enumlev2"/>
    <w:basedOn w:val="1"/>
    <w:qFormat/>
    <w:uiPriority w:val="0"/>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159">
    <w:name w:val="Couv Rec Title"/>
    <w:basedOn w:val="1"/>
    <w:qFormat/>
    <w:uiPriority w:val="0"/>
    <w:pPr>
      <w:keepNext/>
      <w:keepLines/>
      <w:overflowPunct/>
      <w:autoSpaceDE/>
      <w:autoSpaceDN/>
      <w:adjustRightInd/>
      <w:spacing w:before="240"/>
      <w:ind w:left="1418"/>
      <w:textAlignment w:val="auto"/>
    </w:pPr>
    <w:rPr>
      <w:rFonts w:ascii="Arial" w:hAnsi="Arial" w:eastAsia="Malgun Gothic"/>
      <w:b/>
      <w:sz w:val="36"/>
    </w:rPr>
  </w:style>
  <w:style w:type="character" w:customStyle="1" w:styleId="160">
    <w:name w:val="纯文本 字符"/>
    <w:basedOn w:val="53"/>
    <w:link w:val="33"/>
    <w:qFormat/>
    <w:uiPriority w:val="0"/>
    <w:rPr>
      <w:rFonts w:ascii="Courier New" w:hAnsi="Courier New" w:eastAsia="Malgun Gothic"/>
      <w:lang w:val="nb-NO" w:eastAsia="en-US"/>
    </w:rPr>
  </w:style>
  <w:style w:type="paragraph" w:customStyle="1" w:styleId="161">
    <w:name w:val="TAJ"/>
    <w:basedOn w:val="66"/>
    <w:qFormat/>
    <w:uiPriority w:val="0"/>
    <w:pPr>
      <w:overflowPunct/>
      <w:autoSpaceDE/>
      <w:autoSpaceDN/>
      <w:adjustRightInd/>
      <w:textAlignment w:val="auto"/>
    </w:pPr>
    <w:rPr>
      <w:rFonts w:eastAsia="Malgun Gothic"/>
      <w:lang w:val="en-GB"/>
    </w:rPr>
  </w:style>
  <w:style w:type="paragraph" w:customStyle="1" w:styleId="162">
    <w:name w:val="Guidance"/>
    <w:basedOn w:val="1"/>
    <w:qFormat/>
    <w:uiPriority w:val="0"/>
    <w:pPr>
      <w:overflowPunct/>
      <w:autoSpaceDE/>
      <w:autoSpaceDN/>
      <w:adjustRightInd/>
      <w:textAlignment w:val="auto"/>
    </w:pPr>
    <w:rPr>
      <w:rFonts w:eastAsia="Malgun Gothic"/>
      <w:i/>
      <w:color w:val="0000FF"/>
      <w:lang w:val="en-GB"/>
    </w:rPr>
  </w:style>
  <w:style w:type="character" w:customStyle="1" w:styleId="163">
    <w:name w:val="批注框文本 字符"/>
    <w:link w:val="37"/>
    <w:qFormat/>
    <w:uiPriority w:val="0"/>
    <w:rPr>
      <w:rFonts w:ascii="Tahoma" w:hAnsi="Tahoma" w:cs="Tahoma"/>
      <w:sz w:val="16"/>
      <w:szCs w:val="16"/>
      <w:lang w:eastAsia="en-US"/>
    </w:rPr>
  </w:style>
  <w:style w:type="paragraph" w:customStyle="1" w:styleId="164">
    <w:name w:val="Comments"/>
    <w:basedOn w:val="1"/>
    <w:link w:val="165"/>
    <w:qFormat/>
    <w:uiPriority w:val="0"/>
    <w:pPr>
      <w:overflowPunct/>
      <w:autoSpaceDE/>
      <w:autoSpaceDN/>
      <w:adjustRightInd/>
      <w:spacing w:before="40" w:after="0"/>
      <w:textAlignment w:val="auto"/>
    </w:pPr>
    <w:rPr>
      <w:rFonts w:ascii="Arial" w:hAnsi="Arial" w:eastAsia="MS Mincho"/>
      <w:i/>
      <w:sz w:val="18"/>
      <w:szCs w:val="24"/>
      <w:lang w:val="en-GB" w:eastAsia="en-GB"/>
    </w:rPr>
  </w:style>
  <w:style w:type="character" w:customStyle="1" w:styleId="165">
    <w:name w:val="Comments Char"/>
    <w:link w:val="164"/>
    <w:qFormat/>
    <w:uiPriority w:val="0"/>
    <w:rPr>
      <w:rFonts w:ascii="Arial" w:hAnsi="Arial" w:eastAsia="MS Mincho"/>
      <w:i/>
      <w:sz w:val="18"/>
      <w:szCs w:val="24"/>
      <w:lang w:val="en-GB" w:eastAsia="en-GB"/>
    </w:rPr>
  </w:style>
  <w:style w:type="paragraph" w:customStyle="1" w:styleId="166">
    <w:name w:val="reference"/>
    <w:basedOn w:val="1"/>
    <w:qFormat/>
    <w:uiPriority w:val="0"/>
    <w:pPr>
      <w:widowControl w:val="0"/>
      <w:numPr>
        <w:ilvl w:val="0"/>
        <w:numId w:val="7"/>
      </w:numPr>
      <w:overflowPunct/>
      <w:spacing w:before="60" w:after="60" w:line="288" w:lineRule="auto"/>
      <w:jc w:val="both"/>
      <w:textAlignment w:val="auto"/>
    </w:pPr>
    <w:rPr>
      <w:rFonts w:eastAsia="Times New Roman"/>
      <w:sz w:val="22"/>
      <w:lang w:val="en-GB" w:eastAsia="ko-KR"/>
    </w:rPr>
  </w:style>
  <w:style w:type="paragraph" w:customStyle="1" w:styleId="167">
    <w:name w:val="3GPP Agreements"/>
    <w:basedOn w:val="1"/>
    <w:link w:val="168"/>
    <w:qFormat/>
    <w:uiPriority w:val="0"/>
    <w:pPr>
      <w:numPr>
        <w:ilvl w:val="0"/>
        <w:numId w:val="8"/>
      </w:numPr>
      <w:spacing w:before="60" w:after="60"/>
      <w:jc w:val="both"/>
    </w:pPr>
    <w:rPr>
      <w:sz w:val="22"/>
      <w:lang w:eastAsia="zh-CN"/>
    </w:rPr>
  </w:style>
  <w:style w:type="character" w:customStyle="1" w:styleId="168">
    <w:name w:val="3GPP Agreements Char"/>
    <w:link w:val="167"/>
    <w:qFormat/>
    <w:uiPriority w:val="0"/>
    <w:rPr>
      <w:rFonts w:ascii="Times New Roman" w:hAnsi="Times New Roman"/>
      <w:sz w:val="22"/>
    </w:rPr>
  </w:style>
  <w:style w:type="character" w:customStyle="1" w:styleId="169">
    <w:name w:val="脚注文本 字符"/>
    <w:link w:val="42"/>
    <w:semiHidden/>
    <w:qFormat/>
    <w:uiPriority w:val="0"/>
    <w:rPr>
      <w:rFonts w:ascii="Times New Roman" w:hAnsi="Times New Roman"/>
      <w:sz w:val="16"/>
      <w:lang w:eastAsia="en-US"/>
    </w:rPr>
  </w:style>
  <w:style w:type="character" w:customStyle="1" w:styleId="170">
    <w:name w:val="正文文本缩进 2 字符"/>
    <w:basedOn w:val="53"/>
    <w:link w:val="36"/>
    <w:semiHidden/>
    <w:qFormat/>
    <w:uiPriority w:val="0"/>
    <w:rPr>
      <w:rFonts w:ascii="Times New Roman" w:hAnsi="Times New Roman"/>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7A3EDA-4F7D-4DAE-B91C-C7325A9311B1}">
  <ds:schemaRefs/>
</ds:datastoreItem>
</file>

<file path=customXml/itemProps3.xml><?xml version="1.0" encoding="utf-8"?>
<ds:datastoreItem xmlns:ds="http://schemas.openxmlformats.org/officeDocument/2006/customXml" ds:itemID="{6F45A92A-9E75-4A75-BF61-66929B64B2AA}">
  <ds:schemaRefs/>
</ds:datastoreItem>
</file>

<file path=customXml/itemProps4.xml><?xml version="1.0" encoding="utf-8"?>
<ds:datastoreItem xmlns:ds="http://schemas.openxmlformats.org/officeDocument/2006/customXml" ds:itemID="{E582DF6C-9871-4337-BBCF-3465CC8819F6}">
  <ds:schemaRefs/>
</ds:datastoreItem>
</file>

<file path=customXml/itemProps5.xml><?xml version="1.0" encoding="utf-8"?>
<ds:datastoreItem xmlns:ds="http://schemas.openxmlformats.org/officeDocument/2006/customXml" ds:itemID="{8B85540C-FE5C-4354-BE5A-E0652EDA2CF6}">
  <ds:schemaRefs/>
</ds:datastoreItem>
</file>

<file path=customXml/itemProps6.xml><?xml version="1.0" encoding="utf-8"?>
<ds:datastoreItem xmlns:ds="http://schemas.openxmlformats.org/officeDocument/2006/customXml" ds:itemID="{3FF80E46-DE1C-4AE7-82E4-32E4F7E8D908}">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5</Pages>
  <Words>1624</Words>
  <Characters>9781</Characters>
  <Lines>98</Lines>
  <Paragraphs>27</Paragraphs>
  <TotalTime>10</TotalTime>
  <ScaleCrop>false</ScaleCrop>
  <LinksUpToDate>false</LinksUpToDate>
  <CharactersWithSpaces>11490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2020-11-28T00:59:00Z</dcterms:created>
  <dc:creator>CMCC</dc:creator>
  <cp:lastModifiedBy>CMCC-hulijie</cp:lastModifiedBy>
  <cp:lastPrinted>2017-03-25T00:57:00Z</cp:lastPrinted>
  <dcterms:modified xsi:type="dcterms:W3CDTF">2023-09-04T09:12:41Z</dcterms:modified>
  <dc:title>3GPP TSG-RAN</dc:title>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y fmtid="{D5CDD505-2E9C-101B-9397-08002B2CF9AE}" pid="22" name="KSOProductBuildVer">
    <vt:lpwstr>2052-11.8.2.12085</vt:lpwstr>
  </property>
  <property fmtid="{D5CDD505-2E9C-101B-9397-08002B2CF9AE}" pid="23" name="ICV">
    <vt:lpwstr>29DD704BED884BAF873E0199EFDE7BD9</vt:lpwstr>
  </property>
</Properties>
</file>