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CC53E0" w14:textId="26A7F07F" w:rsidR="0048599B" w:rsidRPr="000E21AC" w:rsidRDefault="00FA24B9">
      <w:pPr>
        <w:overflowPunct w:val="0"/>
        <w:autoSpaceDE w:val="0"/>
        <w:autoSpaceDN w:val="0"/>
        <w:adjustRightInd w:val="0"/>
        <w:snapToGrid w:val="0"/>
        <w:jc w:val="left"/>
        <w:textAlignment w:val="baseline"/>
        <w:rPr>
          <w:rFonts w:ascii="Arial" w:hAnsi="Arial" w:cs="Arial"/>
          <w:b/>
          <w:bCs/>
          <w:snapToGrid w:val="0"/>
          <w:kern w:val="0"/>
          <w:sz w:val="24"/>
        </w:rPr>
      </w:pPr>
      <w:r w:rsidRPr="000E21AC">
        <w:rPr>
          <w:rFonts w:ascii="Arial" w:hAnsi="Arial" w:cs="Arial"/>
          <w:b/>
          <w:bCs/>
          <w:snapToGrid w:val="0"/>
          <w:kern w:val="0"/>
          <w:sz w:val="24"/>
        </w:rPr>
        <w:t>3GPP TSG RAN Meeting #</w:t>
      </w:r>
      <w:r w:rsidR="00346E91" w:rsidRPr="000E21AC">
        <w:rPr>
          <w:rFonts w:ascii="Arial" w:hAnsi="Arial" w:cs="Arial"/>
          <w:b/>
          <w:bCs/>
          <w:snapToGrid w:val="0"/>
          <w:kern w:val="0"/>
          <w:sz w:val="24"/>
        </w:rPr>
        <w:t>101</w:t>
      </w:r>
      <w:r w:rsidRPr="000E21AC">
        <w:rPr>
          <w:rFonts w:ascii="Arial" w:hAnsi="Arial" w:cs="Arial"/>
          <w:b/>
          <w:bCs/>
          <w:snapToGrid w:val="0"/>
          <w:kern w:val="0"/>
          <w:sz w:val="24"/>
        </w:rPr>
        <w:tab/>
      </w:r>
      <w:r w:rsidRPr="000E21AC">
        <w:rPr>
          <w:rFonts w:ascii="Arial" w:hAnsi="Arial" w:cs="Arial"/>
          <w:b/>
          <w:bCs/>
          <w:snapToGrid w:val="0"/>
          <w:kern w:val="0"/>
          <w:sz w:val="24"/>
        </w:rPr>
        <w:tab/>
      </w:r>
      <w:r w:rsidRPr="000E21AC">
        <w:rPr>
          <w:rFonts w:ascii="Arial" w:hAnsi="Arial" w:cs="Arial"/>
          <w:b/>
          <w:bCs/>
          <w:snapToGrid w:val="0"/>
          <w:kern w:val="0"/>
          <w:sz w:val="24"/>
        </w:rPr>
        <w:tab/>
      </w:r>
      <w:r w:rsidRPr="000E21AC">
        <w:rPr>
          <w:rFonts w:ascii="Arial" w:hAnsi="Arial" w:cs="Arial"/>
          <w:b/>
          <w:bCs/>
          <w:snapToGrid w:val="0"/>
          <w:kern w:val="0"/>
          <w:sz w:val="24"/>
        </w:rPr>
        <w:tab/>
      </w:r>
      <w:r w:rsidRPr="000E21AC">
        <w:rPr>
          <w:rFonts w:ascii="Arial" w:hAnsi="Arial" w:cs="Arial"/>
          <w:b/>
          <w:bCs/>
          <w:snapToGrid w:val="0"/>
          <w:kern w:val="0"/>
          <w:sz w:val="24"/>
        </w:rPr>
        <w:tab/>
      </w:r>
      <w:r w:rsidRPr="000E21AC">
        <w:rPr>
          <w:rFonts w:ascii="Arial" w:hAnsi="Arial" w:cs="Arial"/>
          <w:b/>
          <w:bCs/>
          <w:snapToGrid w:val="0"/>
          <w:kern w:val="0"/>
          <w:sz w:val="24"/>
        </w:rPr>
        <w:tab/>
        <w:t xml:space="preserve">              </w:t>
      </w:r>
      <w:r w:rsidR="00BA79E0" w:rsidRPr="00BA79E0">
        <w:rPr>
          <w:rFonts w:ascii="Arial" w:hAnsi="Arial" w:cs="Arial"/>
          <w:b/>
          <w:bCs/>
          <w:snapToGrid w:val="0"/>
          <w:kern w:val="0"/>
          <w:sz w:val="24"/>
        </w:rPr>
        <w:t>RP-232177</w:t>
      </w:r>
    </w:p>
    <w:p w14:paraId="6BBA949C" w14:textId="6AF9DBEF" w:rsidR="0048599B" w:rsidRDefault="00346E91">
      <w:pPr>
        <w:overflowPunct w:val="0"/>
        <w:autoSpaceDE w:val="0"/>
        <w:autoSpaceDN w:val="0"/>
        <w:adjustRightInd w:val="0"/>
        <w:snapToGrid w:val="0"/>
        <w:jc w:val="left"/>
        <w:textAlignment w:val="baseline"/>
        <w:rPr>
          <w:rFonts w:ascii="Arial" w:hAnsi="Arial" w:cs="Arial"/>
          <w:b/>
          <w:bCs/>
          <w:kern w:val="0"/>
          <w:sz w:val="28"/>
          <w:szCs w:val="28"/>
        </w:rPr>
      </w:pPr>
      <w:r w:rsidRPr="000E21AC">
        <w:rPr>
          <w:rFonts w:ascii="Arial" w:hAnsi="Arial" w:cs="Arial"/>
          <w:b/>
          <w:bCs/>
          <w:snapToGrid w:val="0"/>
          <w:kern w:val="0"/>
          <w:sz w:val="24"/>
        </w:rPr>
        <w:t>Bangalore</w:t>
      </w:r>
      <w:r w:rsidR="00FA24B9" w:rsidRPr="000E21AC">
        <w:rPr>
          <w:rFonts w:ascii="Arial" w:hAnsi="Arial" w:cs="Arial"/>
          <w:b/>
          <w:bCs/>
          <w:snapToGrid w:val="0"/>
          <w:kern w:val="0"/>
          <w:sz w:val="24"/>
        </w:rPr>
        <w:t xml:space="preserve">, </w:t>
      </w:r>
      <w:r w:rsidRPr="000E21AC">
        <w:rPr>
          <w:rFonts w:ascii="Arial" w:hAnsi="Arial" w:cs="Arial"/>
          <w:b/>
          <w:bCs/>
          <w:snapToGrid w:val="0"/>
          <w:kern w:val="0"/>
          <w:sz w:val="24"/>
        </w:rPr>
        <w:t>India</w:t>
      </w:r>
      <w:r w:rsidR="00FA24B9" w:rsidRPr="000E21AC">
        <w:rPr>
          <w:rFonts w:ascii="Arial" w:hAnsi="Arial" w:cs="Arial"/>
          <w:b/>
          <w:bCs/>
          <w:snapToGrid w:val="0"/>
          <w:kern w:val="0"/>
          <w:sz w:val="24"/>
        </w:rPr>
        <w:t xml:space="preserve">, </w:t>
      </w:r>
      <w:r w:rsidRPr="000E21AC">
        <w:rPr>
          <w:rFonts w:ascii="Arial" w:hAnsi="Arial" w:cs="Arial"/>
          <w:b/>
          <w:bCs/>
          <w:snapToGrid w:val="0"/>
          <w:kern w:val="0"/>
          <w:sz w:val="24"/>
        </w:rPr>
        <w:t xml:space="preserve">11 – 15 </w:t>
      </w:r>
      <w:r w:rsidR="00196B49">
        <w:rPr>
          <w:rFonts w:ascii="Arial" w:hAnsi="Arial" w:cs="Arial"/>
          <w:b/>
          <w:bCs/>
          <w:snapToGrid w:val="0"/>
          <w:kern w:val="0"/>
          <w:sz w:val="24"/>
        </w:rPr>
        <w:t>September</w:t>
      </w:r>
      <w:r w:rsidR="00FA24B9" w:rsidRPr="000E21AC">
        <w:rPr>
          <w:rFonts w:ascii="Arial" w:hAnsi="Arial" w:cs="Arial"/>
          <w:b/>
          <w:bCs/>
          <w:snapToGrid w:val="0"/>
          <w:kern w:val="0"/>
          <w:sz w:val="24"/>
        </w:rPr>
        <w:t xml:space="preserve"> 20</w:t>
      </w:r>
      <w:r w:rsidRPr="000E21AC">
        <w:rPr>
          <w:rFonts w:ascii="Arial" w:hAnsi="Arial" w:cs="Arial"/>
          <w:b/>
          <w:bCs/>
          <w:snapToGrid w:val="0"/>
          <w:kern w:val="0"/>
          <w:sz w:val="24"/>
        </w:rPr>
        <w:t>23</w:t>
      </w:r>
      <w:r w:rsidR="00FA24B9" w:rsidRPr="000E21AC">
        <w:rPr>
          <w:rFonts w:ascii="Arial" w:hAnsi="Arial" w:cs="Arial"/>
          <w:b/>
          <w:bCs/>
          <w:kern w:val="0"/>
          <w:sz w:val="24"/>
          <w:lang w:val="en-GB"/>
        </w:rPr>
        <w:tab/>
      </w:r>
      <w:r w:rsidR="00FA24B9">
        <w:rPr>
          <w:rFonts w:ascii="Arial" w:hAnsi="Arial" w:cs="Arial"/>
          <w:b/>
          <w:bCs/>
          <w:kern w:val="0"/>
          <w:sz w:val="28"/>
          <w:szCs w:val="28"/>
          <w:lang w:val="en-GB"/>
        </w:rPr>
        <w:tab/>
        <w:t xml:space="preserve">      </w:t>
      </w:r>
      <w:r w:rsidR="00FA24B9">
        <w:rPr>
          <w:rFonts w:ascii="Arial" w:hAnsi="Arial" w:cs="Arial"/>
          <w:b/>
          <w:bCs/>
          <w:color w:val="D9D9D9" w:themeColor="background1" w:themeShade="D9"/>
          <w:kern w:val="0"/>
          <w:sz w:val="20"/>
          <w:szCs w:val="28"/>
          <w:lang w:val="en-GB"/>
        </w:rPr>
        <w:t xml:space="preserve">   </w:t>
      </w:r>
    </w:p>
    <w:p w14:paraId="1C1A31B6" w14:textId="3675BACF" w:rsidR="0048599B" w:rsidRPr="000E21AC" w:rsidRDefault="00FA24B9" w:rsidP="002245D3">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sidRPr="000E21AC">
        <w:rPr>
          <w:rFonts w:ascii="Arial" w:hAnsi="Arial" w:cs="Arial"/>
          <w:b/>
          <w:bCs/>
          <w:snapToGrid w:val="0"/>
          <w:kern w:val="0"/>
          <w:sz w:val="24"/>
        </w:rPr>
        <w:t xml:space="preserve">Source: </w:t>
      </w:r>
      <w:r w:rsidRPr="000E21AC">
        <w:rPr>
          <w:rFonts w:ascii="Arial" w:hAnsi="Arial" w:cs="Arial"/>
          <w:b/>
          <w:bCs/>
          <w:snapToGrid w:val="0"/>
          <w:kern w:val="0"/>
          <w:sz w:val="24"/>
        </w:rPr>
        <w:tab/>
        <w:t>ZTE Corporation, Sanechips</w:t>
      </w:r>
      <w:r w:rsidR="00346E91" w:rsidRPr="000E21AC">
        <w:rPr>
          <w:rFonts w:ascii="Arial" w:hAnsi="Arial" w:cs="Arial"/>
          <w:b/>
          <w:bCs/>
          <w:snapToGrid w:val="0"/>
          <w:kern w:val="0"/>
          <w:sz w:val="24"/>
        </w:rPr>
        <w:t xml:space="preserve">, </w:t>
      </w:r>
      <w:r w:rsidR="00941C0D" w:rsidRPr="000E21AC">
        <w:rPr>
          <w:rFonts w:ascii="Arial" w:hAnsi="Arial" w:cs="Arial"/>
          <w:b/>
          <w:bCs/>
          <w:snapToGrid w:val="0"/>
          <w:kern w:val="0"/>
          <w:sz w:val="24"/>
        </w:rPr>
        <w:t>Intel Corporation, LG Electronics</w:t>
      </w:r>
      <w:r w:rsidR="002245D3">
        <w:rPr>
          <w:rFonts w:ascii="Arial" w:hAnsi="Arial" w:cs="Arial"/>
          <w:b/>
          <w:bCs/>
          <w:snapToGrid w:val="0"/>
          <w:kern w:val="0"/>
          <w:sz w:val="24"/>
        </w:rPr>
        <w:t>, CATT</w:t>
      </w:r>
    </w:p>
    <w:p w14:paraId="33F1D4FB" w14:textId="1E83C970" w:rsidR="0048599B" w:rsidRPr="000E21AC" w:rsidRDefault="00FA24B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sidRPr="000E21AC">
        <w:rPr>
          <w:rFonts w:ascii="Arial" w:hAnsi="Arial" w:cs="Arial"/>
          <w:b/>
          <w:bCs/>
          <w:snapToGrid w:val="0"/>
          <w:kern w:val="0"/>
          <w:sz w:val="24"/>
        </w:rPr>
        <w:t xml:space="preserve">Title: </w:t>
      </w:r>
      <w:r w:rsidRPr="000E21AC">
        <w:rPr>
          <w:rFonts w:ascii="Arial" w:hAnsi="Arial" w:cs="Arial"/>
          <w:b/>
          <w:bCs/>
          <w:snapToGrid w:val="0"/>
          <w:kern w:val="0"/>
          <w:sz w:val="24"/>
        </w:rPr>
        <w:tab/>
      </w:r>
      <w:r w:rsidR="00346E91" w:rsidRPr="000E21AC">
        <w:rPr>
          <w:rFonts w:ascii="Arial" w:hAnsi="Arial" w:cs="Arial"/>
          <w:b/>
          <w:bCs/>
          <w:snapToGrid w:val="0"/>
          <w:kern w:val="0"/>
          <w:sz w:val="24"/>
        </w:rPr>
        <w:t>SDT enhancements in Rel-19</w:t>
      </w:r>
    </w:p>
    <w:p w14:paraId="5F846E0F" w14:textId="391F2163" w:rsidR="0048599B" w:rsidRPr="000E21AC" w:rsidRDefault="00FA24B9">
      <w:pPr>
        <w:overflowPunct w:val="0"/>
        <w:autoSpaceDE w:val="0"/>
        <w:autoSpaceDN w:val="0"/>
        <w:adjustRightInd w:val="0"/>
        <w:snapToGrid w:val="0"/>
        <w:jc w:val="left"/>
        <w:textAlignment w:val="baseline"/>
        <w:rPr>
          <w:rFonts w:ascii="Arial" w:hAnsi="Arial" w:cs="Arial"/>
          <w:b/>
          <w:bCs/>
          <w:snapToGrid w:val="0"/>
          <w:kern w:val="0"/>
          <w:sz w:val="24"/>
        </w:rPr>
      </w:pPr>
      <w:r w:rsidRPr="000E21AC">
        <w:rPr>
          <w:rFonts w:ascii="Arial" w:hAnsi="Arial" w:cs="Arial"/>
          <w:b/>
          <w:bCs/>
          <w:snapToGrid w:val="0"/>
          <w:kern w:val="0"/>
          <w:sz w:val="24"/>
        </w:rPr>
        <w:t>Agenda item:</w:t>
      </w:r>
      <w:r w:rsidRPr="000E21AC">
        <w:rPr>
          <w:rFonts w:ascii="Arial" w:hAnsi="Arial" w:cs="Arial"/>
          <w:b/>
          <w:bCs/>
          <w:snapToGrid w:val="0"/>
          <w:kern w:val="0"/>
          <w:sz w:val="24"/>
        </w:rPr>
        <w:tab/>
      </w:r>
      <w:bookmarkStart w:id="0" w:name="Source"/>
      <w:bookmarkEnd w:id="0"/>
      <w:r w:rsidR="00812EF0" w:rsidRPr="000E21AC">
        <w:rPr>
          <w:rFonts w:ascii="Arial" w:hAnsi="Arial" w:cs="Arial"/>
          <w:b/>
          <w:bCs/>
          <w:snapToGrid w:val="0"/>
          <w:kern w:val="0"/>
          <w:sz w:val="24"/>
        </w:rPr>
        <w:t>8A.2.15</w:t>
      </w:r>
    </w:p>
    <w:p w14:paraId="767F1D39" w14:textId="77777777" w:rsidR="0048599B" w:rsidRPr="000E21AC" w:rsidRDefault="00FA24B9">
      <w:pPr>
        <w:overflowPunct w:val="0"/>
        <w:autoSpaceDE w:val="0"/>
        <w:autoSpaceDN w:val="0"/>
        <w:adjustRightInd w:val="0"/>
        <w:snapToGrid w:val="0"/>
        <w:jc w:val="left"/>
        <w:textAlignment w:val="baseline"/>
        <w:rPr>
          <w:rFonts w:ascii="Arial" w:hAnsi="Arial" w:cs="Arial"/>
          <w:b/>
          <w:bCs/>
          <w:snapToGrid w:val="0"/>
          <w:kern w:val="0"/>
          <w:sz w:val="24"/>
        </w:rPr>
      </w:pPr>
      <w:r w:rsidRPr="000E21AC">
        <w:rPr>
          <w:rFonts w:ascii="Arial" w:hAnsi="Arial" w:cs="Arial"/>
          <w:b/>
          <w:bCs/>
          <w:snapToGrid w:val="0"/>
          <w:kern w:val="0"/>
          <w:sz w:val="24"/>
        </w:rPr>
        <w:t>Document for:</w:t>
      </w:r>
      <w:bookmarkStart w:id="1" w:name="DocumentFor"/>
      <w:bookmarkEnd w:id="1"/>
      <w:r w:rsidRPr="000E21AC">
        <w:rPr>
          <w:rFonts w:ascii="Arial" w:hAnsi="Arial" w:cs="Arial" w:hint="eastAsia"/>
          <w:b/>
          <w:bCs/>
          <w:snapToGrid w:val="0"/>
          <w:kern w:val="0"/>
          <w:sz w:val="24"/>
        </w:rPr>
        <w:t xml:space="preserve"> </w:t>
      </w:r>
      <w:r w:rsidRPr="000E21AC">
        <w:rPr>
          <w:rFonts w:ascii="Arial" w:hAnsi="Arial" w:cs="Arial"/>
          <w:b/>
          <w:bCs/>
          <w:snapToGrid w:val="0"/>
          <w:kern w:val="0"/>
          <w:sz w:val="24"/>
        </w:rPr>
        <w:tab/>
        <w:t>Discussion</w:t>
      </w:r>
      <w:r w:rsidRPr="000E21AC">
        <w:rPr>
          <w:rFonts w:ascii="Arial" w:hAnsi="Arial" w:cs="Arial" w:hint="eastAsia"/>
          <w:b/>
          <w:bCs/>
          <w:snapToGrid w:val="0"/>
          <w:kern w:val="0"/>
          <w:sz w:val="24"/>
        </w:rPr>
        <w:t xml:space="preserve"> and Decision</w:t>
      </w:r>
    </w:p>
    <w:p w14:paraId="05910381" w14:textId="77777777" w:rsidR="0048599B" w:rsidRDefault="00FA24B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2" w:name="_GoBack"/>
      <w:bookmarkEnd w:id="2"/>
    </w:p>
    <w:p w14:paraId="27401FA4" w14:textId="09B87EA5" w:rsidR="0048599B" w:rsidRDefault="00346E91">
      <w:r>
        <w:t>Inactive state in NR has been mandatory since Rel-15</w:t>
      </w:r>
      <w:r w:rsidR="00FA24B9">
        <w:t xml:space="preserve">. </w:t>
      </w:r>
      <w:r>
        <w:t xml:space="preserve">However, network deployments using NR SA do not implement or use the INACTIVE state in field until recently because the UEs typically generate small and infrequent data packets most of the time which keeps the UEs in connected state. As result, most NR networks (if not all) have basically skipped usage of INACTIVE state in the field. </w:t>
      </w:r>
    </w:p>
    <w:p w14:paraId="5D827007" w14:textId="4262D289" w:rsidR="00346E91" w:rsidRDefault="00346E91">
      <w:r>
        <w:t xml:space="preserve">In Rel-17 SDT feature has been added to the INACTIVE state and as a result INACTIVE state is now seen as more practical in real deployments. In this contribution we propose SDT enhancements to enable the usage of INACTIVE state in a more practical way so that more and more networks can make use of the INACTIVE state in real deployments. </w:t>
      </w:r>
    </w:p>
    <w:p w14:paraId="620A9DC2" w14:textId="18123BCC" w:rsidR="0048599B" w:rsidRDefault="00AC2B8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Justification </w:t>
      </w:r>
      <w:r w:rsidR="00346E91">
        <w:rPr>
          <w:rFonts w:ascii="Arial" w:hAnsi="Arial" w:cs="Arial"/>
          <w:b w:val="0"/>
          <w:bCs w:val="0"/>
          <w:kern w:val="0"/>
          <w:sz w:val="32"/>
          <w:szCs w:val="36"/>
        </w:rPr>
        <w:t>SDT enhancements</w:t>
      </w:r>
      <w:r w:rsidR="00FA24B9">
        <w:rPr>
          <w:rFonts w:ascii="Arial" w:hAnsi="Arial" w:cs="Arial"/>
          <w:b w:val="0"/>
          <w:bCs w:val="0"/>
          <w:kern w:val="0"/>
          <w:sz w:val="32"/>
          <w:szCs w:val="36"/>
        </w:rPr>
        <w:t xml:space="preserve"> </w:t>
      </w:r>
    </w:p>
    <w:p w14:paraId="4B0C2138" w14:textId="398094D6" w:rsidR="00346E91" w:rsidRDefault="00346E91" w:rsidP="00346E91">
      <w:r>
        <w:t xml:space="preserve">Small and infrequent data transmissions are very typical in mobile networks. It can be seen </w:t>
      </w:r>
      <w:r w:rsidR="000E21AC">
        <w:t xml:space="preserve">from the traffic traces of the </w:t>
      </w:r>
      <w:r>
        <w:t xml:space="preserve">light background traffic </w:t>
      </w:r>
      <w:r w:rsidR="000E21AC">
        <w:t xml:space="preserve">in </w:t>
      </w:r>
      <w:r w:rsidR="000E21AC">
        <w:fldChar w:fldCharType="begin"/>
      </w:r>
      <w:r w:rsidR="000E21AC">
        <w:instrText xml:space="preserve"> REF _Ref144713762 \h </w:instrText>
      </w:r>
      <w:r w:rsidR="000E21AC">
        <w:fldChar w:fldCharType="separate"/>
      </w:r>
      <w:r w:rsidR="000E21AC">
        <w:t xml:space="preserve">Figure </w:t>
      </w:r>
      <w:r w:rsidR="000E21AC">
        <w:rPr>
          <w:noProof/>
        </w:rPr>
        <w:t>1</w:t>
      </w:r>
      <w:r w:rsidR="000E21AC">
        <w:fldChar w:fldCharType="end"/>
      </w:r>
      <w:r w:rsidR="000E21AC">
        <w:t xml:space="preserve"> below that small and infrequent data traffic is prevalent in networks.</w:t>
      </w:r>
      <w:r>
        <w:t xml:space="preserve"> </w:t>
      </w:r>
    </w:p>
    <w:tbl>
      <w:tblPr>
        <w:tblStyle w:val="aff0"/>
        <w:tblW w:w="0" w:type="auto"/>
        <w:tblLook w:val="04A0" w:firstRow="1" w:lastRow="0" w:firstColumn="1" w:lastColumn="0" w:noHBand="0" w:noVBand="1"/>
      </w:tblPr>
      <w:tblGrid>
        <w:gridCol w:w="4885"/>
        <w:gridCol w:w="4886"/>
      </w:tblGrid>
      <w:tr w:rsidR="00346E91" w14:paraId="4A497CC4" w14:textId="77777777" w:rsidTr="00346E91">
        <w:tc>
          <w:tcPr>
            <w:tcW w:w="4885" w:type="dxa"/>
          </w:tcPr>
          <w:p w14:paraId="73BEAE2B" w14:textId="4690AAC0" w:rsidR="00346E91" w:rsidRDefault="00346E91" w:rsidP="00346E91">
            <w:pPr>
              <w:keepNext/>
            </w:pPr>
            <w:r w:rsidRPr="00346E91">
              <w:rPr>
                <w:noProof/>
              </w:rPr>
              <w:drawing>
                <wp:inline distT="0" distB="0" distL="0" distR="0" wp14:anchorId="4CCACCCB" wp14:editId="5338D6AE">
                  <wp:extent cx="2906973" cy="2199194"/>
                  <wp:effectExtent l="0" t="0" r="8255" b="0"/>
                  <wp:docPr id="380067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7702" cy="2214876"/>
                          </a:xfrm>
                          <a:prstGeom prst="rect">
                            <a:avLst/>
                          </a:prstGeom>
                          <a:noFill/>
                          <a:ln>
                            <a:noFill/>
                          </a:ln>
                        </pic:spPr>
                      </pic:pic>
                    </a:graphicData>
                  </a:graphic>
                </wp:inline>
              </w:drawing>
            </w:r>
          </w:p>
        </w:tc>
        <w:tc>
          <w:tcPr>
            <w:tcW w:w="4886" w:type="dxa"/>
          </w:tcPr>
          <w:p w14:paraId="752C947D" w14:textId="45DE4A9D" w:rsidR="00346E91" w:rsidRDefault="00346E91" w:rsidP="00346E91">
            <w:r w:rsidRPr="00346E91">
              <w:rPr>
                <w:noProof/>
              </w:rPr>
              <w:drawing>
                <wp:inline distT="0" distB="0" distL="0" distR="0" wp14:anchorId="0BD655A5" wp14:editId="048C9D70">
                  <wp:extent cx="2893325" cy="2183350"/>
                  <wp:effectExtent l="0" t="0" r="2540" b="7620"/>
                  <wp:docPr id="15667014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06784" cy="2193506"/>
                          </a:xfrm>
                          <a:prstGeom prst="rect">
                            <a:avLst/>
                          </a:prstGeom>
                          <a:noFill/>
                          <a:ln>
                            <a:noFill/>
                          </a:ln>
                        </pic:spPr>
                      </pic:pic>
                    </a:graphicData>
                  </a:graphic>
                </wp:inline>
              </w:drawing>
            </w:r>
          </w:p>
        </w:tc>
      </w:tr>
      <w:tr w:rsidR="00346E91" w14:paraId="3189C9F7" w14:textId="77777777" w:rsidTr="006D76FD">
        <w:tc>
          <w:tcPr>
            <w:tcW w:w="9771" w:type="dxa"/>
            <w:gridSpan w:val="2"/>
          </w:tcPr>
          <w:p w14:paraId="6931AB69" w14:textId="4812ECB7" w:rsidR="00346E91" w:rsidRPr="00346E91" w:rsidRDefault="00346E91" w:rsidP="00941C0D">
            <w:pPr>
              <w:jc w:val="center"/>
              <w:rPr>
                <w:noProof/>
              </w:rPr>
            </w:pPr>
            <w:bookmarkStart w:id="3" w:name="_Ref14471376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Pr>
                <w:noProof/>
              </w:rPr>
              <w:t xml:space="preserve">Light background traffic packet distribution in mobile networks </w:t>
            </w:r>
            <w:r w:rsidR="00941C0D" w:rsidRPr="00941C0D">
              <w:rPr>
                <w:noProof/>
              </w:rPr>
              <w:t xml:space="preserve">including results of multiple traces provided by different companies </w:t>
            </w:r>
            <w:r>
              <w:rPr>
                <w:noProof/>
              </w:rPr>
              <w:t>(source 3GPP TR 36.822)</w:t>
            </w:r>
          </w:p>
        </w:tc>
      </w:tr>
    </w:tbl>
    <w:p w14:paraId="29258902" w14:textId="1E39AD35" w:rsidR="00346E91" w:rsidRDefault="00EE764A" w:rsidP="00346E91">
      <w:r>
        <w:t xml:space="preserve">Inactive state which is mandatory since Rel-15 is seldom used in real networks as data transfer within INACTIVE </w:t>
      </w:r>
      <w:r>
        <w:lastRenderedPageBreak/>
        <w:t xml:space="preserve">state is not feasible until Rel-17. As a result, operators deploying 5GSA are only thinking about using the INACTIVE state in real deployments only after sufficient penetration of the UEs supporting SDT feature. </w:t>
      </w:r>
    </w:p>
    <w:p w14:paraId="650AE037" w14:textId="694855FE" w:rsidR="00EE764A" w:rsidRDefault="00EE764A" w:rsidP="00346E91">
      <w:r>
        <w:t xml:space="preserve">However, as SDT feature becomes more prevalent, the network capacity to support INACTIVE state soon starts to become the bottleneck. Further, with capacity problems, we also need to focus on the optimal usage of the network resources in INACTIVE state. In Rel-17 (and in Rel-18), the SDT feature has the following limitations: </w:t>
      </w:r>
    </w:p>
    <w:p w14:paraId="68AC049C" w14:textId="5AFEECBC" w:rsidR="00693162" w:rsidRPr="00693162" w:rsidRDefault="00693162" w:rsidP="00346E91">
      <w:pPr>
        <w:rPr>
          <w:b/>
          <w:bCs/>
          <w:u w:val="single"/>
        </w:rPr>
      </w:pPr>
      <w:r w:rsidRPr="00693162">
        <w:rPr>
          <w:b/>
          <w:bCs/>
          <w:u w:val="single"/>
        </w:rPr>
        <w:t>Limitations of SDT (Rel-17/18)</w:t>
      </w:r>
    </w:p>
    <w:p w14:paraId="09BD87D8" w14:textId="4E957EA5" w:rsidR="00EE764A" w:rsidRDefault="00EE764A" w:rsidP="00EE764A">
      <w:pPr>
        <w:pStyle w:val="aff8"/>
        <w:numPr>
          <w:ilvl w:val="0"/>
          <w:numId w:val="11"/>
        </w:numPr>
        <w:ind w:firstLineChars="0"/>
      </w:pPr>
      <w:r>
        <w:t>SDT is only applicable to initial BWP</w:t>
      </w:r>
    </w:p>
    <w:p w14:paraId="4DEB839C" w14:textId="61587E60" w:rsidR="00EE764A" w:rsidRDefault="00EE764A" w:rsidP="00EE764A">
      <w:pPr>
        <w:pStyle w:val="aff8"/>
        <w:numPr>
          <w:ilvl w:val="1"/>
          <w:numId w:val="11"/>
        </w:numPr>
        <w:ind w:firstLineChars="0"/>
      </w:pPr>
      <w:r>
        <w:t xml:space="preserve">SDT transmissions are limited to initial BWP and this is done to keep the SDT procedure as close as possible to initial access mechanisms (upon which SDT feature is built on). As more and more UEs support SDT (and hence the INACTIVE state), congestion on the initial BWP becomes a bottleneck. Furthermore, initial BWP is also used for IDLE mode UEs and hence </w:t>
      </w:r>
      <w:r w:rsidR="002918E2">
        <w:t xml:space="preserve">camping SDT UEs always on initial BWP may not be optimal for the IDLE mode UEs either as congestion on this BWP will impact the quality of service for these UEs. Hence this restriction </w:t>
      </w:r>
      <w:r>
        <w:t xml:space="preserve">will severely restrict the practicality of supporting a large number of UEs in INACTIVE state in the network. </w:t>
      </w:r>
    </w:p>
    <w:p w14:paraId="20706F2A" w14:textId="55E6BA3D" w:rsidR="00EE764A" w:rsidRDefault="005556AA" w:rsidP="00EE764A">
      <w:pPr>
        <w:pStyle w:val="aff8"/>
        <w:numPr>
          <w:ilvl w:val="0"/>
          <w:numId w:val="11"/>
        </w:numPr>
        <w:ind w:firstLineChars="0"/>
      </w:pPr>
      <w:r>
        <w:t>No error recovery during SDT</w:t>
      </w:r>
    </w:p>
    <w:p w14:paraId="78376319" w14:textId="77777777" w:rsidR="0034092E" w:rsidRDefault="005556AA" w:rsidP="005556AA">
      <w:pPr>
        <w:pStyle w:val="aff8"/>
        <w:numPr>
          <w:ilvl w:val="1"/>
          <w:numId w:val="11"/>
        </w:numPr>
        <w:ind w:firstLineChars="0"/>
      </w:pPr>
      <w:r>
        <w:t xml:space="preserve">During SDT if any error occurs, UE moves to IDLE mode and performs NAS recovery. This procedure is expensive in terms of </w:t>
      </w:r>
      <w:r w:rsidR="00693162">
        <w:t xml:space="preserve">overhead and incurs an additional latency if such error happens. As such, any mechanism to prevent such errors </w:t>
      </w:r>
      <w:r w:rsidR="0034092E">
        <w:t xml:space="preserve">or any mechanism to recover efficiently from such errors would be beneficial from system perspective. </w:t>
      </w:r>
    </w:p>
    <w:p w14:paraId="473E330A" w14:textId="464B5D01" w:rsidR="0034092E" w:rsidRDefault="00812EF0" w:rsidP="0034092E">
      <w:r>
        <w:t xml:space="preserve">Companies seem to be interested in general in pursuing such enhancements as can be </w:t>
      </w:r>
      <w:r w:rsidR="0034092E">
        <w:t xml:space="preserve">seen </w:t>
      </w:r>
      <w:r>
        <w:t xml:space="preserve">from contributions to the Rel-19 work shop </w:t>
      </w:r>
      <w:r>
        <w:fldChar w:fldCharType="begin"/>
      </w:r>
      <w:r>
        <w:instrText xml:space="preserve"> REF _Ref144386938 \r \h </w:instrText>
      </w:r>
      <w:r>
        <w:fldChar w:fldCharType="separate"/>
      </w:r>
      <w:r>
        <w:t>[1]</w:t>
      </w:r>
      <w:r>
        <w:fldChar w:fldCharType="end"/>
      </w:r>
      <w:r>
        <w:fldChar w:fldCharType="begin"/>
      </w:r>
      <w:r>
        <w:instrText xml:space="preserve"> REF _Ref144386939 \r \h </w:instrText>
      </w:r>
      <w:r>
        <w:fldChar w:fldCharType="separate"/>
      </w:r>
      <w:r>
        <w:t>[2]</w:t>
      </w:r>
      <w:r>
        <w:fldChar w:fldCharType="end"/>
      </w:r>
      <w:r>
        <w:fldChar w:fldCharType="begin"/>
      </w:r>
      <w:r>
        <w:instrText xml:space="preserve"> REF _Ref144386941 \r \h </w:instrText>
      </w:r>
      <w:r>
        <w:fldChar w:fldCharType="separate"/>
      </w:r>
      <w:r>
        <w:t>[3]</w:t>
      </w:r>
      <w:r>
        <w:fldChar w:fldCharType="end"/>
      </w:r>
      <w:r w:rsidR="0034092E">
        <w:t xml:space="preserve">. </w:t>
      </w:r>
      <w:r>
        <w:t xml:space="preserve">However, companies also proposed such enhancements in RAN2 (either as part of TEI or as part of SDT Rel-18/Rel-17 WIs) but were not pursued due to lack of time </w:t>
      </w:r>
      <w:r>
        <w:fldChar w:fldCharType="begin"/>
      </w:r>
      <w:r>
        <w:instrText xml:space="preserve"> REF _Ref144387022 \r \h </w:instrText>
      </w:r>
      <w:r>
        <w:fldChar w:fldCharType="separate"/>
      </w:r>
      <w:r>
        <w:t>[4]</w:t>
      </w:r>
      <w:r>
        <w:fldChar w:fldCharType="end"/>
      </w:r>
      <w:r>
        <w:t xml:space="preserve">. It is hence expected that pursuing such enhancements would </w:t>
      </w:r>
      <w:r w:rsidR="00A02BBD">
        <w:t xml:space="preserve">be beneficial </w:t>
      </w:r>
      <w:r>
        <w:t xml:space="preserve">in general given the need to support INACTIVE state in real deployments. </w:t>
      </w:r>
    </w:p>
    <w:p w14:paraId="5B139161" w14:textId="71085AF1" w:rsidR="00AC2B87" w:rsidRDefault="0034092E" w:rsidP="0034092E">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Objectives for SDT enhancements in Rel-19</w:t>
      </w:r>
    </w:p>
    <w:p w14:paraId="33757C0F" w14:textId="68A6868D" w:rsidR="0048599B" w:rsidRDefault="0034092E">
      <w:r>
        <w:t>Based on the above discussion, we propose the following objectives for SDT in Rel-19</w:t>
      </w:r>
    </w:p>
    <w:p w14:paraId="1B6A0D8B" w14:textId="0F482054" w:rsidR="0034092E" w:rsidRDefault="0034092E" w:rsidP="0034092E">
      <w:pPr>
        <w:pStyle w:val="aff8"/>
        <w:numPr>
          <w:ilvl w:val="0"/>
          <w:numId w:val="12"/>
        </w:numPr>
        <w:ind w:firstLineChars="0"/>
      </w:pPr>
      <w:r>
        <w:t>Objective 1: Specify mechanisms to enable SDT operation (for both MO-SDT and MT-SDT) on non</w:t>
      </w:r>
      <w:r w:rsidR="00A02BBD">
        <w:t>-</w:t>
      </w:r>
      <w:r>
        <w:t>initial BWP [RAN2]</w:t>
      </w:r>
    </w:p>
    <w:p w14:paraId="32BAAD8D" w14:textId="7ACE4D2C" w:rsidR="00FD1FB1" w:rsidRPr="0034092E" w:rsidRDefault="0034092E" w:rsidP="0034092E">
      <w:pPr>
        <w:pStyle w:val="aff8"/>
        <w:numPr>
          <w:ilvl w:val="0"/>
          <w:numId w:val="12"/>
        </w:numPr>
        <w:ind w:firstLineChars="0"/>
      </w:pPr>
      <w:r>
        <w:t>Objective 2: Specify mechanisms for reducing the SDT failure and mechanisms for efficient recovery from SDT failure [RAN2]</w:t>
      </w:r>
      <w:r w:rsidR="00FD1FB1" w:rsidRPr="0034092E">
        <w:rPr>
          <w:b/>
          <w:bCs/>
        </w:rPr>
        <w:t xml:space="preserve"> </w:t>
      </w:r>
    </w:p>
    <w:p w14:paraId="6CC40626" w14:textId="6ADC1605" w:rsidR="00FD1FB1" w:rsidRDefault="00FA24B9" w:rsidP="0034092E">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45B481B4" w14:textId="37352876" w:rsidR="0034092E" w:rsidRDefault="0034092E" w:rsidP="0034092E">
      <w:r>
        <w:t xml:space="preserve">In this contribution we highlight some limitations of SDT until Rel-18 and propose WI with the following objectives to overcome these limitations: </w:t>
      </w:r>
    </w:p>
    <w:p w14:paraId="52AA24D6" w14:textId="51DB9991" w:rsidR="0034092E" w:rsidRDefault="0034092E" w:rsidP="0034092E">
      <w:pPr>
        <w:pStyle w:val="aff8"/>
        <w:numPr>
          <w:ilvl w:val="0"/>
          <w:numId w:val="12"/>
        </w:numPr>
        <w:ind w:firstLineChars="0"/>
      </w:pPr>
      <w:r>
        <w:lastRenderedPageBreak/>
        <w:t>Objective 1: Specify mechanisms to enable SDT operation (for both MO-SDT and MT-SDT) on non</w:t>
      </w:r>
      <w:r w:rsidR="00A02BBD">
        <w:t>-</w:t>
      </w:r>
      <w:r>
        <w:t>initial BWP [RAN2]</w:t>
      </w:r>
    </w:p>
    <w:p w14:paraId="64541529" w14:textId="577383A0" w:rsidR="0034092E" w:rsidRPr="0034092E" w:rsidRDefault="0034092E" w:rsidP="0034092E">
      <w:pPr>
        <w:pStyle w:val="aff8"/>
        <w:numPr>
          <w:ilvl w:val="0"/>
          <w:numId w:val="12"/>
        </w:numPr>
        <w:ind w:firstLineChars="0"/>
      </w:pPr>
      <w:r>
        <w:t>Objective 2: Specify mechanisms for reducing the SDT failure and mechanisms for efficient recovery from SDT failure [RAN2]</w:t>
      </w:r>
      <w:r w:rsidRPr="0034092E">
        <w:rPr>
          <w:b/>
          <w:bCs/>
        </w:rPr>
        <w:t xml:space="preserve"> </w:t>
      </w:r>
    </w:p>
    <w:p w14:paraId="4785CA0D" w14:textId="578F0E32" w:rsidR="0048599B" w:rsidRDefault="0034092E">
      <w:r>
        <w:t xml:space="preserve">It is expected that this work would need around 0.5 TUs spread over 6 RAN2 meetings. i.e. a total of 3 TUs in Rel-19. </w:t>
      </w:r>
    </w:p>
    <w:p w14:paraId="72A53AFF" w14:textId="77777777" w:rsidR="0048599B" w:rsidRDefault="00FA24B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3866F4C" w14:textId="2E1E8017" w:rsidR="0048599B" w:rsidRDefault="0034092E" w:rsidP="00812EF0">
      <w:pPr>
        <w:widowControl/>
        <w:numPr>
          <w:ilvl w:val="0"/>
          <w:numId w:val="7"/>
        </w:numPr>
        <w:spacing w:before="75" w:after="75" w:line="315" w:lineRule="auto"/>
        <w:ind w:left="426" w:hanging="426"/>
        <w:jc w:val="left"/>
        <w:rPr>
          <w:rFonts w:ascii="Arial" w:eastAsia="Arial" w:hAnsi="Arial" w:cs="Arial"/>
          <w:color w:val="000000"/>
        </w:rPr>
      </w:pPr>
      <w:bookmarkStart w:id="4" w:name="_Ref144386938"/>
      <w:r w:rsidRPr="0034092E">
        <w:rPr>
          <w:rFonts w:ascii="Arial" w:eastAsia="Arial" w:hAnsi="Arial" w:cs="Arial"/>
          <w:color w:val="000000"/>
        </w:rPr>
        <w:t>RWS-230201</w:t>
      </w:r>
      <w:r w:rsidRPr="0034092E">
        <w:rPr>
          <w:rFonts w:ascii="Arial" w:eastAsia="Arial" w:hAnsi="Arial" w:cs="Arial"/>
          <w:color w:val="000000"/>
        </w:rPr>
        <w:tab/>
        <w:t>Proposal on SDT enhancement in Rel-19</w:t>
      </w:r>
      <w:r w:rsidRPr="0034092E">
        <w:rPr>
          <w:rFonts w:ascii="Arial" w:eastAsia="Arial" w:hAnsi="Arial" w:cs="Arial"/>
          <w:color w:val="000000"/>
        </w:rPr>
        <w:tab/>
        <w:t>LG Electronics</w:t>
      </w:r>
      <w:bookmarkEnd w:id="4"/>
      <w:r w:rsidR="00FA24B9">
        <w:rPr>
          <w:rFonts w:ascii="Arial" w:eastAsia="Arial" w:hAnsi="Arial" w:cs="Arial"/>
          <w:color w:val="000000"/>
        </w:rPr>
        <w:t xml:space="preserve"> </w:t>
      </w:r>
    </w:p>
    <w:p w14:paraId="676891CC" w14:textId="0B47C8EF" w:rsidR="0048599B" w:rsidRDefault="0034092E" w:rsidP="00812EF0">
      <w:pPr>
        <w:widowControl/>
        <w:numPr>
          <w:ilvl w:val="0"/>
          <w:numId w:val="7"/>
        </w:numPr>
        <w:spacing w:before="75" w:after="75" w:line="315" w:lineRule="auto"/>
        <w:ind w:left="426" w:hanging="426"/>
        <w:jc w:val="left"/>
        <w:rPr>
          <w:rFonts w:ascii="Arial" w:eastAsia="Arial" w:hAnsi="Arial" w:cs="Arial"/>
          <w:color w:val="000000"/>
        </w:rPr>
      </w:pPr>
      <w:bookmarkStart w:id="5" w:name="_Ref144386939"/>
      <w:r w:rsidRPr="0034092E">
        <w:rPr>
          <w:rFonts w:ascii="Arial" w:eastAsia="Arial" w:hAnsi="Arial" w:cs="Arial"/>
          <w:color w:val="000000"/>
        </w:rPr>
        <w:t>RWS-230297</w:t>
      </w:r>
      <w:r w:rsidRPr="0034092E">
        <w:rPr>
          <w:rFonts w:ascii="Arial" w:eastAsia="Arial" w:hAnsi="Arial" w:cs="Arial"/>
          <w:color w:val="000000"/>
        </w:rPr>
        <w:tab/>
        <w:t>Views on SDT enhancement in Rel-19</w:t>
      </w:r>
      <w:r w:rsidRPr="0034092E">
        <w:rPr>
          <w:rFonts w:ascii="Arial" w:eastAsia="Arial" w:hAnsi="Arial" w:cs="Arial"/>
          <w:color w:val="000000"/>
        </w:rPr>
        <w:tab/>
        <w:t>ZTE, Sanechips</w:t>
      </w:r>
      <w:bookmarkEnd w:id="5"/>
    </w:p>
    <w:p w14:paraId="31AE1B1F" w14:textId="3FBFCFA3" w:rsidR="0048599B" w:rsidRDefault="00812EF0" w:rsidP="00812EF0">
      <w:pPr>
        <w:widowControl/>
        <w:numPr>
          <w:ilvl w:val="0"/>
          <w:numId w:val="7"/>
        </w:numPr>
        <w:spacing w:before="75" w:after="75" w:line="315" w:lineRule="auto"/>
        <w:ind w:left="426" w:hanging="426"/>
        <w:jc w:val="left"/>
        <w:rPr>
          <w:rFonts w:ascii="Arial" w:eastAsia="Arial" w:hAnsi="Arial" w:cs="Arial"/>
          <w:color w:val="000000"/>
        </w:rPr>
      </w:pPr>
      <w:bookmarkStart w:id="6" w:name="_Ref144386941"/>
      <w:r w:rsidRPr="00812EF0">
        <w:rPr>
          <w:rFonts w:ascii="Arial" w:eastAsia="Arial" w:hAnsi="Arial" w:cs="Arial"/>
          <w:color w:val="000000"/>
        </w:rPr>
        <w:t>RWS-230486</w:t>
      </w:r>
      <w:r w:rsidRPr="00812EF0">
        <w:rPr>
          <w:rFonts w:ascii="Arial" w:eastAsia="Arial" w:hAnsi="Arial" w:cs="Arial"/>
          <w:color w:val="000000"/>
        </w:rPr>
        <w:tab/>
        <w:t>SDT enhancements in Rel-19</w:t>
      </w:r>
      <w:r w:rsidRPr="00812EF0">
        <w:rPr>
          <w:rFonts w:ascii="Arial" w:eastAsia="Arial" w:hAnsi="Arial" w:cs="Arial"/>
          <w:color w:val="000000"/>
        </w:rPr>
        <w:tab/>
        <w:t>Intel</w:t>
      </w:r>
      <w:bookmarkEnd w:id="6"/>
      <w:r w:rsidR="00FA24B9">
        <w:rPr>
          <w:rFonts w:ascii="Arial" w:eastAsia="Arial" w:hAnsi="Arial" w:cs="Arial"/>
          <w:color w:val="000000"/>
        </w:rPr>
        <w:t xml:space="preserve"> </w:t>
      </w:r>
    </w:p>
    <w:p w14:paraId="70D2272E" w14:textId="14B5AB55" w:rsidR="00973DA2" w:rsidRDefault="00812EF0" w:rsidP="00812EF0">
      <w:pPr>
        <w:widowControl/>
        <w:numPr>
          <w:ilvl w:val="0"/>
          <w:numId w:val="7"/>
        </w:numPr>
        <w:spacing w:before="75" w:after="75" w:line="315" w:lineRule="auto"/>
        <w:ind w:left="426" w:hanging="426"/>
        <w:jc w:val="left"/>
        <w:rPr>
          <w:rFonts w:ascii="Arial" w:eastAsia="Arial" w:hAnsi="Arial" w:cs="Arial"/>
          <w:color w:val="000000"/>
        </w:rPr>
      </w:pPr>
      <w:bookmarkStart w:id="7" w:name="_Ref144387022"/>
      <w:r w:rsidRPr="00812EF0">
        <w:rPr>
          <w:rFonts w:ascii="Arial" w:eastAsia="Arial" w:hAnsi="Arial" w:cs="Arial"/>
          <w:color w:val="000000"/>
        </w:rPr>
        <w:t>R2-2307934</w:t>
      </w:r>
      <w:r w:rsidRPr="00812EF0">
        <w:rPr>
          <w:rFonts w:ascii="Arial" w:eastAsia="Arial" w:hAnsi="Arial" w:cs="Arial"/>
          <w:color w:val="000000"/>
        </w:rPr>
        <w:tab/>
        <w:t>Handling BWP restrictions in MT-SDT</w:t>
      </w:r>
      <w:r w:rsidRPr="00812EF0">
        <w:rPr>
          <w:rFonts w:ascii="Arial" w:eastAsia="Arial" w:hAnsi="Arial" w:cs="Arial"/>
          <w:color w:val="000000"/>
        </w:rPr>
        <w:tab/>
        <w:t>Ericsson, T-Mobile USA, Deutsche Telekom</w:t>
      </w:r>
      <w:r w:rsidRPr="00812EF0">
        <w:rPr>
          <w:rFonts w:ascii="Arial" w:eastAsia="Arial" w:hAnsi="Arial" w:cs="Arial"/>
          <w:color w:val="000000"/>
        </w:rPr>
        <w:tab/>
        <w:t>discussion</w:t>
      </w:r>
      <w:bookmarkEnd w:id="7"/>
    </w:p>
    <w:sectPr w:rsidR="00973DA2">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9C611" w14:textId="77777777" w:rsidR="0026052C" w:rsidRDefault="0026052C">
      <w:pPr>
        <w:spacing w:after="0" w:line="240" w:lineRule="auto"/>
      </w:pPr>
      <w:r>
        <w:separator/>
      </w:r>
    </w:p>
  </w:endnote>
  <w:endnote w:type="continuationSeparator" w:id="0">
    <w:p w14:paraId="4293EF20" w14:textId="77777777" w:rsidR="0026052C" w:rsidRDefault="00260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79A0C" w14:textId="77777777" w:rsidR="0048599B" w:rsidRDefault="00FA24B9">
    <w:pPr>
      <w:pStyle w:val="af4"/>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27DD6F11" w14:textId="77777777" w:rsidR="0048599B" w:rsidRDefault="0048599B">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611D2" w14:textId="77777777" w:rsidR="0048599B" w:rsidRDefault="0048599B">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74684" w14:textId="77777777" w:rsidR="0026052C" w:rsidRDefault="0026052C">
      <w:pPr>
        <w:spacing w:after="0" w:line="240" w:lineRule="auto"/>
      </w:pPr>
      <w:r>
        <w:separator/>
      </w:r>
    </w:p>
  </w:footnote>
  <w:footnote w:type="continuationSeparator" w:id="0">
    <w:p w14:paraId="2B4ABFD3" w14:textId="77777777" w:rsidR="0026052C" w:rsidRDefault="00260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B3951" w14:textId="77777777" w:rsidR="0048599B" w:rsidRDefault="0048599B">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2687C3"/>
    <w:multiLevelType w:val="singleLevel"/>
    <w:tmpl w:val="842687C3"/>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0E44B3"/>
    <w:multiLevelType w:val="multilevel"/>
    <w:tmpl w:val="040E44B3"/>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33FA8"/>
    <w:multiLevelType w:val="multilevel"/>
    <w:tmpl w:val="06633F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A831BF"/>
    <w:multiLevelType w:val="multilevel"/>
    <w:tmpl w:val="2EA831BF"/>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001050"/>
    <w:multiLevelType w:val="hybridMultilevel"/>
    <w:tmpl w:val="647C874A"/>
    <w:lvl w:ilvl="0" w:tplc="93801B94">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E3574F"/>
    <w:multiLevelType w:val="hybridMultilevel"/>
    <w:tmpl w:val="28906A8A"/>
    <w:lvl w:ilvl="0" w:tplc="D3F60C88">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1424F7"/>
    <w:multiLevelType w:val="hybridMultilevel"/>
    <w:tmpl w:val="92D0E0AA"/>
    <w:lvl w:ilvl="0" w:tplc="93801B94">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0A7414"/>
    <w:multiLevelType w:val="multilevel"/>
    <w:tmpl w:val="FA08B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0"/>
  </w:num>
  <w:num w:numId="4">
    <w:abstractNumId w:val="3"/>
  </w:num>
  <w:num w:numId="5">
    <w:abstractNumId w:val="4"/>
  </w:num>
  <w:num w:numId="6">
    <w:abstractNumId w:val="2"/>
  </w:num>
  <w:num w:numId="7">
    <w:abstractNumId w:val="6"/>
  </w:num>
  <w:num w:numId="8">
    <w:abstractNumId w:val="9"/>
  </w:num>
  <w:num w:numId="9">
    <w:abstractNumId w:val="5"/>
  </w:num>
  <w:num w:numId="10">
    <w:abstractNumId w:val="11"/>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394D"/>
    <w:rsid w:val="000055B1"/>
    <w:rsid w:val="000103E7"/>
    <w:rsid w:val="000130CA"/>
    <w:rsid w:val="00013FAD"/>
    <w:rsid w:val="00017BA5"/>
    <w:rsid w:val="00017D3A"/>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56EE7"/>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21AC"/>
    <w:rsid w:val="000E3B8A"/>
    <w:rsid w:val="000F099E"/>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D96"/>
    <w:rsid w:val="001413B6"/>
    <w:rsid w:val="00141835"/>
    <w:rsid w:val="00141EAA"/>
    <w:rsid w:val="00145AFF"/>
    <w:rsid w:val="00147740"/>
    <w:rsid w:val="00150BAB"/>
    <w:rsid w:val="00152BC7"/>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6B49"/>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F31F0"/>
    <w:rsid w:val="001F3DF5"/>
    <w:rsid w:val="001F4346"/>
    <w:rsid w:val="001F5D05"/>
    <w:rsid w:val="00201FFE"/>
    <w:rsid w:val="00202C4B"/>
    <w:rsid w:val="002037AE"/>
    <w:rsid w:val="00203B88"/>
    <w:rsid w:val="00206380"/>
    <w:rsid w:val="00211F18"/>
    <w:rsid w:val="002155FA"/>
    <w:rsid w:val="002176DE"/>
    <w:rsid w:val="00223B64"/>
    <w:rsid w:val="002245D3"/>
    <w:rsid w:val="0023029F"/>
    <w:rsid w:val="00231281"/>
    <w:rsid w:val="00231914"/>
    <w:rsid w:val="00231DC2"/>
    <w:rsid w:val="002333B7"/>
    <w:rsid w:val="002344F2"/>
    <w:rsid w:val="00235E04"/>
    <w:rsid w:val="002368E4"/>
    <w:rsid w:val="00241832"/>
    <w:rsid w:val="00242B85"/>
    <w:rsid w:val="00244D42"/>
    <w:rsid w:val="00246FFA"/>
    <w:rsid w:val="00247076"/>
    <w:rsid w:val="00252B94"/>
    <w:rsid w:val="00252BCC"/>
    <w:rsid w:val="00255E19"/>
    <w:rsid w:val="00256C2E"/>
    <w:rsid w:val="002570FB"/>
    <w:rsid w:val="00257233"/>
    <w:rsid w:val="0026052C"/>
    <w:rsid w:val="00260716"/>
    <w:rsid w:val="0026193E"/>
    <w:rsid w:val="00261A9C"/>
    <w:rsid w:val="00261E11"/>
    <w:rsid w:val="00262518"/>
    <w:rsid w:val="00270A1C"/>
    <w:rsid w:val="00271ED8"/>
    <w:rsid w:val="002730ED"/>
    <w:rsid w:val="00281718"/>
    <w:rsid w:val="00283CFA"/>
    <w:rsid w:val="002855D0"/>
    <w:rsid w:val="00290E18"/>
    <w:rsid w:val="002918E2"/>
    <w:rsid w:val="00291D54"/>
    <w:rsid w:val="00293A6E"/>
    <w:rsid w:val="00297A88"/>
    <w:rsid w:val="002B1F00"/>
    <w:rsid w:val="002B24A3"/>
    <w:rsid w:val="002B2BBC"/>
    <w:rsid w:val="002B351B"/>
    <w:rsid w:val="002B3C48"/>
    <w:rsid w:val="002B434C"/>
    <w:rsid w:val="002B4F1D"/>
    <w:rsid w:val="002B7EF3"/>
    <w:rsid w:val="002C0414"/>
    <w:rsid w:val="002C0864"/>
    <w:rsid w:val="002C0F12"/>
    <w:rsid w:val="002C302E"/>
    <w:rsid w:val="002C3ABE"/>
    <w:rsid w:val="002C4649"/>
    <w:rsid w:val="002D00AA"/>
    <w:rsid w:val="002D044D"/>
    <w:rsid w:val="002D0F0A"/>
    <w:rsid w:val="002D21D5"/>
    <w:rsid w:val="002D35FA"/>
    <w:rsid w:val="002D3797"/>
    <w:rsid w:val="002D37AB"/>
    <w:rsid w:val="002D6461"/>
    <w:rsid w:val="002D650F"/>
    <w:rsid w:val="002D6E18"/>
    <w:rsid w:val="002E002E"/>
    <w:rsid w:val="002E28F9"/>
    <w:rsid w:val="002E3447"/>
    <w:rsid w:val="002E5737"/>
    <w:rsid w:val="002E60A1"/>
    <w:rsid w:val="002E7525"/>
    <w:rsid w:val="002F01CA"/>
    <w:rsid w:val="002F1163"/>
    <w:rsid w:val="002F2924"/>
    <w:rsid w:val="002F3161"/>
    <w:rsid w:val="002F5517"/>
    <w:rsid w:val="003031CE"/>
    <w:rsid w:val="00305358"/>
    <w:rsid w:val="0030650B"/>
    <w:rsid w:val="003110B2"/>
    <w:rsid w:val="00312C1A"/>
    <w:rsid w:val="00312D51"/>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92E"/>
    <w:rsid w:val="00340AAF"/>
    <w:rsid w:val="003436BE"/>
    <w:rsid w:val="00345FC0"/>
    <w:rsid w:val="003469FC"/>
    <w:rsid w:val="00346E91"/>
    <w:rsid w:val="00347800"/>
    <w:rsid w:val="003504B5"/>
    <w:rsid w:val="00352591"/>
    <w:rsid w:val="003546A6"/>
    <w:rsid w:val="00354915"/>
    <w:rsid w:val="00354E6F"/>
    <w:rsid w:val="003577BE"/>
    <w:rsid w:val="00362FCF"/>
    <w:rsid w:val="003645A1"/>
    <w:rsid w:val="0036468F"/>
    <w:rsid w:val="00366993"/>
    <w:rsid w:val="00370E0A"/>
    <w:rsid w:val="00371876"/>
    <w:rsid w:val="00372C00"/>
    <w:rsid w:val="00372DBA"/>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C7733"/>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079E3"/>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560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99B"/>
    <w:rsid w:val="00485AE4"/>
    <w:rsid w:val="00486111"/>
    <w:rsid w:val="0049176F"/>
    <w:rsid w:val="00492EA5"/>
    <w:rsid w:val="00493247"/>
    <w:rsid w:val="00496C42"/>
    <w:rsid w:val="00497922"/>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0688"/>
    <w:rsid w:val="00534869"/>
    <w:rsid w:val="0053653D"/>
    <w:rsid w:val="005371D2"/>
    <w:rsid w:val="00537528"/>
    <w:rsid w:val="00542ED7"/>
    <w:rsid w:val="00545A76"/>
    <w:rsid w:val="005506C7"/>
    <w:rsid w:val="005514AA"/>
    <w:rsid w:val="00553234"/>
    <w:rsid w:val="0055402E"/>
    <w:rsid w:val="00555680"/>
    <w:rsid w:val="005556AA"/>
    <w:rsid w:val="0055689F"/>
    <w:rsid w:val="00561349"/>
    <w:rsid w:val="005657FC"/>
    <w:rsid w:val="00567054"/>
    <w:rsid w:val="00567A9A"/>
    <w:rsid w:val="00570FEC"/>
    <w:rsid w:val="00571A8C"/>
    <w:rsid w:val="0057377D"/>
    <w:rsid w:val="00576B9B"/>
    <w:rsid w:val="00585689"/>
    <w:rsid w:val="00585E04"/>
    <w:rsid w:val="0058687D"/>
    <w:rsid w:val="005910DD"/>
    <w:rsid w:val="005940C1"/>
    <w:rsid w:val="0059566C"/>
    <w:rsid w:val="0059585E"/>
    <w:rsid w:val="00595E1D"/>
    <w:rsid w:val="005A3156"/>
    <w:rsid w:val="005A53DF"/>
    <w:rsid w:val="005A6185"/>
    <w:rsid w:val="005B052E"/>
    <w:rsid w:val="005B220B"/>
    <w:rsid w:val="005B2E19"/>
    <w:rsid w:val="005B66D2"/>
    <w:rsid w:val="005B7842"/>
    <w:rsid w:val="005C1AC7"/>
    <w:rsid w:val="005C20A4"/>
    <w:rsid w:val="005C2356"/>
    <w:rsid w:val="005D57F1"/>
    <w:rsid w:val="005D680C"/>
    <w:rsid w:val="005E0138"/>
    <w:rsid w:val="005E06D3"/>
    <w:rsid w:val="005E27C0"/>
    <w:rsid w:val="005E4F1C"/>
    <w:rsid w:val="005E7B04"/>
    <w:rsid w:val="005F05DE"/>
    <w:rsid w:val="005F097D"/>
    <w:rsid w:val="005F1004"/>
    <w:rsid w:val="005F1FAE"/>
    <w:rsid w:val="005F42AD"/>
    <w:rsid w:val="005F56A6"/>
    <w:rsid w:val="005F6041"/>
    <w:rsid w:val="005F7E99"/>
    <w:rsid w:val="00600096"/>
    <w:rsid w:val="00601081"/>
    <w:rsid w:val="006012C6"/>
    <w:rsid w:val="00603239"/>
    <w:rsid w:val="0060473D"/>
    <w:rsid w:val="006053DC"/>
    <w:rsid w:val="00606C6B"/>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6AE4"/>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3162"/>
    <w:rsid w:val="006954BD"/>
    <w:rsid w:val="006978B2"/>
    <w:rsid w:val="00697DD7"/>
    <w:rsid w:val="006A159C"/>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37"/>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55B8"/>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2EF0"/>
    <w:rsid w:val="00814945"/>
    <w:rsid w:val="00814985"/>
    <w:rsid w:val="008160BF"/>
    <w:rsid w:val="00816F96"/>
    <w:rsid w:val="008170EC"/>
    <w:rsid w:val="008175D4"/>
    <w:rsid w:val="008200EF"/>
    <w:rsid w:val="00822D4B"/>
    <w:rsid w:val="00823AF8"/>
    <w:rsid w:val="00824D58"/>
    <w:rsid w:val="008267CB"/>
    <w:rsid w:val="00827512"/>
    <w:rsid w:val="00835356"/>
    <w:rsid w:val="00836D5A"/>
    <w:rsid w:val="0083795A"/>
    <w:rsid w:val="00837C9F"/>
    <w:rsid w:val="00843379"/>
    <w:rsid w:val="008436F0"/>
    <w:rsid w:val="00843DAA"/>
    <w:rsid w:val="00843F40"/>
    <w:rsid w:val="008477DC"/>
    <w:rsid w:val="008505B6"/>
    <w:rsid w:val="00850AD1"/>
    <w:rsid w:val="00851A3E"/>
    <w:rsid w:val="00851C79"/>
    <w:rsid w:val="00852259"/>
    <w:rsid w:val="00853419"/>
    <w:rsid w:val="00855CBD"/>
    <w:rsid w:val="00856B13"/>
    <w:rsid w:val="00856F99"/>
    <w:rsid w:val="008609B3"/>
    <w:rsid w:val="00860FE6"/>
    <w:rsid w:val="00864140"/>
    <w:rsid w:val="00864D17"/>
    <w:rsid w:val="00865486"/>
    <w:rsid w:val="008702BF"/>
    <w:rsid w:val="008719DB"/>
    <w:rsid w:val="00871A16"/>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7818"/>
    <w:rsid w:val="008B302A"/>
    <w:rsid w:val="008B4198"/>
    <w:rsid w:val="008B4609"/>
    <w:rsid w:val="008B725C"/>
    <w:rsid w:val="008B7A34"/>
    <w:rsid w:val="008C1D6D"/>
    <w:rsid w:val="008C3F98"/>
    <w:rsid w:val="008C594A"/>
    <w:rsid w:val="008D1DAC"/>
    <w:rsid w:val="008D23AF"/>
    <w:rsid w:val="008D3A05"/>
    <w:rsid w:val="008D3E0C"/>
    <w:rsid w:val="008D4E2C"/>
    <w:rsid w:val="008D681A"/>
    <w:rsid w:val="008D6B1A"/>
    <w:rsid w:val="008D6D38"/>
    <w:rsid w:val="008E0617"/>
    <w:rsid w:val="008E5B71"/>
    <w:rsid w:val="008E5BBF"/>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748"/>
    <w:rsid w:val="00925A8F"/>
    <w:rsid w:val="00925D8E"/>
    <w:rsid w:val="009269F5"/>
    <w:rsid w:val="00930CAD"/>
    <w:rsid w:val="009400CF"/>
    <w:rsid w:val="00940533"/>
    <w:rsid w:val="009410AE"/>
    <w:rsid w:val="00941C0D"/>
    <w:rsid w:val="00942AD5"/>
    <w:rsid w:val="009432FE"/>
    <w:rsid w:val="009438F8"/>
    <w:rsid w:val="00944414"/>
    <w:rsid w:val="00945FA9"/>
    <w:rsid w:val="009467C2"/>
    <w:rsid w:val="0094691D"/>
    <w:rsid w:val="009544CE"/>
    <w:rsid w:val="00954F42"/>
    <w:rsid w:val="00957172"/>
    <w:rsid w:val="009578D1"/>
    <w:rsid w:val="00957A33"/>
    <w:rsid w:val="0096003B"/>
    <w:rsid w:val="0096081E"/>
    <w:rsid w:val="0096137E"/>
    <w:rsid w:val="0096159D"/>
    <w:rsid w:val="00961E92"/>
    <w:rsid w:val="0096459F"/>
    <w:rsid w:val="009647C5"/>
    <w:rsid w:val="0096604F"/>
    <w:rsid w:val="00966280"/>
    <w:rsid w:val="009663C5"/>
    <w:rsid w:val="00971DDC"/>
    <w:rsid w:val="00973464"/>
    <w:rsid w:val="00973DA2"/>
    <w:rsid w:val="009755AD"/>
    <w:rsid w:val="009757E0"/>
    <w:rsid w:val="009761F1"/>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2BBD"/>
    <w:rsid w:val="00A03D3F"/>
    <w:rsid w:val="00A04BEB"/>
    <w:rsid w:val="00A04DE2"/>
    <w:rsid w:val="00A11A20"/>
    <w:rsid w:val="00A11DFB"/>
    <w:rsid w:val="00A11F1E"/>
    <w:rsid w:val="00A14BA5"/>
    <w:rsid w:val="00A1526E"/>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612"/>
    <w:rsid w:val="00A54719"/>
    <w:rsid w:val="00A5709E"/>
    <w:rsid w:val="00A612B9"/>
    <w:rsid w:val="00A65FFF"/>
    <w:rsid w:val="00A66B14"/>
    <w:rsid w:val="00A66CF8"/>
    <w:rsid w:val="00A67D68"/>
    <w:rsid w:val="00A70A2F"/>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2B87"/>
    <w:rsid w:val="00AC4276"/>
    <w:rsid w:val="00AC464D"/>
    <w:rsid w:val="00AC51E8"/>
    <w:rsid w:val="00AD0CA9"/>
    <w:rsid w:val="00AD1C5F"/>
    <w:rsid w:val="00AD2407"/>
    <w:rsid w:val="00AD62D8"/>
    <w:rsid w:val="00AE5146"/>
    <w:rsid w:val="00AE55C5"/>
    <w:rsid w:val="00AE5A4F"/>
    <w:rsid w:val="00AE7B16"/>
    <w:rsid w:val="00AF0B65"/>
    <w:rsid w:val="00AF1B4F"/>
    <w:rsid w:val="00AF7EEF"/>
    <w:rsid w:val="00B002E0"/>
    <w:rsid w:val="00B0053F"/>
    <w:rsid w:val="00B0132A"/>
    <w:rsid w:val="00B029C1"/>
    <w:rsid w:val="00B07968"/>
    <w:rsid w:val="00B07B19"/>
    <w:rsid w:val="00B10FBA"/>
    <w:rsid w:val="00B1189C"/>
    <w:rsid w:val="00B12666"/>
    <w:rsid w:val="00B126DA"/>
    <w:rsid w:val="00B1526F"/>
    <w:rsid w:val="00B15903"/>
    <w:rsid w:val="00B166C8"/>
    <w:rsid w:val="00B16D3A"/>
    <w:rsid w:val="00B23604"/>
    <w:rsid w:val="00B243E6"/>
    <w:rsid w:val="00B247B7"/>
    <w:rsid w:val="00B2566A"/>
    <w:rsid w:val="00B2704A"/>
    <w:rsid w:val="00B40688"/>
    <w:rsid w:val="00B40810"/>
    <w:rsid w:val="00B41694"/>
    <w:rsid w:val="00B425D5"/>
    <w:rsid w:val="00B426BB"/>
    <w:rsid w:val="00B427B9"/>
    <w:rsid w:val="00B42907"/>
    <w:rsid w:val="00B43371"/>
    <w:rsid w:val="00B4389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A79E0"/>
    <w:rsid w:val="00BB156E"/>
    <w:rsid w:val="00BB3ABA"/>
    <w:rsid w:val="00BB4FEC"/>
    <w:rsid w:val="00BB65B1"/>
    <w:rsid w:val="00BB69D5"/>
    <w:rsid w:val="00BC03E1"/>
    <w:rsid w:val="00BC4593"/>
    <w:rsid w:val="00BD05BF"/>
    <w:rsid w:val="00BD464A"/>
    <w:rsid w:val="00BD6CFB"/>
    <w:rsid w:val="00BD719C"/>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00FE"/>
    <w:rsid w:val="00C32425"/>
    <w:rsid w:val="00C32C18"/>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07EE4"/>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216D"/>
    <w:rsid w:val="00D369E4"/>
    <w:rsid w:val="00D41A51"/>
    <w:rsid w:val="00D42DFD"/>
    <w:rsid w:val="00D45E14"/>
    <w:rsid w:val="00D4755C"/>
    <w:rsid w:val="00D4779C"/>
    <w:rsid w:val="00D52834"/>
    <w:rsid w:val="00D544FE"/>
    <w:rsid w:val="00D5596F"/>
    <w:rsid w:val="00D562BA"/>
    <w:rsid w:val="00D56F3F"/>
    <w:rsid w:val="00D61F13"/>
    <w:rsid w:val="00D672D6"/>
    <w:rsid w:val="00D67D4A"/>
    <w:rsid w:val="00D70B9D"/>
    <w:rsid w:val="00D72B46"/>
    <w:rsid w:val="00D72EEE"/>
    <w:rsid w:val="00D73122"/>
    <w:rsid w:val="00D75D2E"/>
    <w:rsid w:val="00D76990"/>
    <w:rsid w:val="00D806A3"/>
    <w:rsid w:val="00D81BAC"/>
    <w:rsid w:val="00D83149"/>
    <w:rsid w:val="00D83173"/>
    <w:rsid w:val="00D8380A"/>
    <w:rsid w:val="00D84ABB"/>
    <w:rsid w:val="00D85273"/>
    <w:rsid w:val="00D8755F"/>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5939"/>
    <w:rsid w:val="00DF4CBC"/>
    <w:rsid w:val="00DF5370"/>
    <w:rsid w:val="00E0032E"/>
    <w:rsid w:val="00E0205D"/>
    <w:rsid w:val="00E1018A"/>
    <w:rsid w:val="00E120F4"/>
    <w:rsid w:val="00E153F6"/>
    <w:rsid w:val="00E15F7E"/>
    <w:rsid w:val="00E173DF"/>
    <w:rsid w:val="00E20866"/>
    <w:rsid w:val="00E27FC2"/>
    <w:rsid w:val="00E31912"/>
    <w:rsid w:val="00E31B60"/>
    <w:rsid w:val="00E34D88"/>
    <w:rsid w:val="00E353DB"/>
    <w:rsid w:val="00E36375"/>
    <w:rsid w:val="00E40D48"/>
    <w:rsid w:val="00E40DBF"/>
    <w:rsid w:val="00E4280E"/>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3F18"/>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06B"/>
    <w:rsid w:val="00ED5270"/>
    <w:rsid w:val="00ED7856"/>
    <w:rsid w:val="00ED792B"/>
    <w:rsid w:val="00ED7DC2"/>
    <w:rsid w:val="00EE5769"/>
    <w:rsid w:val="00EE5CA6"/>
    <w:rsid w:val="00EE6916"/>
    <w:rsid w:val="00EE764A"/>
    <w:rsid w:val="00EF1335"/>
    <w:rsid w:val="00EF1557"/>
    <w:rsid w:val="00EF4AE0"/>
    <w:rsid w:val="00EF6FA1"/>
    <w:rsid w:val="00EF7BA4"/>
    <w:rsid w:val="00F012FF"/>
    <w:rsid w:val="00F01A21"/>
    <w:rsid w:val="00F046E9"/>
    <w:rsid w:val="00F04831"/>
    <w:rsid w:val="00F12DA8"/>
    <w:rsid w:val="00F1322B"/>
    <w:rsid w:val="00F13339"/>
    <w:rsid w:val="00F13699"/>
    <w:rsid w:val="00F16AB3"/>
    <w:rsid w:val="00F20E2B"/>
    <w:rsid w:val="00F25BEF"/>
    <w:rsid w:val="00F270BA"/>
    <w:rsid w:val="00F27B4B"/>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3F72"/>
    <w:rsid w:val="00F854ED"/>
    <w:rsid w:val="00F875D8"/>
    <w:rsid w:val="00F90E30"/>
    <w:rsid w:val="00F917E4"/>
    <w:rsid w:val="00F91B00"/>
    <w:rsid w:val="00F9424D"/>
    <w:rsid w:val="00F94C3A"/>
    <w:rsid w:val="00F94D96"/>
    <w:rsid w:val="00F94DFC"/>
    <w:rsid w:val="00F96BAD"/>
    <w:rsid w:val="00FA24B9"/>
    <w:rsid w:val="00FA34B5"/>
    <w:rsid w:val="00FA663E"/>
    <w:rsid w:val="00FA7067"/>
    <w:rsid w:val="00FB0158"/>
    <w:rsid w:val="00FB06CF"/>
    <w:rsid w:val="00FB16BC"/>
    <w:rsid w:val="00FB25A0"/>
    <w:rsid w:val="00FB2D7C"/>
    <w:rsid w:val="00FB4F37"/>
    <w:rsid w:val="00FB79F1"/>
    <w:rsid w:val="00FB7E5A"/>
    <w:rsid w:val="00FC6E54"/>
    <w:rsid w:val="00FD1379"/>
    <w:rsid w:val="00FD1FB1"/>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0E9B0F0B"/>
    <w:rsid w:val="44C70D28"/>
    <w:rsid w:val="5BA32AD2"/>
    <w:rsid w:val="69797C2C"/>
    <w:rsid w:val="7A0E2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A0D46"/>
  <w15:docId w15:val="{DA7D63CB-1DDE-48C9-BAB4-00DC00590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Normal Indent" w:semiHidden="1" w:unhideWhenUsed="1"/>
    <w:lsdException w:name="annotation text" w:unhideWhenUsed="1"/>
    <w:lsdException w:name="header" w:uiPriority="99"/>
    <w:lsdException w:name="footer" w:uiPriority="99"/>
    <w:lsdException w:name="caption" w:qFormat="1"/>
    <w:lsdException w:name="table of figures" w:uiPriority="99"/>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lang w:val="en-US" w:eastAsia="zh-CN"/>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0"/>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a"/>
    <w:next w:val="a"/>
    <w:pPr>
      <w:tabs>
        <w:tab w:val="right" w:leader="dot" w:pos="9241"/>
      </w:tabs>
      <w:ind w:firstLineChars="500" w:firstLine="500"/>
      <w:jc w:val="left"/>
    </w:pPr>
    <w:rPr>
      <w:rFonts w:ascii="宋体"/>
      <w:szCs w:val="21"/>
    </w:rPr>
  </w:style>
  <w:style w:type="paragraph" w:styleId="21">
    <w:name w:val="List Number 2"/>
    <w:basedOn w:val="a3"/>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pPr>
      <w:ind w:left="200" w:hangingChars="200" w:hanging="200"/>
      <w:contextualSpacing/>
    </w:pPr>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pPr>
      <w:ind w:left="1050" w:hanging="210"/>
      <w:jc w:val="left"/>
    </w:pPr>
    <w:rPr>
      <w:rFonts w:ascii="Calibri" w:hAnsi="Calibri"/>
      <w:sz w:val="20"/>
      <w:szCs w:val="20"/>
    </w:rPr>
  </w:style>
  <w:style w:type="paragraph" w:styleId="a8">
    <w:name w:val="Document Map"/>
    <w:basedOn w:val="a"/>
    <w:link w:val="a9"/>
    <w:unhideWhenUsed/>
    <w:rPr>
      <w:rFonts w:ascii="宋体"/>
      <w:sz w:val="18"/>
      <w:szCs w:val="18"/>
    </w:rPr>
  </w:style>
  <w:style w:type="paragraph" w:styleId="aa">
    <w:name w:val="annotation text"/>
    <w:basedOn w:val="a"/>
    <w:link w:val="ab"/>
    <w:unhideWhenUsed/>
    <w:pPr>
      <w:jc w:val="left"/>
    </w:pPr>
  </w:style>
  <w:style w:type="paragraph" w:styleId="61">
    <w:name w:val="index 6"/>
    <w:basedOn w:val="a"/>
    <w:next w:val="a"/>
    <w:pPr>
      <w:ind w:left="1260" w:hanging="210"/>
      <w:jc w:val="left"/>
    </w:pPr>
    <w:rPr>
      <w:rFonts w:ascii="Calibri" w:hAnsi="Calibri"/>
      <w:sz w:val="20"/>
      <w:szCs w:val="20"/>
    </w:rPr>
  </w:style>
  <w:style w:type="paragraph" w:styleId="ac">
    <w:name w:val="Body Text"/>
    <w:basedOn w:val="a"/>
    <w:link w:val="ad"/>
    <w:pPr>
      <w:widowControl/>
      <w:spacing w:before="40" w:after="120"/>
      <w:jc w:val="left"/>
    </w:pPr>
    <w:rPr>
      <w:rFonts w:ascii="Arial" w:eastAsia="MS Mincho" w:hAnsi="Arial"/>
      <w:kern w:val="0"/>
      <w:sz w:val="20"/>
      <w:lang w:val="en-GB" w:eastAsia="en-GB"/>
    </w:rPr>
  </w:style>
  <w:style w:type="paragraph" w:styleId="23">
    <w:name w:val="List 2"/>
    <w:basedOn w:val="a"/>
    <w:unhideWhenUsed/>
    <w:pPr>
      <w:ind w:leftChars="200" w:left="100" w:hangingChars="200" w:hanging="200"/>
      <w:contextualSpacing/>
    </w:pPr>
  </w:style>
  <w:style w:type="paragraph" w:styleId="42">
    <w:name w:val="index 4"/>
    <w:basedOn w:val="a"/>
    <w:next w:val="a"/>
    <w:pPr>
      <w:ind w:left="840" w:hanging="210"/>
      <w:jc w:val="left"/>
    </w:pPr>
    <w:rPr>
      <w:rFonts w:ascii="Calibri" w:hAnsi="Calibri"/>
      <w:sz w:val="20"/>
      <w:szCs w:val="20"/>
    </w:rPr>
  </w:style>
  <w:style w:type="paragraph" w:styleId="TOC5">
    <w:name w:val="toc 5"/>
    <w:basedOn w:val="a"/>
    <w:next w:val="a"/>
    <w:pPr>
      <w:tabs>
        <w:tab w:val="right" w:leader="dot" w:pos="9241"/>
      </w:tabs>
      <w:ind w:firstLineChars="300" w:firstLine="300"/>
      <w:jc w:val="left"/>
    </w:pPr>
    <w:rPr>
      <w:rFonts w:ascii="宋体"/>
      <w:szCs w:val="21"/>
    </w:rPr>
  </w:style>
  <w:style w:type="paragraph" w:styleId="TOC3">
    <w:name w:val="toc 3"/>
    <w:basedOn w:val="a"/>
    <w:next w:val="a"/>
    <w:pPr>
      <w:tabs>
        <w:tab w:val="right" w:leader="dot" w:pos="9241"/>
      </w:tabs>
      <w:ind w:firstLineChars="100" w:firstLine="100"/>
      <w:jc w:val="left"/>
    </w:pPr>
    <w:rPr>
      <w:rFonts w:ascii="宋体"/>
      <w:szCs w:val="21"/>
    </w:rPr>
  </w:style>
  <w:style w:type="paragraph" w:styleId="ae">
    <w:name w:val="Plain Text"/>
    <w:basedOn w:val="a"/>
    <w:link w:val="af"/>
    <w:uiPriority w:val="99"/>
    <w:unhideWhenUsed/>
    <w:pPr>
      <w:widowControl/>
      <w:spacing w:before="40"/>
      <w:jc w:val="left"/>
    </w:pPr>
    <w:rPr>
      <w:rFonts w:ascii="Consolas" w:eastAsia="Calibri" w:hAnsi="Consolas"/>
      <w:kern w:val="0"/>
      <w:szCs w:val="21"/>
      <w:lang w:eastAsia="en-US"/>
    </w:rPr>
  </w:style>
  <w:style w:type="paragraph" w:styleId="52">
    <w:name w:val="List Bullet 5"/>
    <w:basedOn w:val="41"/>
    <w:pPr>
      <w:ind w:left="1702"/>
    </w:pPr>
  </w:style>
  <w:style w:type="paragraph" w:styleId="TOC8">
    <w:name w:val="toc 8"/>
    <w:basedOn w:val="a"/>
    <w:next w:val="a"/>
    <w:pPr>
      <w:tabs>
        <w:tab w:val="right" w:leader="dot" w:pos="9241"/>
      </w:tabs>
      <w:ind w:firstLineChars="600" w:firstLine="607"/>
      <w:jc w:val="left"/>
    </w:pPr>
    <w:rPr>
      <w:rFonts w:ascii="宋体"/>
      <w:szCs w:val="21"/>
    </w:rPr>
  </w:style>
  <w:style w:type="paragraph" w:styleId="33">
    <w:name w:val="index 3"/>
    <w:basedOn w:val="a"/>
    <w:next w:val="a"/>
    <w:pPr>
      <w:ind w:left="630" w:hanging="210"/>
      <w:jc w:val="left"/>
    </w:pPr>
    <w:rPr>
      <w:rFonts w:ascii="Calibri" w:hAnsi="Calibri"/>
      <w:sz w:val="20"/>
      <w:szCs w:val="20"/>
    </w:rPr>
  </w:style>
  <w:style w:type="paragraph" w:styleId="af0">
    <w:name w:val="endnote text"/>
    <w:basedOn w:val="a"/>
    <w:link w:val="af1"/>
    <w:pPr>
      <w:snapToGrid w:val="0"/>
      <w:jc w:val="left"/>
    </w:pPr>
  </w:style>
  <w:style w:type="paragraph" w:styleId="af2">
    <w:name w:val="Balloon Text"/>
    <w:basedOn w:val="a"/>
    <w:link w:val="af3"/>
    <w:unhideWhenUsed/>
    <w:rPr>
      <w:sz w:val="18"/>
      <w:szCs w:val="18"/>
    </w:rPr>
  </w:style>
  <w:style w:type="paragraph" w:styleId="af4">
    <w:name w:val="footer"/>
    <w:basedOn w:val="a"/>
    <w:link w:val="af5"/>
    <w:uiPriority w:val="99"/>
    <w:pPr>
      <w:tabs>
        <w:tab w:val="center" w:pos="4153"/>
        <w:tab w:val="right" w:pos="8306"/>
      </w:tabs>
      <w:snapToGrid w:val="0"/>
      <w:jc w:val="left"/>
    </w:pPr>
    <w:rPr>
      <w:sz w:val="18"/>
      <w:szCs w:val="18"/>
    </w:rPr>
  </w:style>
  <w:style w:type="paragraph" w:styleId="af6">
    <w:name w:val="header"/>
    <w:basedOn w:val="a"/>
    <w:link w:val="af7"/>
    <w:uiPriority w:val="99"/>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pPr>
      <w:tabs>
        <w:tab w:val="right" w:leader="dot" w:pos="9242"/>
      </w:tabs>
      <w:spacing w:beforeLines="25" w:afterLines="25"/>
      <w:jc w:val="left"/>
    </w:pPr>
    <w:rPr>
      <w:rFonts w:ascii="宋体"/>
      <w:szCs w:val="21"/>
    </w:rPr>
  </w:style>
  <w:style w:type="paragraph" w:styleId="TOC4">
    <w:name w:val="toc 4"/>
    <w:basedOn w:val="a"/>
    <w:next w:val="a"/>
    <w:pPr>
      <w:tabs>
        <w:tab w:val="right" w:leader="dot" w:pos="9241"/>
      </w:tabs>
      <w:ind w:firstLineChars="200" w:firstLine="200"/>
      <w:jc w:val="left"/>
    </w:pPr>
    <w:rPr>
      <w:rFonts w:ascii="宋体"/>
      <w:szCs w:val="21"/>
    </w:rPr>
  </w:style>
  <w:style w:type="paragraph" w:styleId="af8">
    <w:name w:val="index heading"/>
    <w:basedOn w:val="a"/>
    <w:next w:val="11"/>
    <w:pPr>
      <w:spacing w:before="120" w:after="120"/>
      <w:jc w:val="center"/>
    </w:pPr>
    <w:rPr>
      <w:rFonts w:ascii="Calibri" w:hAnsi="Calibri"/>
      <w:b/>
      <w:bCs/>
      <w:iCs/>
      <w:szCs w:val="20"/>
    </w:rPr>
  </w:style>
  <w:style w:type="paragraph" w:styleId="11">
    <w:name w:val="index 1"/>
    <w:basedOn w:val="a"/>
    <w:next w:val="af9"/>
    <w:pPr>
      <w:tabs>
        <w:tab w:val="right" w:leader="dot" w:pos="9299"/>
      </w:tabs>
      <w:jc w:val="left"/>
    </w:pPr>
    <w:rPr>
      <w:rFonts w:ascii="宋体"/>
      <w:szCs w:val="21"/>
    </w:rPr>
  </w:style>
  <w:style w:type="paragraph" w:customStyle="1" w:styleId="af9">
    <w:name w:val="段"/>
    <w:link w:val="CharChar"/>
    <w:pPr>
      <w:tabs>
        <w:tab w:val="center" w:pos="4201"/>
        <w:tab w:val="right" w:leader="dot" w:pos="9298"/>
      </w:tabs>
      <w:autoSpaceDE w:val="0"/>
      <w:autoSpaceDN w:val="0"/>
      <w:ind w:firstLineChars="200" w:firstLine="420"/>
      <w:jc w:val="both"/>
    </w:pPr>
    <w:rPr>
      <w:rFonts w:ascii="宋体"/>
      <w:sz w:val="21"/>
      <w:lang w:val="en-US" w:eastAsia="zh-CN"/>
    </w:rPr>
  </w:style>
  <w:style w:type="paragraph" w:styleId="afa">
    <w:name w:val="footnote text"/>
    <w:basedOn w:val="a"/>
    <w:link w:val="afb"/>
    <w:pPr>
      <w:tabs>
        <w:tab w:val="left" w:pos="0"/>
      </w:tabs>
      <w:snapToGrid w:val="0"/>
      <w:jc w:val="left"/>
    </w:pPr>
    <w:rPr>
      <w:rFonts w:ascii="宋体"/>
      <w:sz w:val="18"/>
      <w:szCs w:val="18"/>
    </w:rPr>
  </w:style>
  <w:style w:type="paragraph" w:styleId="TOC6">
    <w:name w:val="toc 6"/>
    <w:basedOn w:val="a"/>
    <w:next w:val="a"/>
    <w:pPr>
      <w:tabs>
        <w:tab w:val="right" w:leader="dot" w:pos="9241"/>
      </w:tabs>
      <w:ind w:firstLineChars="400" w:firstLine="400"/>
      <w:jc w:val="left"/>
    </w:pPr>
    <w:rPr>
      <w:rFonts w:ascii="宋体"/>
      <w:szCs w:val="21"/>
    </w:rPr>
  </w:style>
  <w:style w:type="paragraph" w:styleId="53">
    <w:name w:val="List 5"/>
    <w:basedOn w:val="43"/>
    <w:pPr>
      <w:ind w:left="1702"/>
    </w:pPr>
  </w:style>
  <w:style w:type="paragraph" w:styleId="43">
    <w:name w:val="List 4"/>
    <w:basedOn w:val="31"/>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pPr>
      <w:ind w:left="1470" w:hanging="210"/>
      <w:jc w:val="left"/>
    </w:pPr>
    <w:rPr>
      <w:rFonts w:ascii="Calibri" w:hAnsi="Calibri"/>
      <w:sz w:val="20"/>
      <w:szCs w:val="20"/>
    </w:rPr>
  </w:style>
  <w:style w:type="paragraph" w:styleId="91">
    <w:name w:val="index 9"/>
    <w:basedOn w:val="a"/>
    <w:next w:val="a"/>
    <w:pPr>
      <w:ind w:left="1890" w:hanging="210"/>
      <w:jc w:val="left"/>
    </w:pPr>
    <w:rPr>
      <w:rFonts w:ascii="Calibri" w:hAnsi="Calibri"/>
      <w:sz w:val="20"/>
      <w:szCs w:val="20"/>
    </w:rPr>
  </w:style>
  <w:style w:type="paragraph" w:styleId="afc">
    <w:name w:val="table of figures"/>
    <w:basedOn w:val="a"/>
    <w:next w:val="a"/>
    <w:uiPriority w:val="9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pPr>
      <w:tabs>
        <w:tab w:val="right" w:leader="dot" w:pos="9242"/>
      </w:tabs>
    </w:pPr>
    <w:rPr>
      <w:rFonts w:ascii="宋体"/>
      <w:szCs w:val="21"/>
    </w:rPr>
  </w:style>
  <w:style w:type="paragraph" w:styleId="TOC9">
    <w:name w:val="toc 9"/>
    <w:basedOn w:val="a"/>
    <w:next w:val="a"/>
    <w:pPr>
      <w:ind w:left="1470"/>
      <w:jc w:val="left"/>
    </w:pPr>
    <w:rPr>
      <w:sz w:val="20"/>
      <w:szCs w:val="20"/>
    </w:rPr>
  </w:style>
  <w:style w:type="paragraph" w:styleId="afd">
    <w:name w:val="Normal (Web)"/>
    <w:basedOn w:val="a"/>
    <w:uiPriority w:val="99"/>
    <w:unhideWhenUsed/>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pPr>
      <w:ind w:left="420" w:hanging="210"/>
      <w:jc w:val="left"/>
    </w:pPr>
    <w:rPr>
      <w:rFonts w:ascii="Calibri" w:hAnsi="Calibri"/>
      <w:sz w:val="20"/>
      <w:szCs w:val="20"/>
    </w:rPr>
  </w:style>
  <w:style w:type="paragraph" w:styleId="afe">
    <w:name w:val="annotation subject"/>
    <w:basedOn w:val="aa"/>
    <w:next w:val="aa"/>
    <w:link w:val="aff"/>
    <w:semiHidden/>
    <w:pPr>
      <w:widowControl/>
      <w:spacing w:before="40"/>
    </w:pPr>
    <w:rPr>
      <w:rFonts w:ascii="Arial" w:eastAsia="MS Mincho" w:hAnsi="Arial"/>
      <w:b/>
      <w:bCs/>
      <w:kern w:val="0"/>
      <w:sz w:val="20"/>
      <w:szCs w:val="20"/>
      <w:lang w:val="en-GB" w:eastAsia="en-GB"/>
    </w:rPr>
  </w:style>
  <w:style w:type="table" w:styleId="aff0">
    <w:name w:val="Table Grid"/>
    <w:basedOn w:val="a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rPr>
      <w:vertAlign w:val="superscript"/>
    </w:rPr>
  </w:style>
  <w:style w:type="character" w:styleId="aff2">
    <w:name w:val="page number"/>
    <w:basedOn w:val="a0"/>
  </w:style>
  <w:style w:type="character" w:styleId="aff3">
    <w:name w:val="FollowedHyperlink"/>
    <w:basedOn w:val="a0"/>
    <w:rPr>
      <w:color w:val="800080"/>
      <w:u w:val="single"/>
    </w:rPr>
  </w:style>
  <w:style w:type="character" w:styleId="aff4">
    <w:name w:val="Emphasis"/>
    <w:qFormat/>
    <w:rPr>
      <w:i/>
      <w:iCs/>
    </w:rPr>
  </w:style>
  <w:style w:type="character" w:styleId="aff5">
    <w:name w:val="Hyperlink"/>
    <w:basedOn w:val="a0"/>
    <w:uiPriority w:val="99"/>
    <w:rPr>
      <w:color w:val="0000FF"/>
      <w:spacing w:val="0"/>
      <w:w w:val="100"/>
      <w:szCs w:val="21"/>
      <w:u w:val="single"/>
      <w:lang w:val="en-US" w:eastAsia="zh-CN"/>
    </w:rPr>
  </w:style>
  <w:style w:type="character" w:styleId="aff6">
    <w:name w:val="annotation reference"/>
    <w:rPr>
      <w:sz w:val="16"/>
    </w:rPr>
  </w:style>
  <w:style w:type="character" w:styleId="aff7">
    <w:name w:val="footnote reference"/>
    <w:basedOn w:val="a0"/>
    <w:rPr>
      <w:vertAlign w:val="superscript"/>
    </w:rPr>
  </w:style>
  <w:style w:type="character" w:customStyle="1" w:styleId="af3">
    <w:name w:val="批注框文本 字符"/>
    <w:basedOn w:val="a0"/>
    <w:link w:val="af2"/>
    <w:rPr>
      <w:kern w:val="2"/>
      <w:sz w:val="18"/>
      <w:szCs w:val="18"/>
    </w:rPr>
  </w:style>
  <w:style w:type="paragraph" w:styleId="aff8">
    <w:name w:val="List Paragraph"/>
    <w:basedOn w:val="a"/>
    <w:link w:val="aff9"/>
    <w:uiPriority w:val="99"/>
    <w:unhideWhenUsed/>
    <w:qFormat/>
    <w:pPr>
      <w:ind w:firstLineChars="200" w:firstLine="420"/>
    </w:pPr>
  </w:style>
  <w:style w:type="character" w:customStyle="1" w:styleId="a9">
    <w:name w:val="文档结构图 字符"/>
    <w:basedOn w:val="a0"/>
    <w:link w:val="a8"/>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rPr>
      <w:rFonts w:ascii="Arial" w:eastAsia="MS Mincho" w:hAnsi="Arial"/>
      <w:sz w:val="32"/>
      <w:szCs w:val="32"/>
      <w:lang w:val="en-GB"/>
    </w:rPr>
  </w:style>
  <w:style w:type="character" w:customStyle="1" w:styleId="30">
    <w:name w:val="标题 3 字符"/>
    <w:basedOn w:val="a0"/>
    <w:link w:val="3"/>
    <w:rPr>
      <w:b/>
      <w:bCs/>
      <w:kern w:val="2"/>
      <w:sz w:val="32"/>
      <w:szCs w:val="32"/>
    </w:rPr>
  </w:style>
  <w:style w:type="character" w:customStyle="1" w:styleId="40">
    <w:name w:val="标题 4 字符"/>
    <w:basedOn w:val="a0"/>
    <w:link w:val="4"/>
    <w:rPr>
      <w:rFonts w:ascii="Arial" w:eastAsia="黑体" w:hAnsi="Arial"/>
      <w:b/>
      <w:kern w:val="2"/>
      <w:sz w:val="28"/>
      <w:szCs w:val="24"/>
    </w:rPr>
  </w:style>
  <w:style w:type="character" w:customStyle="1" w:styleId="50">
    <w:name w:val="标题 5 字符"/>
    <w:basedOn w:val="a0"/>
    <w:link w:val="5"/>
    <w:rPr>
      <w:b/>
      <w:kern w:val="2"/>
      <w:sz w:val="28"/>
      <w:szCs w:val="24"/>
    </w:rPr>
  </w:style>
  <w:style w:type="character" w:customStyle="1" w:styleId="60">
    <w:name w:val="标题 6 字符"/>
    <w:basedOn w:val="a0"/>
    <w:link w:val="6"/>
    <w:rPr>
      <w:rFonts w:ascii="Arial" w:eastAsia="黑体" w:hAnsi="Arial"/>
      <w:b/>
      <w:kern w:val="2"/>
      <w:sz w:val="24"/>
      <w:szCs w:val="24"/>
    </w:rPr>
  </w:style>
  <w:style w:type="character" w:customStyle="1" w:styleId="70">
    <w:name w:val="标题 7 字符"/>
    <w:basedOn w:val="a0"/>
    <w:link w:val="7"/>
    <w:rPr>
      <w:b/>
      <w:kern w:val="2"/>
      <w:sz w:val="24"/>
      <w:szCs w:val="24"/>
    </w:rPr>
  </w:style>
  <w:style w:type="character" w:customStyle="1" w:styleId="80">
    <w:name w:val="标题 8 字符"/>
    <w:basedOn w:val="a0"/>
    <w:link w:val="8"/>
    <w:rPr>
      <w:rFonts w:ascii="Arial" w:eastAsia="黑体" w:hAnsi="Arial"/>
      <w:kern w:val="2"/>
      <w:sz w:val="24"/>
      <w:szCs w:val="24"/>
    </w:rPr>
  </w:style>
  <w:style w:type="character" w:customStyle="1" w:styleId="90">
    <w:name w:val="标题 9 字符"/>
    <w:basedOn w:val="a0"/>
    <w:link w:val="9"/>
    <w:rPr>
      <w:rFonts w:ascii="Arial" w:eastAsia="黑体"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rPr>
      <w:rFonts w:ascii="Arial" w:eastAsia="Batang" w:hAnsi="Arial"/>
      <w:b/>
      <w:color w:val="0000FF"/>
      <w:kern w:val="2"/>
      <w:lang w:eastAsia="en-US"/>
    </w:rPr>
  </w:style>
  <w:style w:type="paragraph" w:customStyle="1" w:styleId="TH">
    <w:name w:val="TH"/>
    <w:basedOn w:val="a"/>
    <w:link w:val="THChar"/>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aff">
    <w:name w:val="批注主题 字符"/>
    <w:basedOn w:val="Char"/>
    <w:link w:val="afe"/>
    <w:semiHidden/>
    <w:rPr>
      <w:rFonts w:ascii="Arial" w:eastAsia="MS Mincho" w:hAnsi="Arial"/>
      <w:b/>
      <w:bCs/>
      <w:lang w:val="en-GB" w:eastAsia="en-GB"/>
    </w:rPr>
  </w:style>
  <w:style w:type="character" w:customStyle="1" w:styleId="Char">
    <w:name w:val="批注文字 Char"/>
    <w:basedOn w:val="a0"/>
    <w:rPr>
      <w:rFonts w:eastAsia="MS Mincho"/>
      <w:lang w:val="en-GB"/>
    </w:rPr>
  </w:style>
  <w:style w:type="character" w:customStyle="1" w:styleId="B1Char1">
    <w:name w:val="B1 Char1"/>
    <w:link w:val="B1"/>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a0"/>
    <w:link w:val="af9"/>
    <w:rPr>
      <w:rFonts w:ascii="宋体"/>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rPr>
      <w:rFonts w:ascii="Arial" w:eastAsia="MS Mincho" w:hAnsi="Arial" w:cs="Arial"/>
      <w:sz w:val="18"/>
      <w:szCs w:val="18"/>
      <w:lang w:val="en-GB"/>
    </w:rPr>
  </w:style>
  <w:style w:type="paragraph" w:customStyle="1" w:styleId="TAL">
    <w:name w:val="TAL"/>
    <w:basedOn w:val="a"/>
    <w:link w:val="TALChar"/>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rPr>
      <w:rFonts w:eastAsia="MS Mincho"/>
      <w:lang w:val="en-GB" w:eastAsia="ja-JP"/>
    </w:rPr>
  </w:style>
  <w:style w:type="paragraph" w:customStyle="1" w:styleId="B2">
    <w:name w:val="B2"/>
    <w:basedOn w:val="23"/>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style>
  <w:style w:type="character" w:customStyle="1" w:styleId="Doc-titleChar">
    <w:name w:val="Doc-title Char"/>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rPr>
      <w:rFonts w:ascii="Arial" w:eastAsia="MS Mincho" w:hAnsi="Arial"/>
      <w:szCs w:val="24"/>
      <w:lang w:val="en-GB" w:eastAsia="en-GB"/>
    </w:rPr>
  </w:style>
  <w:style w:type="character" w:customStyle="1" w:styleId="emailstyle20">
    <w:name w:val="emailstyle20"/>
    <w:semiHidden/>
    <w:rPr>
      <w:rFonts w:ascii="Arial" w:hAnsi="Arial" w:cs="Arial" w:hint="default"/>
      <w:color w:val="auto"/>
      <w:sz w:val="20"/>
      <w:szCs w:val="20"/>
    </w:rPr>
  </w:style>
  <w:style w:type="character" w:customStyle="1" w:styleId="af5">
    <w:name w:val="页脚 字符"/>
    <w:link w:val="af4"/>
    <w:uiPriority w:val="99"/>
    <w:rPr>
      <w:kern w:val="2"/>
      <w:sz w:val="18"/>
      <w:szCs w:val="18"/>
    </w:rPr>
  </w:style>
  <w:style w:type="character" w:styleId="affa">
    <w:name w:val="Placeholder Text"/>
    <w:uiPriority w:val="99"/>
    <w:semiHidden/>
    <w:rPr>
      <w:color w:val="808080"/>
    </w:rPr>
  </w:style>
  <w:style w:type="character" w:customStyle="1" w:styleId="CharChar0">
    <w:name w:val="附录公式 Char Char"/>
    <w:basedOn w:val="CharChar"/>
    <w:link w:val="affb"/>
    <w:rPr>
      <w:rFonts w:ascii="宋体"/>
      <w:sz w:val="21"/>
    </w:rPr>
  </w:style>
  <w:style w:type="paragraph" w:customStyle="1" w:styleId="affb">
    <w:name w:val="附录公式"/>
    <w:basedOn w:val="af9"/>
    <w:next w:val="af9"/>
    <w:link w:val="CharChar0"/>
  </w:style>
  <w:style w:type="character" w:customStyle="1" w:styleId="af">
    <w:name w:val="纯文本 字符"/>
    <w:basedOn w:val="a0"/>
    <w:link w:val="ae"/>
    <w:uiPriority w:val="99"/>
    <w:rPr>
      <w:rFonts w:ascii="Consolas" w:eastAsia="Calibri" w:hAnsi="Consolas"/>
      <w:sz w:val="21"/>
      <w:szCs w:val="21"/>
      <w:lang w:eastAsia="en-US"/>
    </w:rPr>
  </w:style>
  <w:style w:type="character" w:customStyle="1" w:styleId="CharChar1">
    <w:name w:val="首示例 Char Char"/>
    <w:basedOn w:val="a0"/>
    <w:link w:val="affc"/>
    <w:rPr>
      <w:rFonts w:ascii="宋体" w:hAnsi="宋体"/>
      <w:kern w:val="2"/>
      <w:sz w:val="18"/>
      <w:szCs w:val="18"/>
    </w:rPr>
  </w:style>
  <w:style w:type="paragraph" w:customStyle="1" w:styleId="affc">
    <w:name w:val="首示例"/>
    <w:next w:val="af9"/>
    <w:link w:val="CharChar1"/>
    <w:pPr>
      <w:tabs>
        <w:tab w:val="left" w:pos="360"/>
      </w:tabs>
    </w:pPr>
    <w:rPr>
      <w:rFonts w:ascii="宋体" w:hAnsi="宋体"/>
      <w:kern w:val="2"/>
      <w:sz w:val="18"/>
      <w:szCs w:val="18"/>
      <w:lang w:val="en-US" w:eastAsia="zh-CN"/>
    </w:rPr>
  </w:style>
  <w:style w:type="character" w:customStyle="1" w:styleId="SubHeadingCharChar">
    <w:name w:val="SubHeading Char Char"/>
    <w:link w:val="SubHeading"/>
    <w:rPr>
      <w:rFonts w:ascii="Arial" w:eastAsia="MS Mincho" w:hAnsi="Arial"/>
      <w:b/>
      <w:szCs w:val="24"/>
      <w:lang w:val="en-GB" w:eastAsia="en-GB"/>
    </w:rPr>
  </w:style>
  <w:style w:type="character" w:customStyle="1" w:styleId="affd">
    <w:name w:val="发布"/>
    <w:basedOn w:val="a0"/>
    <w:rPr>
      <w:rFonts w:ascii="黑体" w:eastAsia="黑体"/>
      <w:spacing w:val="85"/>
      <w:w w:val="100"/>
      <w:position w:val="3"/>
      <w:sz w:val="28"/>
      <w:szCs w:val="28"/>
    </w:rPr>
  </w:style>
  <w:style w:type="character" w:customStyle="1" w:styleId="CharChar6">
    <w:name w:val="Char Char6"/>
    <w:rPr>
      <w:rFonts w:ascii="Arial" w:eastAsia="MS Mincho" w:hAnsi="Arial" w:cs="Arial"/>
      <w:bCs/>
      <w:sz w:val="26"/>
      <w:szCs w:val="26"/>
      <w:lang w:val="en-GB" w:eastAsia="en-GB" w:bidi="ar-SA"/>
    </w:rPr>
  </w:style>
  <w:style w:type="character" w:customStyle="1" w:styleId="B3Char2">
    <w:name w:val="B3 Char2"/>
    <w:link w:val="B3"/>
    <w:rPr>
      <w:rFonts w:eastAsia="Malgun Gothic"/>
      <w:lang w:eastAsia="en-US"/>
    </w:rPr>
  </w:style>
  <w:style w:type="paragraph" w:customStyle="1" w:styleId="B3">
    <w:name w:val="B3"/>
    <w:basedOn w:val="31"/>
    <w:link w:val="B3Char2"/>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6"/>
    <w:uiPriority w:val="99"/>
    <w:rPr>
      <w:kern w:val="2"/>
      <w:sz w:val="18"/>
      <w:szCs w:val="18"/>
    </w:rPr>
  </w:style>
  <w:style w:type="character" w:customStyle="1" w:styleId="Doc-text2CharChar">
    <w:name w:val="Doc-text2 Char Char"/>
    <w:basedOn w:val="a0"/>
    <w:link w:val="Doc-text2"/>
    <w:rPr>
      <w:rFonts w:ascii="Arial" w:eastAsia="MS Mincho" w:hAnsi="Arial"/>
      <w:szCs w:val="24"/>
      <w:lang w:val="en-GB" w:eastAsia="en-GB"/>
    </w:rPr>
  </w:style>
  <w:style w:type="character" w:customStyle="1" w:styleId="TALCar">
    <w:name w:val="TAL Car"/>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ffe">
    <w:name w:val="其他发布部门"/>
    <w:basedOn w:val="afff"/>
    <w:pPr>
      <w:spacing w:line="0" w:lineRule="atLeast"/>
    </w:pPr>
    <w:rPr>
      <w:rFonts w:ascii="黑体" w:eastAsia="黑体"/>
      <w:b w:val="0"/>
    </w:rPr>
  </w:style>
  <w:style w:type="paragraph" w:customStyle="1" w:styleId="afff">
    <w:name w:val="发布部门"/>
    <w:next w:val="af9"/>
    <w:pPr>
      <w:jc w:val="center"/>
    </w:pPr>
    <w:rPr>
      <w:rFonts w:ascii="宋体"/>
      <w:b/>
      <w:spacing w:val="20"/>
      <w:w w:val="135"/>
      <w:sz w:val="28"/>
      <w:lang w:val="en-US" w:eastAsia="zh-CN"/>
    </w:rPr>
  </w:style>
  <w:style w:type="paragraph" w:customStyle="1" w:styleId="afff0">
    <w:name w:val="示例"/>
    <w:next w:val="afff1"/>
    <w:pPr>
      <w:widowControl w:val="0"/>
      <w:ind w:left="360" w:hanging="360"/>
      <w:jc w:val="both"/>
    </w:pPr>
    <w:rPr>
      <w:rFonts w:ascii="宋体"/>
      <w:sz w:val="18"/>
      <w:szCs w:val="18"/>
      <w:lang w:val="en-US" w:eastAsia="zh-CN"/>
    </w:rPr>
  </w:style>
  <w:style w:type="paragraph" w:customStyle="1" w:styleId="afff1">
    <w:name w:val="示例内容"/>
    <w:pPr>
      <w:ind w:firstLineChars="200" w:firstLine="200"/>
    </w:pPr>
    <w:rPr>
      <w:rFonts w:ascii="宋体"/>
      <w:sz w:val="18"/>
      <w:szCs w:val="18"/>
      <w:lang w:val="en-US" w:eastAsia="zh-CN"/>
    </w:rPr>
  </w:style>
  <w:style w:type="paragraph" w:customStyle="1" w:styleId="afff2">
    <w:name w:val="附录数字编号列项（二级）"/>
    <w:pPr>
      <w:tabs>
        <w:tab w:val="left" w:pos="363"/>
        <w:tab w:val="left" w:pos="840"/>
      </w:tabs>
      <w:ind w:firstLine="363"/>
    </w:pPr>
    <w:rPr>
      <w:rFonts w:ascii="宋体"/>
      <w:sz w:val="21"/>
      <w:lang w:val="en-US" w:eastAsia="zh-CN"/>
    </w:rPr>
  </w:style>
  <w:style w:type="paragraph" w:customStyle="1" w:styleId="afff3">
    <w:name w:val="标准书眉_奇数页"/>
    <w:next w:val="a"/>
    <w:pPr>
      <w:tabs>
        <w:tab w:val="center" w:pos="4154"/>
        <w:tab w:val="right" w:pos="8306"/>
      </w:tabs>
      <w:spacing w:after="220"/>
      <w:jc w:val="right"/>
    </w:pPr>
    <w:rPr>
      <w:rFonts w:ascii="黑体" w:eastAsia="黑体"/>
      <w:sz w:val="21"/>
      <w:szCs w:val="21"/>
      <w:lang w:val="en-US" w:eastAsia="zh-CN"/>
    </w:rPr>
  </w:style>
  <w:style w:type="paragraph" w:customStyle="1" w:styleId="afff4">
    <w:name w:val="列项◆（三级）"/>
    <w:basedOn w:val="a"/>
    <w:pPr>
      <w:tabs>
        <w:tab w:val="left" w:pos="1260"/>
        <w:tab w:val="left" w:pos="1678"/>
      </w:tabs>
      <w:ind w:left="1259" w:hanging="419"/>
    </w:pPr>
    <w:rPr>
      <w:rFonts w:ascii="宋体"/>
      <w:szCs w:val="21"/>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fff5">
    <w:name w:val="三级条标题"/>
    <w:basedOn w:val="afff6"/>
    <w:next w:val="af9"/>
    <w:pPr>
      <w:outlineLvl w:val="4"/>
    </w:pPr>
  </w:style>
  <w:style w:type="paragraph" w:customStyle="1" w:styleId="afff6">
    <w:name w:val="二级条标题"/>
    <w:basedOn w:val="afff7"/>
    <w:next w:val="af9"/>
    <w:pPr>
      <w:spacing w:beforeLines="0" w:afterLines="0"/>
      <w:outlineLvl w:val="3"/>
    </w:pPr>
  </w:style>
  <w:style w:type="paragraph" w:customStyle="1" w:styleId="afff7">
    <w:name w:val="一级条标题"/>
    <w:next w:val="af9"/>
    <w:pPr>
      <w:spacing w:beforeLines="50" w:afterLines="50"/>
      <w:outlineLvl w:val="2"/>
    </w:pPr>
    <w:rPr>
      <w:rFonts w:ascii="黑体" w:eastAsia="黑体"/>
      <w:sz w:val="21"/>
      <w:szCs w:val="21"/>
      <w:lang w:val="en-US" w:eastAsia="zh-CN"/>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8">
    <w:name w:val="附录一级条标题"/>
    <w:basedOn w:val="afff9"/>
    <w:next w:val="af9"/>
    <w:pPr>
      <w:tabs>
        <w:tab w:val="left" w:pos="720"/>
      </w:tabs>
      <w:autoSpaceDN w:val="0"/>
      <w:spacing w:beforeLines="50" w:afterLines="50"/>
      <w:ind w:left="720" w:hanging="720"/>
      <w:outlineLvl w:val="2"/>
    </w:pPr>
  </w:style>
  <w:style w:type="paragraph" w:customStyle="1" w:styleId="afff9">
    <w:name w:val="附录章标题"/>
    <w:next w:val="af9"/>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lang w:val="en-US" w:eastAsia="zh-CN"/>
    </w:rPr>
  </w:style>
  <w:style w:type="paragraph" w:customStyle="1" w:styleId="afffa">
    <w:name w:val="四级条标题"/>
    <w:basedOn w:val="afff5"/>
    <w:next w:val="af9"/>
    <w:pPr>
      <w:outlineLvl w:val="5"/>
    </w:pPr>
  </w:style>
  <w:style w:type="character" w:customStyle="1" w:styleId="afb">
    <w:name w:val="脚注文本 字符"/>
    <w:basedOn w:val="a0"/>
    <w:link w:val="afa"/>
    <w:rPr>
      <w:rFonts w:ascii="宋体"/>
      <w:kern w:val="2"/>
      <w:sz w:val="18"/>
      <w:szCs w:val="18"/>
    </w:rPr>
  </w:style>
  <w:style w:type="paragraph" w:customStyle="1" w:styleId="afffb">
    <w:name w:val="章标题"/>
    <w:next w:val="af9"/>
    <w:pPr>
      <w:spacing w:beforeLines="100" w:afterLines="100"/>
      <w:jc w:val="both"/>
      <w:outlineLvl w:val="1"/>
    </w:pPr>
    <w:rPr>
      <w:rFonts w:ascii="黑体" w:eastAsia="黑体"/>
      <w:sz w:val="21"/>
      <w:lang w:val="en-US" w:eastAsia="zh-CN"/>
    </w:rPr>
  </w:style>
  <w:style w:type="paragraph" w:customStyle="1" w:styleId="afffc">
    <w:name w:val="正文表标题"/>
    <w:next w:val="af9"/>
    <w:pPr>
      <w:tabs>
        <w:tab w:val="left" w:pos="0"/>
        <w:tab w:val="left" w:pos="360"/>
      </w:tabs>
      <w:spacing w:beforeLines="50" w:afterLines="50"/>
      <w:ind w:left="720" w:hanging="357"/>
      <w:jc w:val="center"/>
    </w:pPr>
    <w:rPr>
      <w:rFonts w:ascii="黑体" w:eastAsia="黑体"/>
      <w:sz w:val="21"/>
      <w:lang w:val="en-US" w:eastAsia="zh-CN"/>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d">
    <w:name w:val="注："/>
    <w:next w:val="af9"/>
    <w:pPr>
      <w:widowControl w:val="0"/>
      <w:autoSpaceDE w:val="0"/>
      <w:autoSpaceDN w:val="0"/>
      <w:jc w:val="both"/>
    </w:pPr>
    <w:rPr>
      <w:rFonts w:ascii="宋体"/>
      <w:sz w:val="18"/>
      <w:szCs w:val="18"/>
      <w:lang w:val="en-US" w:eastAsia="zh-CN"/>
    </w:rPr>
  </w:style>
  <w:style w:type="paragraph" w:customStyle="1" w:styleId="afffe">
    <w:name w:val="附录五级条标题"/>
    <w:basedOn w:val="affff"/>
    <w:next w:val="af9"/>
    <w:pPr>
      <w:tabs>
        <w:tab w:val="left" w:pos="1296"/>
      </w:tabs>
      <w:ind w:left="1296" w:hanging="1296"/>
      <w:outlineLvl w:val="6"/>
    </w:pPr>
  </w:style>
  <w:style w:type="paragraph" w:customStyle="1" w:styleId="affff">
    <w:name w:val="附录四级条标题"/>
    <w:basedOn w:val="affff0"/>
    <w:next w:val="af9"/>
    <w:pPr>
      <w:outlineLvl w:val="5"/>
    </w:pPr>
  </w:style>
  <w:style w:type="paragraph" w:customStyle="1" w:styleId="affff0">
    <w:name w:val="附录三级条标题"/>
    <w:basedOn w:val="affff1"/>
    <w:next w:val="af9"/>
    <w:pPr>
      <w:tabs>
        <w:tab w:val="left" w:pos="1008"/>
      </w:tabs>
      <w:ind w:left="1008" w:hanging="1008"/>
      <w:outlineLvl w:val="4"/>
    </w:pPr>
  </w:style>
  <w:style w:type="paragraph" w:customStyle="1" w:styleId="affff1">
    <w:name w:val="附录二级条标题"/>
    <w:basedOn w:val="a"/>
    <w:next w:val="af9"/>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2">
    <w:name w:val="文献分类号"/>
    <w:pPr>
      <w:widowControl w:val="0"/>
      <w:textAlignment w:val="center"/>
    </w:pPr>
    <w:rPr>
      <w:rFonts w:ascii="黑体" w:eastAsia="黑体"/>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3">
    <w:name w:val="一级无"/>
    <w:basedOn w:val="afff7"/>
    <w:pPr>
      <w:spacing w:beforeLines="0" w:afterLines="0"/>
    </w:pPr>
    <w:rPr>
      <w:rFonts w:ascii="宋体" w:eastAsia="宋体"/>
    </w:rPr>
  </w:style>
  <w:style w:type="character" w:customStyle="1" w:styleId="Char1">
    <w:name w:val="纯文本 Char1"/>
    <w:basedOn w:val="a0"/>
    <w:semiHidden/>
    <w:rPr>
      <w:rFonts w:ascii="宋体" w:hAnsi="Courier New" w:cs="Courier New"/>
      <w:kern w:val="2"/>
      <w:sz w:val="21"/>
      <w:szCs w:val="21"/>
    </w:rPr>
  </w:style>
  <w:style w:type="paragraph" w:customStyle="1" w:styleId="H6">
    <w:name w:val="H6"/>
    <w:basedOn w:val="5"/>
    <w:next w:val="a"/>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f4">
    <w:name w:val="附录四级无"/>
    <w:basedOn w:val="affff"/>
    <w:pPr>
      <w:tabs>
        <w:tab w:val="clear" w:pos="360"/>
        <w:tab w:val="left" w:pos="1151"/>
      </w:tabs>
      <w:spacing w:beforeLines="0" w:afterLines="0"/>
      <w:ind w:left="1151" w:hanging="1151"/>
    </w:pPr>
    <w:rPr>
      <w:rFonts w:ascii="宋体" w:eastAsia="宋体"/>
      <w:szCs w:val="21"/>
    </w:rPr>
  </w:style>
  <w:style w:type="paragraph" w:customStyle="1" w:styleId="affff5">
    <w:name w:val="实施日期"/>
    <w:basedOn w:val="affff6"/>
    <w:pPr>
      <w:jc w:val="right"/>
    </w:pPr>
  </w:style>
  <w:style w:type="paragraph" w:customStyle="1" w:styleId="affff6">
    <w:name w:val="发布日期"/>
    <w:rPr>
      <w:rFonts w:eastAsia="黑体"/>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7"/>
  </w:style>
  <w:style w:type="paragraph" w:customStyle="1" w:styleId="affff7">
    <w:name w:val="封面标准文稿类别"/>
    <w:basedOn w:val="affff8"/>
    <w:pPr>
      <w:spacing w:line="240" w:lineRule="auto"/>
    </w:pPr>
    <w:rPr>
      <w:sz w:val="24"/>
    </w:rPr>
  </w:style>
  <w:style w:type="paragraph" w:customStyle="1" w:styleId="affff8">
    <w:name w:val="封面一致性程度标识"/>
    <w:basedOn w:val="affff9"/>
    <w:pPr>
      <w:spacing w:before="440"/>
    </w:pPr>
    <w:rPr>
      <w:rFonts w:ascii="宋体" w:eastAsia="宋体"/>
    </w:rPr>
  </w:style>
  <w:style w:type="paragraph" w:customStyle="1" w:styleId="affff9">
    <w:name w:val="封面标准英文名称"/>
    <w:basedOn w:val="affffa"/>
    <w:pPr>
      <w:spacing w:before="370" w:line="400" w:lineRule="exact"/>
    </w:pPr>
    <w:rPr>
      <w:rFonts w:ascii="Times New Roman"/>
      <w:sz w:val="28"/>
      <w:szCs w:val="28"/>
    </w:rPr>
  </w:style>
  <w:style w:type="paragraph" w:customStyle="1" w:styleId="affffa">
    <w:name w:val="封面标准名称"/>
    <w:pPr>
      <w:widowControl w:val="0"/>
      <w:spacing w:line="680" w:lineRule="exact"/>
      <w:jc w:val="center"/>
      <w:textAlignment w:val="center"/>
    </w:pPr>
    <w:rPr>
      <w:rFonts w:ascii="黑体" w:eastAsia="黑体"/>
      <w:sz w:val="52"/>
      <w:lang w:val="en-US" w:eastAsia="zh-CN"/>
    </w:rPr>
  </w:style>
  <w:style w:type="paragraph" w:customStyle="1" w:styleId="affffb">
    <w:name w:val="五级条标题"/>
    <w:basedOn w:val="afffa"/>
    <w:next w:val="af9"/>
    <w:pPr>
      <w:outlineLvl w:val="6"/>
    </w:pPr>
  </w:style>
  <w:style w:type="paragraph" w:customStyle="1" w:styleId="affffc">
    <w:name w:val="封面标准代替信息"/>
    <w:pPr>
      <w:spacing w:before="57" w:line="280" w:lineRule="exact"/>
      <w:jc w:val="right"/>
    </w:pPr>
    <w:rPr>
      <w:rFonts w:ascii="宋体"/>
      <w:sz w:val="21"/>
      <w:szCs w:val="21"/>
      <w:lang w:val="en-US" w:eastAsia="zh-CN"/>
    </w:rPr>
  </w:style>
  <w:style w:type="character" w:customStyle="1" w:styleId="ab">
    <w:name w:val="批注文字 字符"/>
    <w:basedOn w:val="a0"/>
    <w:link w:val="aa"/>
    <w:semiHidden/>
    <w:rPr>
      <w:kern w:val="2"/>
      <w:sz w:val="21"/>
      <w:szCs w:val="24"/>
    </w:rPr>
  </w:style>
  <w:style w:type="character" w:customStyle="1" w:styleId="Char10">
    <w:name w:val="批注主题 Char1"/>
    <w:basedOn w:val="ab"/>
    <w:semiHidden/>
    <w:rPr>
      <w:b/>
      <w:bCs/>
      <w:kern w:val="2"/>
      <w:sz w:val="21"/>
      <w:szCs w:val="24"/>
    </w:rPr>
  </w:style>
  <w:style w:type="paragraph" w:customStyle="1" w:styleId="26">
    <w:name w:val="封面标准英文名称2"/>
    <w:basedOn w:val="affff9"/>
  </w:style>
  <w:style w:type="paragraph" w:customStyle="1" w:styleId="27">
    <w:name w:val="封面标准号2"/>
    <w:pPr>
      <w:spacing w:before="357" w:line="280" w:lineRule="exact"/>
      <w:jc w:val="right"/>
    </w:pPr>
    <w:rPr>
      <w:rFonts w:ascii="黑体" w:eastAsia="黑体"/>
      <w:sz w:val="28"/>
      <w:szCs w:val="28"/>
      <w:lang w:val="en-US" w:eastAsia="zh-CN"/>
    </w:rPr>
  </w:style>
  <w:style w:type="paragraph" w:customStyle="1" w:styleId="28">
    <w:name w:val="封面一致性程度标识2"/>
    <w:basedOn w:val="affff8"/>
  </w:style>
  <w:style w:type="paragraph" w:customStyle="1" w:styleId="affffd">
    <w:name w:val="注×："/>
    <w:pPr>
      <w:widowControl w:val="0"/>
      <w:autoSpaceDE w:val="0"/>
      <w:autoSpaceDN w:val="0"/>
      <w:ind w:left="1287" w:hanging="360"/>
      <w:jc w:val="both"/>
    </w:pPr>
    <w:rPr>
      <w:rFonts w:ascii="宋体"/>
      <w:sz w:val="18"/>
      <w:szCs w:val="18"/>
      <w:lang w:val="en-US" w:eastAsia="zh-CN"/>
    </w:rPr>
  </w:style>
  <w:style w:type="character" w:customStyle="1" w:styleId="Char11">
    <w:name w:val="正文文本 Char1"/>
    <w:basedOn w:val="a0"/>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ffe">
    <w:name w:val="三级无"/>
    <w:basedOn w:val="afff5"/>
    <w:rPr>
      <w:rFonts w:ascii="宋体" w:eastAsia="宋体"/>
    </w:rPr>
  </w:style>
  <w:style w:type="paragraph" w:customStyle="1" w:styleId="afffff">
    <w:name w:val="条文脚注"/>
    <w:basedOn w:val="afa"/>
    <w:pPr>
      <w:jc w:val="both"/>
    </w:pPr>
  </w:style>
  <w:style w:type="paragraph" w:customStyle="1" w:styleId="afffff0">
    <w:name w:val="其他标准标志"/>
    <w:basedOn w:val="afffff1"/>
    <w:rPr>
      <w:w w:val="130"/>
    </w:rPr>
  </w:style>
  <w:style w:type="paragraph" w:customStyle="1" w:styleId="afffff1">
    <w:name w:val="标准标志"/>
    <w:next w:val="a"/>
    <w:pPr>
      <w:shd w:val="solid" w:color="FFFFFF" w:fill="FFFFFF"/>
      <w:spacing w:line="0" w:lineRule="atLeast"/>
      <w:jc w:val="right"/>
    </w:pPr>
    <w:rPr>
      <w:b/>
      <w:w w:val="170"/>
      <w:sz w:val="96"/>
      <w:szCs w:val="96"/>
      <w:lang w:val="en-US" w:eastAsia="zh-CN"/>
    </w:rPr>
  </w:style>
  <w:style w:type="paragraph" w:customStyle="1" w:styleId="Agreement">
    <w:name w:val="Agreement"/>
    <w:basedOn w:val="a"/>
    <w:next w:val="Doc-text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fff2">
    <w:name w:val="标准书眉一"/>
    <w:pPr>
      <w:jc w:val="both"/>
    </w:pPr>
    <w:rPr>
      <w:lang w:val="en-US" w:eastAsia="zh-CN"/>
    </w:rPr>
  </w:style>
  <w:style w:type="paragraph" w:customStyle="1" w:styleId="afffff3">
    <w:name w:val="附录五级无"/>
    <w:basedOn w:val="afffe"/>
    <w:pPr>
      <w:tabs>
        <w:tab w:val="clear" w:pos="360"/>
      </w:tabs>
      <w:spacing w:beforeLines="0" w:afterLines="0"/>
    </w:pPr>
    <w:rPr>
      <w:rFonts w:ascii="宋体" w:eastAsia="宋体"/>
      <w:szCs w:val="21"/>
    </w:rPr>
  </w:style>
  <w:style w:type="paragraph" w:customStyle="1" w:styleId="afffff4">
    <w:name w:val="图的脚注"/>
    <w:next w:val="af9"/>
    <w:pPr>
      <w:widowControl w:val="0"/>
      <w:ind w:leftChars="200" w:left="840" w:hangingChars="200" w:hanging="420"/>
      <w:jc w:val="both"/>
    </w:pPr>
    <w:rPr>
      <w:rFonts w:ascii="宋体"/>
      <w:sz w:val="18"/>
      <w:lang w:val="en-US" w:eastAsia="zh-CN"/>
    </w:rPr>
  </w:style>
  <w:style w:type="character" w:customStyle="1" w:styleId="af1">
    <w:name w:val="尾注文本 字符"/>
    <w:basedOn w:val="a0"/>
    <w:link w:val="af0"/>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fff5">
    <w:name w:val="编号列项（三级）"/>
    <w:rPr>
      <w:rFonts w:ascii="宋体"/>
      <w:sz w:val="21"/>
      <w:lang w:val="en-US" w:eastAsia="zh-CN"/>
    </w:rPr>
  </w:style>
  <w:style w:type="paragraph" w:customStyle="1" w:styleId="afffff6">
    <w:name w:val="附录公式编号制表符"/>
    <w:basedOn w:val="a"/>
    <w:next w:val="af9"/>
    <w:pPr>
      <w:widowControl/>
      <w:tabs>
        <w:tab w:val="center" w:pos="4201"/>
        <w:tab w:val="right" w:leader="dot" w:pos="9298"/>
      </w:tabs>
      <w:autoSpaceDE w:val="0"/>
      <w:autoSpaceDN w:val="0"/>
    </w:pPr>
    <w:rPr>
      <w:rFonts w:ascii="宋体"/>
      <w:kern w:val="0"/>
      <w:szCs w:val="20"/>
    </w:rPr>
  </w:style>
  <w:style w:type="paragraph" w:customStyle="1" w:styleId="afffff7">
    <w:name w:val="参考文献、索引标题"/>
    <w:basedOn w:val="a"/>
    <w:next w:val="af9"/>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8">
    <w:name w:val="其他标准称谓"/>
    <w:next w:val="a"/>
    <w:pPr>
      <w:spacing w:line="0" w:lineRule="atLeast"/>
      <w:jc w:val="distribute"/>
    </w:pPr>
    <w:rPr>
      <w:rFonts w:ascii="黑体" w:eastAsia="黑体" w:hAnsi="宋体"/>
      <w:spacing w:val="-40"/>
      <w:sz w:val="48"/>
      <w:szCs w:val="52"/>
      <w:lang w:val="en-US" w:eastAsia="zh-CN"/>
    </w:rPr>
  </w:style>
  <w:style w:type="paragraph" w:customStyle="1" w:styleId="TAH">
    <w:name w:val="TAH"/>
    <w:basedOn w:val="a"/>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9">
    <w:name w:val="示例后文字"/>
    <w:basedOn w:val="af9"/>
    <w:next w:val="af9"/>
    <w:pPr>
      <w:ind w:firstLine="360"/>
    </w:pPr>
    <w:rPr>
      <w:sz w:val="18"/>
    </w:rPr>
  </w:style>
  <w:style w:type="paragraph" w:customStyle="1" w:styleId="afffffa">
    <w:name w:val="图标脚注说明"/>
    <w:basedOn w:val="af9"/>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b">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c">
    <w:name w:val="参考文献"/>
    <w:basedOn w:val="a"/>
    <w:next w:val="af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d">
    <w:name w:val="正文图标题"/>
    <w:next w:val="af9"/>
    <w:pPr>
      <w:tabs>
        <w:tab w:val="left" w:pos="1304"/>
      </w:tabs>
      <w:spacing w:beforeLines="50" w:afterLines="50"/>
      <w:ind w:left="1304" w:hanging="1304"/>
      <w:jc w:val="center"/>
    </w:pPr>
    <w:rPr>
      <w:rFonts w:ascii="黑体" w:eastAsia="黑体"/>
      <w:sz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a"/>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e">
    <w:name w:val="其他实施日期"/>
    <w:basedOn w:val="affff5"/>
  </w:style>
  <w:style w:type="paragraph" w:customStyle="1" w:styleId="affffff">
    <w:name w:val="附录标识"/>
    <w:basedOn w:val="a"/>
    <w:next w:val="af9"/>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0">
    <w:name w:val="四级无"/>
    <w:basedOn w:val="afffa"/>
    <w:rPr>
      <w:rFonts w:ascii="宋体" w:eastAsia="宋体"/>
    </w:rPr>
  </w:style>
  <w:style w:type="paragraph" w:customStyle="1" w:styleId="affffff1">
    <w:name w:val="示例×："/>
    <w:basedOn w:val="afffb"/>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style>
  <w:style w:type="paragraph" w:customStyle="1" w:styleId="affffff2">
    <w:name w:val="其他发布日期"/>
    <w:basedOn w:val="affff6"/>
  </w:style>
  <w:style w:type="paragraph" w:customStyle="1" w:styleId="B4">
    <w:name w:val="B4"/>
    <w:basedOn w:val="43"/>
    <w:link w:val="B4Char"/>
  </w:style>
  <w:style w:type="paragraph" w:customStyle="1" w:styleId="NO">
    <w:name w:val="NO"/>
    <w:basedOn w:val="a"/>
    <w:link w:val="NOZchn"/>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3">
    <w:name w:val="注×：（正文）"/>
    <w:pPr>
      <w:ind w:firstLine="363"/>
      <w:jc w:val="both"/>
    </w:pPr>
    <w:rPr>
      <w:rFonts w:ascii="宋体"/>
      <w:sz w:val="18"/>
      <w:szCs w:val="18"/>
      <w:lang w:val="en-US" w:eastAsia="zh-CN"/>
    </w:rPr>
  </w:style>
  <w:style w:type="paragraph" w:customStyle="1" w:styleId="affffff4">
    <w:name w:val="附录表标号"/>
    <w:basedOn w:val="a"/>
    <w:next w:val="af9"/>
    <w:pPr>
      <w:spacing w:line="14" w:lineRule="exact"/>
      <w:ind w:left="811" w:hanging="448"/>
      <w:jc w:val="center"/>
      <w:outlineLvl w:val="0"/>
    </w:pPr>
    <w:rPr>
      <w:color w:val="FFFFFF"/>
    </w:rPr>
  </w:style>
  <w:style w:type="paragraph" w:customStyle="1" w:styleId="affffff5">
    <w:name w:val="附录图标题"/>
    <w:basedOn w:val="a"/>
    <w:next w:val="af9"/>
    <w:pPr>
      <w:tabs>
        <w:tab w:val="left" w:pos="363"/>
      </w:tabs>
      <w:spacing w:beforeLines="50" w:afterLines="50"/>
      <w:jc w:val="center"/>
    </w:pPr>
    <w:rPr>
      <w:rFonts w:ascii="黑体" w:eastAsia="黑体"/>
      <w:szCs w:val="21"/>
    </w:rPr>
  </w:style>
  <w:style w:type="paragraph" w:customStyle="1" w:styleId="affffff6">
    <w:name w:val="附录标题"/>
    <w:basedOn w:val="af9"/>
    <w:next w:val="af9"/>
    <w:pPr>
      <w:ind w:firstLineChars="0" w:firstLine="0"/>
      <w:jc w:val="center"/>
    </w:pPr>
    <w:rPr>
      <w:rFonts w:ascii="黑体" w:eastAsia="黑体"/>
    </w:rPr>
  </w:style>
  <w:style w:type="paragraph" w:customStyle="1" w:styleId="affffff7">
    <w:name w:val="数字编号列项（二级）"/>
    <w:pPr>
      <w:tabs>
        <w:tab w:val="left" w:pos="1260"/>
      </w:tabs>
      <w:ind w:left="1190" w:hanging="567"/>
      <w:jc w:val="both"/>
    </w:pPr>
    <w:rPr>
      <w:rFonts w:ascii="宋体"/>
      <w:sz w:val="21"/>
      <w:lang w:val="en-US" w:eastAsia="zh-CN"/>
    </w:rPr>
  </w:style>
  <w:style w:type="paragraph" w:customStyle="1" w:styleId="TAC">
    <w:name w:val="TAC"/>
    <w:basedOn w:val="TAL"/>
    <w:pPr>
      <w:jc w:val="center"/>
    </w:pPr>
    <w:rPr>
      <w:szCs w:val="20"/>
      <w:lang w:eastAsia="en-US"/>
    </w:rPr>
  </w:style>
  <w:style w:type="paragraph" w:customStyle="1" w:styleId="affffff8">
    <w:name w:val="标准书眉_偶数页"/>
    <w:basedOn w:val="afff3"/>
    <w:next w:val="a"/>
    <w:pPr>
      <w:jc w:val="left"/>
    </w:pPr>
  </w:style>
  <w:style w:type="paragraph" w:customStyle="1" w:styleId="affffff9">
    <w:name w:val="附录三级无"/>
    <w:basedOn w:val="affff0"/>
    <w:pPr>
      <w:tabs>
        <w:tab w:val="clear" w:pos="360"/>
      </w:tabs>
      <w:spacing w:beforeLines="0" w:afterLines="0"/>
    </w:pPr>
    <w:rPr>
      <w:rFonts w:ascii="宋体" w:eastAsia="宋体"/>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ffa">
    <w:name w:val="字母编号列项（一级）"/>
    <w:pPr>
      <w:tabs>
        <w:tab w:val="left" w:pos="840"/>
      </w:tabs>
      <w:ind w:left="623" w:hanging="425"/>
      <w:jc w:val="both"/>
    </w:pPr>
    <w:rPr>
      <w:rFonts w:ascii="宋体"/>
      <w:sz w:val="21"/>
      <w:lang w:val="en-US" w:eastAsia="zh-CN"/>
    </w:rPr>
  </w:style>
  <w:style w:type="paragraph" w:customStyle="1" w:styleId="affffffb">
    <w:name w:val="附录字母编号列项（一级）"/>
    <w:pPr>
      <w:tabs>
        <w:tab w:val="left" w:pos="839"/>
      </w:tabs>
      <w:ind w:firstLine="363"/>
    </w:pPr>
    <w:rPr>
      <w:rFonts w:ascii="宋体"/>
      <w:sz w:val="21"/>
      <w:lang w:val="en-US" w:eastAsia="zh-CN"/>
    </w:rPr>
  </w:style>
  <w:style w:type="paragraph" w:customStyle="1" w:styleId="NW">
    <w:name w:val="NW"/>
    <w:basedOn w:val="NO"/>
    <w:pPr>
      <w:spacing w:after="0"/>
    </w:pPr>
    <w:rPr>
      <w:rFonts w:eastAsia="MS Mincho"/>
      <w:lang w:eastAsia="en-US"/>
    </w:rPr>
  </w:style>
  <w:style w:type="paragraph" w:customStyle="1" w:styleId="affffffc">
    <w:name w:val="目次、索引正文"/>
    <w:pPr>
      <w:spacing w:line="320" w:lineRule="exact"/>
      <w:jc w:val="both"/>
    </w:pPr>
    <w:rPr>
      <w:rFonts w:ascii="宋体"/>
      <w:sz w:val="21"/>
      <w:lang w:val="en-US" w:eastAsia="zh-CN"/>
    </w:rPr>
  </w:style>
  <w:style w:type="paragraph" w:customStyle="1" w:styleId="affffffd">
    <w:name w:val="标准称谓"/>
    <w:next w:val="a"/>
    <w:pPr>
      <w:widowControl w:val="0"/>
      <w:kinsoku w:val="0"/>
      <w:overflowPunct w:val="0"/>
      <w:autoSpaceDE w:val="0"/>
      <w:autoSpaceDN w:val="0"/>
      <w:spacing w:line="0" w:lineRule="atLeast"/>
      <w:jc w:val="distribute"/>
    </w:pPr>
    <w:rPr>
      <w:rFonts w:ascii="宋体"/>
      <w:b/>
      <w:bCs/>
      <w:spacing w:val="20"/>
      <w:w w:val="148"/>
      <w:sz w:val="48"/>
      <w:lang w:val="en-US" w:eastAsia="zh-CN"/>
    </w:rPr>
  </w:style>
  <w:style w:type="paragraph" w:customStyle="1" w:styleId="affffffe">
    <w:name w:val="二级无"/>
    <w:basedOn w:val="afff6"/>
    <w:rPr>
      <w:rFonts w:ascii="宋体" w:eastAsia="宋体"/>
    </w:rPr>
  </w:style>
  <w:style w:type="paragraph" w:customStyle="1" w:styleId="afffffff">
    <w:name w:val="列项说明"/>
    <w:basedOn w:val="a"/>
    <w:pPr>
      <w:adjustRightInd w:val="0"/>
      <w:spacing w:line="320" w:lineRule="exact"/>
      <w:ind w:leftChars="200" w:left="400" w:hangingChars="200" w:hanging="200"/>
      <w:jc w:val="left"/>
      <w:textAlignment w:val="baseline"/>
    </w:pPr>
    <w:rPr>
      <w:rFonts w:ascii="宋体"/>
      <w:kern w:val="0"/>
      <w:szCs w:val="20"/>
    </w:rPr>
  </w:style>
  <w:style w:type="paragraph" w:customStyle="1" w:styleId="afffffff0">
    <w:name w:val="注：（正文）"/>
    <w:basedOn w:val="afffd"/>
    <w:next w:val="af9"/>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f1">
    <w:name w:val="终结线"/>
    <w:basedOn w:val="a"/>
  </w:style>
  <w:style w:type="paragraph" w:customStyle="1" w:styleId="afffffff2">
    <w:name w:val="五级无"/>
    <w:basedOn w:val="affffb"/>
    <w:rPr>
      <w:rFonts w:ascii="宋体" w:eastAsia="宋体"/>
    </w:rPr>
  </w:style>
  <w:style w:type="paragraph" w:customStyle="1" w:styleId="afffffff3">
    <w:name w:val="正文公式编号制表符"/>
    <w:basedOn w:val="af9"/>
    <w:next w:val="af9"/>
    <w:pPr>
      <w:ind w:firstLineChars="0" w:firstLine="0"/>
    </w:pPr>
  </w:style>
  <w:style w:type="paragraph" w:customStyle="1" w:styleId="afffffff4">
    <w:name w:val="列项——（一级）"/>
    <w:pPr>
      <w:widowControl w:val="0"/>
      <w:tabs>
        <w:tab w:val="left" w:pos="839"/>
      </w:tabs>
      <w:ind w:left="839" w:hanging="419"/>
      <w:jc w:val="both"/>
    </w:pPr>
    <w:rPr>
      <w:rFonts w:ascii="宋体"/>
      <w:sz w:val="21"/>
      <w:lang w:val="en-US" w:eastAsia="zh-CN"/>
    </w:rPr>
  </w:style>
  <w:style w:type="paragraph" w:customStyle="1" w:styleId="29">
    <w:name w:val="封面标准文稿编辑信息2"/>
    <w:basedOn w:val="afffffff5"/>
  </w:style>
  <w:style w:type="paragraph" w:customStyle="1" w:styleId="afffffff5">
    <w:name w:val="封面标准文稿编辑信息"/>
    <w:basedOn w:val="affff7"/>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ascii="Arial" w:eastAsia="MS Mincho" w:hAnsi="Arial"/>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fff6">
    <w:name w:val="列项●（二级）"/>
    <w:pPr>
      <w:tabs>
        <w:tab w:val="left" w:pos="760"/>
        <w:tab w:val="left" w:pos="840"/>
      </w:tabs>
      <w:ind w:left="839" w:hanging="419"/>
      <w:jc w:val="both"/>
    </w:pPr>
    <w:rPr>
      <w:rFonts w:ascii="宋体"/>
      <w:sz w:val="21"/>
      <w:lang w:val="en-US" w:eastAsia="zh-CN"/>
    </w:rPr>
  </w:style>
  <w:style w:type="paragraph" w:customStyle="1" w:styleId="2a">
    <w:name w:val="封面标准名称2"/>
    <w:basedOn w:val="affffa"/>
    <w:pPr>
      <w:spacing w:beforeLines="630"/>
    </w:pPr>
  </w:style>
  <w:style w:type="paragraph" w:customStyle="1" w:styleId="afffffff7">
    <w:name w:val="前言、引言标题"/>
    <w:next w:val="af9"/>
    <w:pPr>
      <w:keepNext/>
      <w:pageBreakBefore/>
      <w:shd w:val="clear" w:color="FFFFFF" w:fill="FFFFFF"/>
      <w:spacing w:before="640" w:after="560"/>
      <w:jc w:val="center"/>
      <w:outlineLvl w:val="0"/>
    </w:pPr>
    <w:rPr>
      <w:rFonts w:ascii="黑体" w:eastAsia="黑体"/>
      <w:sz w:val="32"/>
      <w:lang w:val="en-US" w:eastAsia="zh-CN"/>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rPr>
      <w:rFonts w:ascii="Arial" w:eastAsia="MS Mincho" w:hAnsi="Arial"/>
      <w:szCs w:val="24"/>
    </w:rPr>
  </w:style>
  <w:style w:type="paragraph" w:customStyle="1" w:styleId="ZTD">
    <w:name w:val="ZTD"/>
    <w:basedOn w:val="ZB"/>
    <w:pPr>
      <w:framePr w:hRule="auto" w:wrap="notBeside" w:y="852"/>
    </w:pPr>
    <w:rPr>
      <w:i w:val="0"/>
      <w:sz w:val="40"/>
    </w:rPr>
  </w:style>
  <w:style w:type="paragraph" w:customStyle="1" w:styleId="afffffff8">
    <w:name w:val="附录表标题"/>
    <w:basedOn w:val="a"/>
    <w:next w:val="af9"/>
    <w:pPr>
      <w:tabs>
        <w:tab w:val="left" w:pos="180"/>
      </w:tabs>
      <w:spacing w:beforeLines="50" w:afterLines="50"/>
      <w:jc w:val="center"/>
    </w:pPr>
    <w:rPr>
      <w:rFonts w:ascii="黑体" w:eastAsia="黑体"/>
      <w:szCs w:val="21"/>
    </w:rPr>
  </w:style>
  <w:style w:type="paragraph" w:customStyle="1" w:styleId="afffffff9">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fa">
    <w:name w:val="标准书脚_奇数页"/>
    <w:pPr>
      <w:spacing w:before="120"/>
      <w:ind w:right="198"/>
      <w:jc w:val="right"/>
    </w:pPr>
    <w:rPr>
      <w:rFonts w:ascii="宋体"/>
      <w:sz w:val="18"/>
      <w:szCs w:val="18"/>
      <w:lang w:val="en-US" w:eastAsia="zh-CN"/>
    </w:rPr>
  </w:style>
  <w:style w:type="paragraph" w:customStyle="1" w:styleId="afffffffb">
    <w:name w:val="附录二级无"/>
    <w:basedOn w:val="affff1"/>
    <w:pPr>
      <w:tabs>
        <w:tab w:val="clear" w:pos="360"/>
      </w:tabs>
      <w:spacing w:beforeLines="0" w:afterLines="0"/>
    </w:pPr>
    <w:rPr>
      <w:rFonts w:ascii="宋体" w:eastAsia="宋体"/>
      <w:szCs w:val="21"/>
    </w:rPr>
  </w:style>
  <w:style w:type="paragraph" w:customStyle="1" w:styleId="afffffffc">
    <w:name w:val="附录一级无"/>
    <w:basedOn w:val="afff8"/>
    <w:pPr>
      <w:tabs>
        <w:tab w:val="clear" w:pos="360"/>
      </w:tabs>
      <w:spacing w:beforeLines="0" w:afterLines="0"/>
    </w:pPr>
    <w:rPr>
      <w:rFonts w:ascii="宋体" w:eastAsia="宋体"/>
      <w:szCs w:val="21"/>
    </w:rPr>
  </w:style>
  <w:style w:type="paragraph" w:customStyle="1" w:styleId="afffffffd">
    <w:name w:val="列项说明数字编号"/>
    <w:pPr>
      <w:ind w:leftChars="400" w:left="600" w:hangingChars="200" w:hanging="200"/>
    </w:pPr>
    <w:rPr>
      <w:rFonts w:ascii="宋体"/>
      <w:sz w:val="21"/>
      <w:lang w:val="en-US" w:eastAsia="zh-CN"/>
    </w:rPr>
  </w:style>
  <w:style w:type="paragraph" w:customStyle="1" w:styleId="afffffffe">
    <w:name w:val="目次、标准名称标题"/>
    <w:basedOn w:val="a"/>
    <w:next w:val="af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f">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fff0">
    <w:name w:val="标准书脚_偶数页"/>
    <w:pPr>
      <w:spacing w:before="120"/>
      <w:ind w:left="221"/>
    </w:pPr>
    <w:rPr>
      <w:rFonts w:ascii="宋体"/>
      <w:sz w:val="18"/>
      <w:szCs w:val="18"/>
      <w:lang w:val="en-US" w:eastAsia="zh-CN"/>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9">
    <w:name w:val="列表段落 字符"/>
    <w:link w:val="aff8"/>
    <w:uiPriority w:val="34"/>
    <w:locked/>
    <w:rPr>
      <w:kern w:val="2"/>
      <w:sz w:val="21"/>
      <w:szCs w:val="24"/>
    </w:rPr>
  </w:style>
  <w:style w:type="character" w:customStyle="1" w:styleId="B3Char">
    <w:name w:val="B3 Char"/>
    <w:basedOn w:val="a0"/>
    <w:rPr>
      <w:lang w:val="en-GB"/>
    </w:rPr>
  </w:style>
  <w:style w:type="character" w:customStyle="1" w:styleId="B4Char">
    <w:name w:val="B4 Char"/>
    <w:link w:val="B4"/>
    <w:rPr>
      <w:rFonts w:eastAsia="MS Mincho"/>
      <w:lang w:val="en-GB" w:eastAsia="en-US"/>
    </w:rPr>
  </w:style>
  <w:style w:type="paragraph" w:customStyle="1" w:styleId="Guidance">
    <w:name w:val="Guidance"/>
    <w:basedOn w:val="a"/>
    <w:link w:val="GuidanceChar"/>
    <w:pPr>
      <w:widowControl/>
      <w:spacing w:after="180"/>
      <w:jc w:val="left"/>
    </w:pPr>
    <w:rPr>
      <w:i/>
      <w:color w:val="0000FF"/>
      <w:kern w:val="0"/>
      <w:sz w:val="20"/>
      <w:szCs w:val="20"/>
      <w:lang w:val="en-GB"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paragraph" w:styleId="affffffff1">
    <w:name w:val="Revision"/>
    <w:hidden/>
    <w:uiPriority w:val="99"/>
    <w:semiHidden/>
    <w:rsid w:val="006A159C"/>
    <w:pPr>
      <w:spacing w:after="0" w:line="240" w:lineRule="auto"/>
    </w:pPr>
    <w:rPr>
      <w:kern w:val="2"/>
      <w:sz w:val="21"/>
      <w:szCs w:val="24"/>
      <w:lang w:val="en-US" w:eastAsia="zh-CN"/>
    </w:rPr>
  </w:style>
  <w:style w:type="character" w:styleId="affffffff2">
    <w:name w:val="Unresolved Mention"/>
    <w:basedOn w:val="a0"/>
    <w:uiPriority w:val="99"/>
    <w:semiHidden/>
    <w:unhideWhenUsed/>
    <w:rsid w:val="00BA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AF513-8096-4FC8-9B4F-8C9C6B91E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5</cp:revision>
  <cp:lastPrinted>2113-01-01T00:00:00Z</cp:lastPrinted>
  <dcterms:created xsi:type="dcterms:W3CDTF">2023-09-04T09:00:00Z</dcterms:created>
  <dcterms:modified xsi:type="dcterms:W3CDTF">2023-09-04T16:31:00Z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