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667082" w14:textId="77777777" w:rsidR="007E433C" w:rsidRDefault="00000000">
      <w:pPr>
        <w:rPr>
          <w:rFonts w:ascii="Roboto Medium" w:eastAsia="Roboto Medium" w:hAnsi="Roboto Medium" w:cs="Roboto Medium"/>
        </w:rPr>
      </w:pPr>
      <w:r>
        <w:rPr>
          <w:u w:val="single"/>
        </w:rPr>
        <w:t>__________________________________________________________________________________________________</w:t>
      </w:r>
    </w:p>
    <w:p w14:paraId="06F700A6" w14:textId="77777777" w:rsidR="007E433C" w:rsidRDefault="00000000">
      <w:pPr>
        <w:spacing w:before="240" w:after="60"/>
        <w:rPr>
          <w:rFonts w:ascii="Roboto Medium" w:eastAsia="Roboto Medium" w:hAnsi="Roboto Medium" w:cs="Roboto Medium"/>
        </w:rPr>
      </w:pPr>
      <w:r>
        <w:rPr>
          <w:rFonts w:ascii="Roboto Medium" w:eastAsia="Roboto Medium" w:hAnsi="Roboto Medium" w:cs="Roboto Medium"/>
        </w:rPr>
        <w:t>RP-231979</w:t>
      </w:r>
    </w:p>
    <w:p w14:paraId="4CE0967A" w14:textId="77777777" w:rsidR="007E433C" w:rsidRDefault="00000000">
      <w:pPr>
        <w:spacing w:before="240" w:after="60"/>
        <w:rPr>
          <w:rFonts w:ascii="Roboto Medium" w:eastAsia="Roboto Medium" w:hAnsi="Roboto Medium" w:cs="Roboto Medium"/>
        </w:rPr>
      </w:pPr>
      <w:r>
        <w:rPr>
          <w:rFonts w:ascii="Roboto Medium" w:eastAsia="Roboto Medium" w:hAnsi="Roboto Medium" w:cs="Roboto Medium"/>
        </w:rPr>
        <w:t>3GPP TSG RAN #101 Meeting                                                                                                                     Bangalore, September 11-15, 2023</w:t>
      </w:r>
    </w:p>
    <w:p w14:paraId="5EF9ACAC" w14:textId="77777777" w:rsidR="007E433C" w:rsidRDefault="00000000">
      <w:pPr>
        <w:spacing w:after="60"/>
        <w:ind w:left="1820" w:hanging="20"/>
        <w:rPr>
          <w:rFonts w:ascii="Roboto" w:eastAsia="Roboto" w:hAnsi="Roboto" w:cs="Roboto"/>
          <w:b/>
        </w:rPr>
      </w:pPr>
      <w:r>
        <w:rPr>
          <w:rFonts w:ascii="Roboto" w:eastAsia="Roboto" w:hAnsi="Roboto" w:cs="Roboto"/>
          <w:b/>
        </w:rPr>
        <w:t xml:space="preserve"> </w:t>
      </w:r>
    </w:p>
    <w:p w14:paraId="2B6220F8" w14:textId="77777777" w:rsidR="007E433C" w:rsidRDefault="00000000">
      <w:pPr>
        <w:rPr>
          <w:rFonts w:ascii="Roboto" w:eastAsia="Roboto" w:hAnsi="Roboto" w:cs="Roboto"/>
        </w:rPr>
      </w:pPr>
      <w:r>
        <w:rPr>
          <w:rFonts w:ascii="Roboto" w:eastAsia="Roboto" w:hAnsi="Roboto" w:cs="Roboto"/>
        </w:rPr>
        <w:t xml:space="preserve">Title:                         </w:t>
      </w:r>
      <w:r>
        <w:rPr>
          <w:rFonts w:ascii="Roboto" w:eastAsia="Roboto" w:hAnsi="Roboto" w:cs="Roboto"/>
        </w:rPr>
        <w:tab/>
      </w:r>
      <w:proofErr w:type="spellStart"/>
      <w:r>
        <w:rPr>
          <w:rFonts w:ascii="Roboto" w:eastAsia="Roboto" w:hAnsi="Roboto" w:cs="Roboto"/>
        </w:rPr>
        <w:t>Skylo’s</w:t>
      </w:r>
      <w:proofErr w:type="spellEnd"/>
      <w:r>
        <w:rPr>
          <w:rFonts w:ascii="Roboto" w:eastAsia="Roboto" w:hAnsi="Roboto" w:cs="Roboto"/>
        </w:rPr>
        <w:t xml:space="preserve"> views on NTN Release 19 scope </w:t>
      </w:r>
    </w:p>
    <w:p w14:paraId="6E97A5CE" w14:textId="77777777" w:rsidR="007E433C" w:rsidRDefault="00000000">
      <w:pPr>
        <w:rPr>
          <w:rFonts w:ascii="Roboto" w:eastAsia="Roboto" w:hAnsi="Roboto" w:cs="Roboto"/>
        </w:rPr>
      </w:pPr>
      <w:r>
        <w:rPr>
          <w:rFonts w:ascii="Roboto" w:eastAsia="Roboto" w:hAnsi="Roboto" w:cs="Roboto"/>
        </w:rPr>
        <w:t xml:space="preserve">Source:                     </w:t>
      </w:r>
      <w:r>
        <w:rPr>
          <w:rFonts w:ascii="Roboto" w:eastAsia="Roboto" w:hAnsi="Roboto" w:cs="Roboto"/>
        </w:rPr>
        <w:tab/>
      </w:r>
      <w:proofErr w:type="spellStart"/>
      <w:r>
        <w:rPr>
          <w:rFonts w:ascii="Roboto" w:eastAsia="Roboto" w:hAnsi="Roboto" w:cs="Roboto"/>
        </w:rPr>
        <w:t>Skylo</w:t>
      </w:r>
      <w:proofErr w:type="spellEnd"/>
      <w:r>
        <w:rPr>
          <w:rFonts w:ascii="Roboto" w:eastAsia="Roboto" w:hAnsi="Roboto" w:cs="Roboto"/>
        </w:rPr>
        <w:t xml:space="preserve"> Technologies Inc</w:t>
      </w:r>
    </w:p>
    <w:p w14:paraId="4AC0B643" w14:textId="77777777" w:rsidR="007E433C" w:rsidRDefault="00000000">
      <w:pPr>
        <w:rPr>
          <w:rFonts w:ascii="Roboto" w:eastAsia="Roboto" w:hAnsi="Roboto" w:cs="Roboto"/>
        </w:rPr>
      </w:pPr>
      <w:r>
        <w:rPr>
          <w:rFonts w:ascii="Roboto" w:eastAsia="Roboto" w:hAnsi="Roboto" w:cs="Roboto"/>
        </w:rPr>
        <w:t xml:space="preserve">Type:                         </w:t>
      </w:r>
      <w:r>
        <w:rPr>
          <w:rFonts w:ascii="Roboto" w:eastAsia="Roboto" w:hAnsi="Roboto" w:cs="Roboto"/>
        </w:rPr>
        <w:tab/>
        <w:t>discussion</w:t>
      </w:r>
    </w:p>
    <w:p w14:paraId="5E1D0DDE" w14:textId="77777777" w:rsidR="007E433C" w:rsidRDefault="00000000">
      <w:pPr>
        <w:rPr>
          <w:rFonts w:ascii="Roboto" w:eastAsia="Roboto" w:hAnsi="Roboto" w:cs="Roboto"/>
        </w:rPr>
      </w:pPr>
      <w:r>
        <w:rPr>
          <w:rFonts w:ascii="Roboto" w:eastAsia="Roboto" w:hAnsi="Roboto" w:cs="Roboto"/>
        </w:rPr>
        <w:t xml:space="preserve">Agenda Item:         </w:t>
      </w:r>
      <w:r>
        <w:rPr>
          <w:rFonts w:ascii="Roboto" w:eastAsia="Roboto" w:hAnsi="Roboto" w:cs="Roboto"/>
        </w:rPr>
        <w:tab/>
        <w:t xml:space="preserve">8A.2.7 NTN Evolution  </w:t>
      </w:r>
    </w:p>
    <w:p w14:paraId="1BA9DC36" w14:textId="77777777" w:rsidR="007E433C" w:rsidRDefault="00000000">
      <w:pPr>
        <w:rPr>
          <w:u w:val="single"/>
        </w:rPr>
      </w:pPr>
      <w:r>
        <w:rPr>
          <w:u w:val="single"/>
        </w:rPr>
        <w:t>__________________________________________________________________________________________________</w:t>
      </w:r>
    </w:p>
    <w:p w14:paraId="5E71BFEF" w14:textId="77777777" w:rsidR="007E433C" w:rsidRDefault="007E433C">
      <w:pPr>
        <w:rPr>
          <w:u w:val="single"/>
        </w:rPr>
      </w:pPr>
    </w:p>
    <w:p w14:paraId="4CDD1621" w14:textId="77777777" w:rsidR="007E433C" w:rsidRDefault="00000000">
      <w:pPr>
        <w:pStyle w:val="Heading1"/>
      </w:pPr>
      <w:bookmarkStart w:id="0" w:name="_2t5byqtsa0vo" w:colFirst="0" w:colLast="0"/>
      <w:bookmarkEnd w:id="0"/>
      <w:r>
        <w:t>Introduction</w:t>
      </w:r>
    </w:p>
    <w:p w14:paraId="58A6D5D1" w14:textId="77777777" w:rsidR="007E433C" w:rsidRDefault="007E433C"/>
    <w:p w14:paraId="13658700" w14:textId="77777777" w:rsidR="007E433C" w:rsidRDefault="007E433C"/>
    <w:p w14:paraId="38F8B6D5" w14:textId="44AFFE79" w:rsidR="007E433C" w:rsidRDefault="00000000">
      <w:pPr>
        <w:pBdr>
          <w:top w:val="nil"/>
          <w:left w:val="nil"/>
          <w:bottom w:val="nil"/>
          <w:right w:val="nil"/>
          <w:between w:val="nil"/>
        </w:pBdr>
      </w:pPr>
      <w:proofErr w:type="spellStart"/>
      <w:r>
        <w:t>Skylo</w:t>
      </w:r>
      <w:proofErr w:type="spellEnd"/>
      <w:r>
        <w:t xml:space="preserve"> is a global Non-Terrestrial Network (NTN) service provider, paving the way for satellite and cellular convergence. </w:t>
      </w:r>
      <w:proofErr w:type="spellStart"/>
      <w:r>
        <w:t>Skylo’s</w:t>
      </w:r>
      <w:proofErr w:type="spellEnd"/>
      <w:r>
        <w:t xml:space="preserve"> NTN network uses existing Geostationary satellites and enables IOT devices, sensors, smartphones, </w:t>
      </w:r>
      <w:proofErr w:type="gramStart"/>
      <w:r>
        <w:t>wearables</w:t>
      </w:r>
      <w:proofErr w:type="gramEnd"/>
      <w:r>
        <w:t xml:space="preserve"> and other devices to connect via satellite communication. </w:t>
      </w:r>
    </w:p>
    <w:p w14:paraId="388AED2F" w14:textId="77777777" w:rsidR="007E433C" w:rsidRDefault="00000000">
      <w:r>
        <w:t>Considering market demand, we propose including the following topics to the scope of 3GPP release 19.</w:t>
      </w:r>
    </w:p>
    <w:p w14:paraId="44B9FBD1" w14:textId="77777777" w:rsidR="007E433C" w:rsidRDefault="007E433C"/>
    <w:p w14:paraId="2DFE4F4D" w14:textId="77777777" w:rsidR="007E433C" w:rsidRDefault="00000000">
      <w:pPr>
        <w:pStyle w:val="Heading1"/>
      </w:pPr>
      <w:bookmarkStart w:id="1" w:name="_5zr9un88t94q" w:colFirst="0" w:colLast="0"/>
      <w:bookmarkEnd w:id="1"/>
      <w:r>
        <w:t>NTN Release 19 Scope Proposal</w:t>
      </w:r>
    </w:p>
    <w:p w14:paraId="103516AA" w14:textId="77777777" w:rsidR="007E433C" w:rsidRDefault="007E433C"/>
    <w:p w14:paraId="5FB33B7E" w14:textId="77777777" w:rsidR="007E433C" w:rsidRDefault="007E433C"/>
    <w:p w14:paraId="79FE3267" w14:textId="77777777" w:rsidR="007E433C" w:rsidRDefault="00000000">
      <w:pPr>
        <w:rPr>
          <w:rFonts w:ascii="Roboto" w:eastAsia="Roboto" w:hAnsi="Roboto" w:cs="Roboto"/>
          <w:b/>
        </w:rPr>
      </w:pPr>
      <w:r>
        <w:rPr>
          <w:rFonts w:ascii="Roboto" w:eastAsia="Roboto" w:hAnsi="Roboto" w:cs="Roboto"/>
          <w:b/>
        </w:rPr>
        <w:t>Capacity Enhancements for NB-NTN</w:t>
      </w:r>
    </w:p>
    <w:p w14:paraId="27E08D42" w14:textId="77777777" w:rsidR="007E433C" w:rsidRDefault="00000000">
      <w:r>
        <w:t xml:space="preserve">Capacity enhancements are critical to supporting high density IoT and consumer deployments and for the ability to offer these services at economically viable price points. Capacity is a key area for optimizations for </w:t>
      </w:r>
      <w:proofErr w:type="spellStart"/>
      <w:r>
        <w:t>Skylo</w:t>
      </w:r>
      <w:proofErr w:type="spellEnd"/>
      <w:r>
        <w:t xml:space="preserve">. </w:t>
      </w:r>
    </w:p>
    <w:p w14:paraId="6C97EFEB" w14:textId="77777777" w:rsidR="007E433C" w:rsidRDefault="007E433C"/>
    <w:p w14:paraId="1BDC0D80" w14:textId="77777777" w:rsidR="007E433C" w:rsidRDefault="00000000">
      <w:r>
        <w:t>One way the network can be made efficient is by reducing the signaling overhead. Even in scenarios when the network traffic is dominated by the MO-</w:t>
      </w:r>
      <w:proofErr w:type="gramStart"/>
      <w:r>
        <w:t>data ,</w:t>
      </w:r>
      <w:proofErr w:type="gramEnd"/>
      <w:r>
        <w:t xml:space="preserve"> the network capacity is limited by the downlink resource availability rather than the UL resource availability. Thus, reducing the downlink signaling overhead becomes even more important.</w:t>
      </w:r>
    </w:p>
    <w:p w14:paraId="63FE962E" w14:textId="77777777" w:rsidR="007E433C" w:rsidRDefault="007E433C"/>
    <w:p w14:paraId="38D442C5" w14:textId="77777777" w:rsidR="007E433C" w:rsidRDefault="00000000">
      <w:r>
        <w:lastRenderedPageBreak/>
        <w:t xml:space="preserve">Another important area for capacity optimization is traffic distribution. IOT application data is usually delay tolerant. By uniformly distributing the delay-tolerant IOT data transmission by various IOT devices or by diverting the traffic to less congested network periods, average network capacity can be optimized.   </w:t>
      </w:r>
    </w:p>
    <w:p w14:paraId="42125429" w14:textId="77777777" w:rsidR="007E433C" w:rsidRDefault="00000000">
      <w:r>
        <w:t xml:space="preserve"> </w:t>
      </w:r>
    </w:p>
    <w:p w14:paraId="54338581" w14:textId="77777777" w:rsidR="007E433C" w:rsidRDefault="00000000">
      <w:r>
        <w:t>Thus, as part of release 19, NTN Protocol should be further optimized to make the data transmission more efficient and further increase overall network capacity.</w:t>
      </w:r>
    </w:p>
    <w:p w14:paraId="5795932F" w14:textId="77777777" w:rsidR="007E433C" w:rsidRDefault="007E433C"/>
    <w:p w14:paraId="203C4C71" w14:textId="77777777" w:rsidR="007E433C" w:rsidRDefault="007E433C"/>
    <w:p w14:paraId="444D40C6" w14:textId="77777777" w:rsidR="007E433C" w:rsidRDefault="00000000">
      <w:pPr>
        <w:rPr>
          <w:rFonts w:ascii="Roboto" w:eastAsia="Roboto" w:hAnsi="Roboto" w:cs="Roboto"/>
          <w:b/>
        </w:rPr>
      </w:pPr>
      <w:r>
        <w:rPr>
          <w:rFonts w:ascii="Roboto" w:eastAsia="Roboto" w:hAnsi="Roboto" w:cs="Roboto"/>
          <w:b/>
        </w:rPr>
        <w:t>Enablement of Emergency Services Capabilities for NB-NTN</w:t>
      </w:r>
    </w:p>
    <w:p w14:paraId="62BACED5" w14:textId="77777777" w:rsidR="007E433C" w:rsidRDefault="00000000">
      <w:r>
        <w:t>Emergency services is the tip of the spear for the go to market model for consumer handset manufacturers. Of particular interest is the ability of these NTN systems to handle large impulse functions of emergency traffic on the network during large scale disasters where terrestrial infrastructure may be affected such as earthquakes, fires, floods, etc.  This poses quality of service, service pre-emption, network congestion and other traffic management issues to effectively address this use case.</w:t>
      </w:r>
    </w:p>
    <w:p w14:paraId="339DB897" w14:textId="77777777" w:rsidR="007E433C" w:rsidRDefault="00000000">
      <w:r>
        <w:t xml:space="preserve">Following are a few ways current NTN protocol can be improved for the </w:t>
      </w:r>
      <w:proofErr w:type="gramStart"/>
      <w:r>
        <w:t>emergency  services</w:t>
      </w:r>
      <w:proofErr w:type="gramEnd"/>
      <w:r>
        <w:t xml:space="preserve">: </w:t>
      </w:r>
    </w:p>
    <w:p w14:paraId="44BF5252" w14:textId="77777777" w:rsidR="007E433C" w:rsidRDefault="00000000">
      <w:pPr>
        <w:numPr>
          <w:ilvl w:val="0"/>
          <w:numId w:val="1"/>
        </w:numPr>
      </w:pPr>
      <w:r>
        <w:t>IMEI-based authentication schemes</w:t>
      </w:r>
    </w:p>
    <w:p w14:paraId="7AC5E8FB" w14:textId="77777777" w:rsidR="007E433C" w:rsidRDefault="00000000">
      <w:pPr>
        <w:numPr>
          <w:ilvl w:val="0"/>
          <w:numId w:val="1"/>
        </w:numPr>
      </w:pPr>
      <w:r>
        <w:t xml:space="preserve">Bring QoS indication to the RAN layer to enable identification and prioritization of emergency traffic from the outset. </w:t>
      </w:r>
    </w:p>
    <w:p w14:paraId="1587D32E" w14:textId="77777777" w:rsidR="007E433C" w:rsidRDefault="00000000">
      <w:pPr>
        <w:numPr>
          <w:ilvl w:val="0"/>
          <w:numId w:val="1"/>
        </w:numPr>
      </w:pPr>
      <w:r>
        <w:t xml:space="preserve">Introduce capability to enable distinct backoff schemes for various classes of services.  </w:t>
      </w:r>
    </w:p>
    <w:p w14:paraId="16BD5811" w14:textId="77777777" w:rsidR="007E433C" w:rsidRDefault="007E433C"/>
    <w:p w14:paraId="78E83B2C" w14:textId="77777777" w:rsidR="007E433C" w:rsidRDefault="007E433C">
      <w:pPr>
        <w:rPr>
          <w:rFonts w:ascii="Roboto" w:eastAsia="Roboto" w:hAnsi="Roboto" w:cs="Roboto"/>
          <w:b/>
        </w:rPr>
      </w:pPr>
    </w:p>
    <w:p w14:paraId="0032ED44" w14:textId="77777777" w:rsidR="007E433C" w:rsidRDefault="00000000">
      <w:pPr>
        <w:rPr>
          <w:rFonts w:ascii="Roboto" w:eastAsia="Roboto" w:hAnsi="Roboto" w:cs="Roboto"/>
          <w:b/>
        </w:rPr>
      </w:pPr>
      <w:r>
        <w:t xml:space="preserve"> </w:t>
      </w:r>
      <w:r>
        <w:rPr>
          <w:rFonts w:ascii="Roboto" w:eastAsia="Roboto" w:hAnsi="Roboto" w:cs="Roboto"/>
          <w:b/>
        </w:rPr>
        <w:t>(Low overhead /</w:t>
      </w:r>
      <w:proofErr w:type="gramStart"/>
      <w:r>
        <w:rPr>
          <w:rFonts w:ascii="Roboto" w:eastAsia="Roboto" w:hAnsi="Roboto" w:cs="Roboto"/>
          <w:b/>
        </w:rPr>
        <w:t>Enhanced)  Broadcast</w:t>
      </w:r>
      <w:proofErr w:type="gramEnd"/>
      <w:r>
        <w:rPr>
          <w:rFonts w:ascii="Roboto" w:eastAsia="Roboto" w:hAnsi="Roboto" w:cs="Roboto"/>
          <w:b/>
        </w:rPr>
        <w:t xml:space="preserve"> and  Multicast Capabilities for NB-NTN</w:t>
      </w:r>
    </w:p>
    <w:p w14:paraId="3CC4FAEE" w14:textId="77777777" w:rsidR="007E433C" w:rsidRDefault="00000000">
      <w:r>
        <w:t>Satellite communications due to its large cell size is naturally suited for broad/multicast communications.  Many use cases are being identified in this space such as GNSS augmentation information, emergency alerting, software management, and others which can provide significant value to both end subscribers and network operators by providing much more efficient means to deliver these services over broadcast and multicast communication channels.</w:t>
      </w:r>
    </w:p>
    <w:p w14:paraId="6BDB6343" w14:textId="77777777" w:rsidR="007E433C" w:rsidRDefault="00000000">
      <w:r>
        <w:t xml:space="preserve">A simple broadcast and multicast protocol with lower signaling </w:t>
      </w:r>
      <w:proofErr w:type="gramStart"/>
      <w:r>
        <w:t>overhead ,</w:t>
      </w:r>
      <w:proofErr w:type="gramEnd"/>
      <w:r>
        <w:t xml:space="preserve"> will encourage feature adoption for multiple use cases. Multicast protocol with flexible packet size and semi persistent scheduling can be considered to reduce signaling overhead.   </w:t>
      </w:r>
    </w:p>
    <w:p w14:paraId="5A7BF1A8" w14:textId="77777777" w:rsidR="007E433C" w:rsidRDefault="007E433C"/>
    <w:p w14:paraId="5FF29EA9" w14:textId="77777777" w:rsidR="007E433C" w:rsidRDefault="007E433C"/>
    <w:p w14:paraId="79BD910F" w14:textId="77777777" w:rsidR="007E433C" w:rsidRDefault="00000000">
      <w:pPr>
        <w:rPr>
          <w:rFonts w:ascii="Roboto" w:eastAsia="Roboto" w:hAnsi="Roboto" w:cs="Roboto"/>
          <w:b/>
        </w:rPr>
      </w:pPr>
      <w:r>
        <w:rPr>
          <w:rFonts w:ascii="Roboto" w:eastAsia="Roboto" w:hAnsi="Roboto" w:cs="Roboto"/>
          <w:b/>
        </w:rPr>
        <w:t>TAU Policy / Mobility Enhancements (LEO) for NB-NTN</w:t>
      </w:r>
    </w:p>
    <w:p w14:paraId="7872DA37" w14:textId="77777777" w:rsidR="007E433C" w:rsidRDefault="00000000">
      <w:r>
        <w:t>Communication efficiency is key for satellite systems.  In the LEO deployment context significant mobility challenges are introduced due to the motion of the LEO satellites and subsequently the perceived motion of the base stations. Schemes to handle mobility, reduce verbosity of TAUs, and maintain a better understanding of device/cell mapping is critical for being able to offer efficient services in the LEO context for intermittent transmitting devices which require bidirectional communications.</w:t>
      </w:r>
    </w:p>
    <w:p w14:paraId="692A743A" w14:textId="77777777" w:rsidR="007E433C" w:rsidRDefault="007E433C"/>
    <w:p w14:paraId="1CB9C5D7" w14:textId="77777777" w:rsidR="007E433C" w:rsidRDefault="007E433C"/>
    <w:p w14:paraId="1DE78ABF" w14:textId="77777777" w:rsidR="007E433C" w:rsidRDefault="00000000">
      <w:pPr>
        <w:rPr>
          <w:rFonts w:ascii="Roboto" w:eastAsia="Roboto" w:hAnsi="Roboto" w:cs="Roboto"/>
          <w:b/>
        </w:rPr>
      </w:pPr>
      <w:r>
        <w:rPr>
          <w:rFonts w:ascii="Roboto" w:eastAsia="Roboto" w:hAnsi="Roboto" w:cs="Roboto"/>
          <w:b/>
        </w:rPr>
        <w:t>Satellite/Terrestrial Roaming</w:t>
      </w:r>
    </w:p>
    <w:p w14:paraId="56C2795B" w14:textId="77777777" w:rsidR="007E433C" w:rsidRDefault="00000000">
      <w:r>
        <w:t>The NTN ecosystem is ultimately pushing towards a hybrid connectivity solution where use cases and applications roam “seamlessly” between terrestrial and satellite networks.  There are many open questions in this area to perform activities like cell selection between satellite and terrestrial, appropriately handle network backoffs for a satellite network that is always available and always seen, handle roaming back to cellular, amongst other roaming related issues.</w:t>
      </w:r>
    </w:p>
    <w:p w14:paraId="7DB68C32" w14:textId="77777777" w:rsidR="007E433C" w:rsidRDefault="00000000">
      <w:r>
        <w:t xml:space="preserve">The existing roaming protocol is defined for roaming between terrestrial networks. The NTN protocol should be further optimized to reduce the signaling overhead in the NTN network, </w:t>
      </w:r>
      <w:proofErr w:type="gramStart"/>
      <w:r>
        <w:t>taking into account</w:t>
      </w:r>
      <w:proofErr w:type="gramEnd"/>
      <w:r>
        <w:t xml:space="preserve"> specific use cases and traffic types.  </w:t>
      </w:r>
    </w:p>
    <w:p w14:paraId="5F2D48D5" w14:textId="77777777" w:rsidR="007E433C" w:rsidRDefault="007E433C"/>
    <w:p w14:paraId="674FF828" w14:textId="77777777" w:rsidR="007E433C" w:rsidRDefault="007E433C"/>
    <w:p w14:paraId="01EFFC23" w14:textId="77777777" w:rsidR="007E433C" w:rsidRDefault="00000000">
      <w:pPr>
        <w:rPr>
          <w:rFonts w:ascii="Roboto" w:eastAsia="Roboto" w:hAnsi="Roboto" w:cs="Roboto"/>
          <w:b/>
        </w:rPr>
      </w:pPr>
      <w:r>
        <w:rPr>
          <w:rFonts w:ascii="Roboto" w:eastAsia="Roboto" w:hAnsi="Roboto" w:cs="Roboto"/>
          <w:b/>
        </w:rPr>
        <w:t>Voice over NB-NTN</w:t>
      </w:r>
    </w:p>
    <w:p w14:paraId="6EA889E0" w14:textId="77777777" w:rsidR="007E433C" w:rsidRDefault="00000000">
      <w:r>
        <w:t>NB-NTN is now seeing broad adoption in the consumer segments, with smartphone implementation leading the way. One of the main requirements that existing phone manufacturers and network operators are looking for is the ability to run voice.  Additionally regulatory of market needs are specifically highlighting the need for voice for emergency services (e-call).  NB-NTN should have the capability to enable nominal voice capabilities.</w:t>
      </w:r>
    </w:p>
    <w:p w14:paraId="52BE5B4D" w14:textId="77777777" w:rsidR="007E433C" w:rsidRDefault="007E433C">
      <w:pPr>
        <w:rPr>
          <w:rFonts w:ascii="Roboto" w:eastAsia="Roboto" w:hAnsi="Roboto" w:cs="Roboto"/>
          <w:b/>
        </w:rPr>
      </w:pPr>
    </w:p>
    <w:p w14:paraId="6BC16C5E" w14:textId="77777777" w:rsidR="007E433C" w:rsidRDefault="007E433C">
      <w:pPr>
        <w:rPr>
          <w:rFonts w:ascii="Roboto" w:eastAsia="Roboto" w:hAnsi="Roboto" w:cs="Roboto"/>
          <w:b/>
        </w:rPr>
      </w:pPr>
    </w:p>
    <w:p w14:paraId="7667325A" w14:textId="77777777" w:rsidR="007E433C" w:rsidRDefault="00000000">
      <w:pPr>
        <w:rPr>
          <w:rFonts w:ascii="Roboto" w:eastAsia="Roboto" w:hAnsi="Roboto" w:cs="Roboto"/>
          <w:b/>
        </w:rPr>
      </w:pPr>
      <w:r>
        <w:rPr>
          <w:rFonts w:ascii="Roboto" w:eastAsia="Roboto" w:hAnsi="Roboto" w:cs="Roboto"/>
          <w:b/>
        </w:rPr>
        <w:t>Link Performance Enhancements</w:t>
      </w:r>
    </w:p>
    <w:p w14:paraId="7003AF96" w14:textId="77777777" w:rsidR="007E433C" w:rsidRDefault="00000000">
      <w:r>
        <w:t xml:space="preserve">The link budget for satellite communications is the primary limiting factor today for both a features capability as well as from </w:t>
      </w:r>
      <w:proofErr w:type="gramStart"/>
      <w:r>
        <w:t>an</w:t>
      </w:r>
      <w:proofErr w:type="gramEnd"/>
      <w:r>
        <w:t xml:space="preserve"> subscriber economics perspective. Additional optimization on encoding/decoding schemes, enhanced channel estimation schemes, and other optimizations can still yet yield meaningful differences in performance and outcomes shifting the capabilities and economics of NTN to continue to make it more and more accessible.</w:t>
      </w:r>
    </w:p>
    <w:p w14:paraId="5874084C" w14:textId="77777777" w:rsidR="007E433C" w:rsidRDefault="007E433C">
      <w:pPr>
        <w:rPr>
          <w:rFonts w:ascii="Roboto" w:eastAsia="Roboto" w:hAnsi="Roboto" w:cs="Roboto"/>
          <w:b/>
        </w:rPr>
      </w:pPr>
    </w:p>
    <w:p w14:paraId="766F40B8" w14:textId="77777777" w:rsidR="007E433C" w:rsidRDefault="007E433C"/>
    <w:p w14:paraId="2512CF60" w14:textId="77777777" w:rsidR="007E433C" w:rsidRDefault="00000000">
      <w:pPr>
        <w:pStyle w:val="Heading1"/>
      </w:pPr>
      <w:bookmarkStart w:id="2" w:name="_r9s5999pda33" w:colFirst="0" w:colLast="0"/>
      <w:bookmarkEnd w:id="2"/>
      <w:r>
        <w:t>Proposal</w:t>
      </w:r>
    </w:p>
    <w:p w14:paraId="5DAA6B84" w14:textId="77777777" w:rsidR="007E433C" w:rsidRDefault="007E433C"/>
    <w:p w14:paraId="6DEB9864" w14:textId="77777777" w:rsidR="007E433C" w:rsidRDefault="00000000">
      <w:r>
        <w:t>We propose to consider including the above topics to the scope of release 19 NB - NTN evolution. Some of these topics should be considered for NR-NTN evolution as well.</w:t>
      </w:r>
    </w:p>
    <w:p w14:paraId="024234AF" w14:textId="77777777" w:rsidR="007E433C" w:rsidRDefault="007E433C">
      <w:pPr>
        <w:rPr>
          <w:color w:val="666666"/>
          <w:highlight w:val="white"/>
        </w:rPr>
      </w:pPr>
    </w:p>
    <w:sectPr w:rsidR="007E433C">
      <w:headerReference w:type="default" r:id="rId7"/>
      <w:footerReference w:type="default" r:id="rId8"/>
      <w:headerReference w:type="first" r:id="rId9"/>
      <w:footerReference w:type="first" r:id="rId10"/>
      <w:pgSz w:w="12240" w:h="15840"/>
      <w:pgMar w:top="1440" w:right="1440" w:bottom="1440" w:left="1440" w:header="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F9E5EB" w14:textId="77777777" w:rsidR="00F25118" w:rsidRDefault="00F25118">
      <w:pPr>
        <w:spacing w:line="240" w:lineRule="auto"/>
      </w:pPr>
      <w:r>
        <w:separator/>
      </w:r>
    </w:p>
  </w:endnote>
  <w:endnote w:type="continuationSeparator" w:id="0">
    <w:p w14:paraId="69A6861E" w14:textId="77777777" w:rsidR="00F25118" w:rsidRDefault="00F2511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Roboto Light">
    <w:charset w:val="00"/>
    <w:family w:val="auto"/>
    <w:pitch w:val="variable"/>
    <w:sig w:usb0="E0000AFF" w:usb1="5000217F" w:usb2="00000021" w:usb3="00000000" w:csb0="0000019F" w:csb1="00000000"/>
  </w:font>
  <w:font w:name="Roboto Thin">
    <w:charset w:val="00"/>
    <w:family w:val="auto"/>
    <w:pitch w:val="variable"/>
    <w:sig w:usb0="E0000AFF" w:usb1="5000217F" w:usb2="00000021" w:usb3="00000000" w:csb0="0000019F" w:csb1="00000000"/>
  </w:font>
  <w:font w:name="Roboto Medium">
    <w:charset w:val="00"/>
    <w:family w:val="auto"/>
    <w:pitch w:val="variable"/>
    <w:sig w:usb0="E0000AFF" w:usb1="5000217F" w:usb2="00000021" w:usb3="00000000" w:csb0="0000019F" w:csb1="00000000"/>
  </w:font>
  <w:font w:name="Arial">
    <w:panose1 w:val="020B0604020202020204"/>
    <w:charset w:val="00"/>
    <w:family w:val="swiss"/>
    <w:pitch w:val="variable"/>
    <w:sig w:usb0="E0002EFF" w:usb1="C000785B" w:usb2="00000009" w:usb3="00000000" w:csb0="000001FF" w:csb1="00000000"/>
  </w:font>
  <w:font w:name="Roboto">
    <w:charset w:val="00"/>
    <w:family w:val="auto"/>
    <w:pitch w:val="variable"/>
    <w:sig w:usb0="E0000AFF" w:usb1="5000217F" w:usb2="00000021" w:usb3="00000000" w:csb0="000001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75F3F4" w14:textId="77777777" w:rsidR="007E433C" w:rsidRDefault="00000000">
    <w:pPr>
      <w:jc w:val="center"/>
      <w:rPr>
        <w:rFonts w:ascii="Roboto" w:eastAsia="Roboto" w:hAnsi="Roboto" w:cs="Roboto"/>
        <w:sz w:val="18"/>
        <w:szCs w:val="18"/>
      </w:rPr>
    </w:pPr>
    <w:r>
      <w:rPr>
        <w:rFonts w:ascii="Roboto" w:eastAsia="Roboto" w:hAnsi="Roboto" w:cs="Roboto"/>
        <w:color w:val="666666"/>
        <w:sz w:val="18"/>
        <w:szCs w:val="18"/>
      </w:rPr>
      <w:t xml:space="preserve">SKYLO TECHNOLOGIES | 2301 LEGHORN STREET, MOUNTAIN VIEW, CA 94043 </w:t>
    </w:r>
    <w:proofErr w:type="gramStart"/>
    <w:r>
      <w:rPr>
        <w:rFonts w:ascii="Roboto" w:eastAsia="Roboto" w:hAnsi="Roboto" w:cs="Roboto"/>
        <w:color w:val="666666"/>
        <w:sz w:val="18"/>
        <w:szCs w:val="18"/>
      </w:rPr>
      <w:t>|  WWW.SKYLO.TECH</w:t>
    </w:r>
    <w:proofErr w:type="gramEnd"/>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6E2F7F" w14:textId="77777777" w:rsidR="007E433C" w:rsidRDefault="007E433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2E3EB7" w14:textId="77777777" w:rsidR="00F25118" w:rsidRDefault="00F25118">
      <w:pPr>
        <w:spacing w:line="240" w:lineRule="auto"/>
      </w:pPr>
      <w:r>
        <w:separator/>
      </w:r>
    </w:p>
  </w:footnote>
  <w:footnote w:type="continuationSeparator" w:id="0">
    <w:p w14:paraId="74E84F4F" w14:textId="77777777" w:rsidR="00F25118" w:rsidRDefault="00F25118">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71A941" w14:textId="77777777" w:rsidR="007E433C" w:rsidRDefault="00000000">
    <w:pPr>
      <w:rPr>
        <w:color w:val="666666"/>
        <w:sz w:val="20"/>
        <w:szCs w:val="20"/>
      </w:rPr>
    </w:pPr>
    <w:r>
      <w:rPr>
        <w:noProof/>
      </w:rPr>
      <w:drawing>
        <wp:anchor distT="342900" distB="342900" distL="342900" distR="342900" simplePos="0" relativeHeight="251658240" behindDoc="0" locked="0" layoutInCell="1" hidden="0" allowOverlap="1" wp14:anchorId="75554901" wp14:editId="63DE916A">
          <wp:simplePos x="0" y="0"/>
          <wp:positionH relativeFrom="column">
            <wp:posOffset>-342899</wp:posOffset>
          </wp:positionH>
          <wp:positionV relativeFrom="paragraph">
            <wp:posOffset>276226</wp:posOffset>
          </wp:positionV>
          <wp:extent cx="1862138" cy="588043"/>
          <wp:effectExtent l="0" t="0" r="0" b="0"/>
          <wp:wrapSquare wrapText="bothSides" distT="342900" distB="342900" distL="342900" distR="342900"/>
          <wp:docPr id="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1862138" cy="588043"/>
                  </a:xfrm>
                  <a:prstGeom prst="rect">
                    <a:avLst/>
                  </a:prstGeom>
                  <a:ln/>
                </pic:spPr>
              </pic:pic>
            </a:graphicData>
          </a:graphic>
        </wp:anchor>
      </w:drawing>
    </w:r>
  </w:p>
  <w:p w14:paraId="0076CC81" w14:textId="77777777" w:rsidR="007E433C" w:rsidRDefault="007E433C">
    <w:pPr>
      <w:jc w:val="right"/>
      <w:rPr>
        <w:color w:val="666666"/>
        <w:sz w:val="20"/>
        <w:szCs w:val="20"/>
      </w:rPr>
    </w:pPr>
  </w:p>
  <w:p w14:paraId="68901294" w14:textId="77777777" w:rsidR="007E433C" w:rsidRDefault="007E433C">
    <w:pPr>
      <w:jc w:val="right"/>
      <w:rPr>
        <w:color w:val="666666"/>
        <w:sz w:val="20"/>
        <w:szCs w:val="20"/>
      </w:rPr>
    </w:pPr>
  </w:p>
  <w:p w14:paraId="7A25B96C" w14:textId="77777777" w:rsidR="007E433C" w:rsidRDefault="007E433C">
    <w:pPr>
      <w:rPr>
        <w:color w:val="666666"/>
        <w:sz w:val="20"/>
        <w:szCs w:val="20"/>
      </w:rPr>
    </w:pPr>
  </w:p>
  <w:p w14:paraId="14476D48" w14:textId="77777777" w:rsidR="007E433C" w:rsidRDefault="007E433C">
    <w:pPr>
      <w:rPr>
        <w:color w:val="666666"/>
        <w:sz w:val="20"/>
        <w:szCs w:val="20"/>
      </w:rPr>
    </w:pPr>
  </w:p>
  <w:p w14:paraId="13381F2D" w14:textId="77777777" w:rsidR="007E433C" w:rsidRDefault="007E433C">
    <w:pPr>
      <w:rPr>
        <w:color w:val="666666"/>
        <w:sz w:val="20"/>
        <w:szCs w:val="20"/>
      </w:rPr>
    </w:pPr>
  </w:p>
  <w:p w14:paraId="6B10C7C7" w14:textId="77777777" w:rsidR="007E433C" w:rsidRDefault="007E433C">
    <w:pPr>
      <w:rPr>
        <w:color w:val="666666"/>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D6F615" w14:textId="77777777" w:rsidR="007E433C" w:rsidRDefault="007E433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52651BB"/>
    <w:multiLevelType w:val="multilevel"/>
    <w:tmpl w:val="94FCFED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16cid:durableId="149776962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E433C"/>
    <w:rsid w:val="005115F9"/>
    <w:rsid w:val="007E433C"/>
    <w:rsid w:val="00C14960"/>
    <w:rsid w:val="00F2511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89B2A0"/>
  <w15:docId w15:val="{03CB3118-C57F-4C3D-9C63-E8672493A3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Roboto Light" w:eastAsia="Roboto Light" w:hAnsi="Roboto Light" w:cs="Roboto Light"/>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rFonts w:ascii="Roboto Thin" w:eastAsia="Roboto Thin" w:hAnsi="Roboto Thin" w:cs="Roboto Thin"/>
      <w:sz w:val="40"/>
      <w:szCs w:val="40"/>
    </w:rPr>
  </w:style>
  <w:style w:type="paragraph" w:styleId="Heading2">
    <w:name w:val="heading 2"/>
    <w:basedOn w:val="Normal"/>
    <w:next w:val="Normal"/>
    <w:uiPriority w:val="9"/>
    <w:semiHidden/>
    <w:unhideWhenUsed/>
    <w:qFormat/>
    <w:pPr>
      <w:keepNext/>
      <w:keepLines/>
      <w:outlineLvl w:val="1"/>
    </w:pPr>
    <w:rPr>
      <w:rFonts w:ascii="Roboto Medium" w:eastAsia="Roboto Medium" w:hAnsi="Roboto Medium" w:cs="Roboto Medium"/>
      <w:sz w:val="28"/>
      <w:szCs w:val="28"/>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rFonts w:ascii="Arial" w:eastAsia="Arial" w:hAnsi="Arial" w:cs="Arial"/>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929</Words>
  <Characters>5299</Characters>
  <Application>Microsoft Office Word</Application>
  <DocSecurity>0</DocSecurity>
  <Lines>44</Lines>
  <Paragraphs>12</Paragraphs>
  <ScaleCrop>false</ScaleCrop>
  <Company/>
  <LinksUpToDate>false</LinksUpToDate>
  <CharactersWithSpaces>6216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16509</dc:creator>
  <cp:lastModifiedBy>meghna agrawal</cp:lastModifiedBy>
  <cp:revision>2</cp:revision>
  <dcterms:created xsi:type="dcterms:W3CDTF">2023-09-02T15:04:00Z</dcterms:created>
  <dcterms:modified xsi:type="dcterms:W3CDTF">2023-09-02T15:04:00Z</dcterms:modified>
</cp:coreProperties>
</file>