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tabs>
          <w:tab w:val="right" w:leader="none" w:pos="9356"/>
          <w:tab w:val="right" w:leader="none" w:pos="9781"/>
        </w:tabs>
        <w:ind w:right="-58"/>
        <w:jc w:val="both"/>
        <w:rPr>
          <w:rFonts w:ascii="Arial" w:cs="Arial" w:eastAsia="Arial" w:hAnsi="Arial"/>
          <w:b w:val="1"/>
          <w:color w:val="000000"/>
        </w:rPr>
      </w:pPr>
      <w:r w:rsidDel="00000000" w:rsidR="00000000" w:rsidRPr="00000000">
        <w:rPr>
          <w:rFonts w:ascii="Arial" w:cs="Arial" w:eastAsia="Arial" w:hAnsi="Arial"/>
          <w:b w:val="1"/>
          <w:color w:val="000000"/>
          <w:rtl w:val="0"/>
        </w:rPr>
        <w:t xml:space="preserve">3GPP TSG RAN Meeting #10</w:t>
      </w:r>
      <w:r w:rsidDel="00000000" w:rsidR="00000000" w:rsidRPr="00000000">
        <w:rPr>
          <w:rFonts w:ascii="Arial" w:cs="Arial" w:eastAsia="Arial" w:hAnsi="Arial"/>
          <w:b w:val="1"/>
          <w:rtl w:val="0"/>
        </w:rPr>
        <w:t xml:space="preserve">1</w:t>
      </w:r>
      <w:r w:rsidDel="00000000" w:rsidR="00000000" w:rsidRPr="00000000">
        <w:rPr>
          <w:rFonts w:ascii="Arial" w:cs="Arial" w:eastAsia="Arial" w:hAnsi="Arial"/>
          <w:b w:val="1"/>
          <w:color w:val="000000"/>
          <w:rtl w:val="0"/>
        </w:rPr>
        <w:tab/>
        <w:t xml:space="preserve">RP-231</w:t>
      </w:r>
      <w:r w:rsidDel="00000000" w:rsidR="00000000" w:rsidRPr="00000000">
        <w:rPr>
          <w:rFonts w:ascii="Arial" w:cs="Arial" w:eastAsia="Arial" w:hAnsi="Arial"/>
          <w:b w:val="1"/>
          <w:rtl w:val="0"/>
        </w:rPr>
        <w:t xml:space="preserve">978</w:t>
      </w:r>
      <w:r w:rsidDel="00000000" w:rsidR="00000000" w:rsidRPr="00000000">
        <w:rPr>
          <w:rtl w:val="0"/>
        </w:rPr>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tabs>
          <w:tab w:val="center" w:leader="none" w:pos="4536"/>
          <w:tab w:val="right" w:leader="none" w:pos="8280"/>
          <w:tab w:val="right" w:leader="none" w:pos="9781"/>
        </w:tabs>
        <w:ind w:right="-58"/>
        <w:jc w:val="both"/>
        <w:rPr>
          <w:rFonts w:ascii="Arial" w:cs="Arial" w:eastAsia="Arial" w:hAnsi="Arial"/>
          <w:b w:val="1"/>
        </w:rPr>
      </w:pPr>
      <w:r w:rsidDel="00000000" w:rsidR="00000000" w:rsidRPr="00000000">
        <w:rPr>
          <w:rFonts w:ascii="Arial" w:cs="Arial" w:eastAsia="Arial" w:hAnsi="Arial"/>
          <w:b w:val="1"/>
          <w:rtl w:val="0"/>
        </w:rPr>
        <w:t xml:space="preserve">Bangalore</w:t>
      </w:r>
      <w:r w:rsidDel="00000000" w:rsidR="00000000" w:rsidRPr="00000000">
        <w:rPr>
          <w:rFonts w:ascii="Arial" w:cs="Arial" w:eastAsia="Arial" w:hAnsi="Arial"/>
          <w:b w:val="1"/>
          <w:color w:val="000000"/>
          <w:rtl w:val="0"/>
        </w:rPr>
        <w:t xml:space="preserve">, </w:t>
      </w:r>
      <w:r w:rsidDel="00000000" w:rsidR="00000000" w:rsidRPr="00000000">
        <w:rPr>
          <w:rFonts w:ascii="Arial" w:cs="Arial" w:eastAsia="Arial" w:hAnsi="Arial"/>
          <w:b w:val="1"/>
          <w:rtl w:val="0"/>
        </w:rPr>
        <w:t xml:space="preserve">Sep.</w:t>
      </w:r>
      <w:r w:rsidDel="00000000" w:rsidR="00000000" w:rsidRPr="00000000">
        <w:rPr>
          <w:rFonts w:ascii="Arial" w:cs="Arial" w:eastAsia="Arial" w:hAnsi="Arial"/>
          <w:b w:val="1"/>
          <w:color w:val="000000"/>
          <w:rtl w:val="0"/>
        </w:rPr>
        <w:t xml:space="preserve"> 1</w:t>
      </w:r>
      <w:r w:rsidDel="00000000" w:rsidR="00000000" w:rsidRPr="00000000">
        <w:rPr>
          <w:rFonts w:ascii="Arial" w:cs="Arial" w:eastAsia="Arial" w:hAnsi="Arial"/>
          <w:b w:val="1"/>
          <w:rtl w:val="0"/>
        </w:rPr>
        <w:t xml:space="preserve">1</w:t>
      </w:r>
      <w:r w:rsidDel="00000000" w:rsidR="00000000" w:rsidRPr="00000000">
        <w:rPr>
          <w:rFonts w:ascii="Arial" w:cs="Arial" w:eastAsia="Arial" w:hAnsi="Arial"/>
          <w:b w:val="1"/>
          <w:color w:val="000000"/>
          <w:vertAlign w:val="superscript"/>
          <w:rtl w:val="0"/>
        </w:rPr>
        <w:t xml:space="preserve">th</w:t>
      </w:r>
      <w:r w:rsidDel="00000000" w:rsidR="00000000" w:rsidRPr="00000000">
        <w:rPr>
          <w:rFonts w:ascii="Arial" w:cs="Arial" w:eastAsia="Arial" w:hAnsi="Arial"/>
          <w:b w:val="1"/>
          <w:color w:val="000000"/>
          <w:rtl w:val="0"/>
        </w:rPr>
        <w:t xml:space="preserve"> – 1</w:t>
      </w:r>
      <w:r w:rsidDel="00000000" w:rsidR="00000000" w:rsidRPr="00000000">
        <w:rPr>
          <w:rFonts w:ascii="Arial" w:cs="Arial" w:eastAsia="Arial" w:hAnsi="Arial"/>
          <w:b w:val="1"/>
          <w:rtl w:val="0"/>
        </w:rPr>
        <w:t xml:space="preserve">5</w:t>
      </w:r>
      <w:r w:rsidDel="00000000" w:rsidR="00000000" w:rsidRPr="00000000">
        <w:rPr>
          <w:rFonts w:ascii="Arial" w:cs="Arial" w:eastAsia="Arial" w:hAnsi="Arial"/>
          <w:b w:val="1"/>
          <w:color w:val="000000"/>
          <w:vertAlign w:val="superscript"/>
          <w:rtl w:val="0"/>
        </w:rPr>
        <w:t xml:space="preserve">th</w:t>
      </w:r>
      <w:r w:rsidDel="00000000" w:rsidR="00000000" w:rsidRPr="00000000">
        <w:rPr>
          <w:rFonts w:ascii="Arial" w:cs="Arial" w:eastAsia="Arial" w:hAnsi="Arial"/>
          <w:b w:val="1"/>
          <w:color w:val="000000"/>
          <w:rtl w:val="0"/>
        </w:rPr>
        <w:t xml:space="preserve">, 2023</w:t>
      </w:r>
      <w:r w:rsidDel="00000000" w:rsidR="00000000" w:rsidRPr="00000000">
        <w:rPr>
          <w:rtl w:val="0"/>
        </w:rPr>
      </w:r>
    </w:p>
    <w:p w:rsidR="00000000" w:rsidDel="00000000" w:rsidP="00000000" w:rsidRDefault="00000000" w:rsidRPr="00000000" w14:paraId="00000003">
      <w:pPr>
        <w:widowControl w:val="0"/>
        <w:pBdr>
          <w:top w:space="0" w:sz="0" w:val="nil"/>
          <w:left w:space="0" w:sz="0" w:val="nil"/>
          <w:bottom w:space="0" w:sz="0" w:val="nil"/>
          <w:right w:space="0" w:sz="0" w:val="nil"/>
          <w:between w:space="0" w:sz="0" w:val="nil"/>
        </w:pBdr>
        <w:tabs>
          <w:tab w:val="center" w:leader="none" w:pos="4536"/>
          <w:tab w:val="right" w:leader="none" w:pos="8280"/>
          <w:tab w:val="right" w:leader="none" w:pos="9781"/>
        </w:tabs>
        <w:ind w:right="-58"/>
        <w:jc w:val="both"/>
        <w:rPr>
          <w:rFonts w:ascii="Arial" w:cs="Arial" w:eastAsia="Arial" w:hAnsi="Arial"/>
          <w:b w:val="1"/>
        </w:rPr>
      </w:pPr>
      <w:r w:rsidDel="00000000" w:rsidR="00000000" w:rsidRPr="00000000">
        <w:rPr>
          <w:rtl w:val="0"/>
        </w:rPr>
      </w:r>
    </w:p>
    <w:p w:rsidR="00000000" w:rsidDel="00000000" w:rsidP="00000000" w:rsidRDefault="00000000" w:rsidRPr="00000000" w14:paraId="00000004">
      <w:pPr>
        <w:spacing w:line="276" w:lineRule="auto"/>
        <w:rPr>
          <w:b w:val="1"/>
        </w:rPr>
      </w:pPr>
      <w:r w:rsidDel="00000000" w:rsidR="00000000" w:rsidRPr="00000000">
        <w:rPr>
          <w:b w:val="1"/>
          <w:rtl w:val="0"/>
        </w:rPr>
        <w:t xml:space="preserve">Agenda item:    </w:t>
        <w:tab/>
        <w:t xml:space="preserve">9.3.2.9</w:t>
      </w:r>
    </w:p>
    <w:p w:rsidR="00000000" w:rsidDel="00000000" w:rsidP="00000000" w:rsidRDefault="00000000" w:rsidRPr="00000000" w14:paraId="00000005">
      <w:pPr>
        <w:spacing w:line="276" w:lineRule="auto"/>
        <w:rPr>
          <w:b w:val="1"/>
        </w:rPr>
      </w:pPr>
      <w:r w:rsidDel="00000000" w:rsidR="00000000" w:rsidRPr="00000000">
        <w:rPr>
          <w:b w:val="1"/>
          <w:rtl w:val="0"/>
        </w:rPr>
        <w:t xml:space="preserve">Source:              </w:t>
        <w:tab/>
        <w:t xml:space="preserve">Meta USA</w:t>
      </w:r>
    </w:p>
    <w:p w:rsidR="00000000" w:rsidDel="00000000" w:rsidP="00000000" w:rsidRDefault="00000000" w:rsidRPr="00000000" w14:paraId="00000006">
      <w:pPr>
        <w:spacing w:line="276" w:lineRule="auto"/>
        <w:rPr>
          <w:b w:val="1"/>
        </w:rPr>
      </w:pPr>
      <w:r w:rsidDel="00000000" w:rsidR="00000000" w:rsidRPr="00000000">
        <w:rPr>
          <w:b w:val="1"/>
          <w:rtl w:val="0"/>
        </w:rPr>
        <w:t xml:space="preserve">Title:                   </w:t>
        <w:tab/>
        <w:t xml:space="preserve">Views on support of 2RX for XR wearables due to form factor limitations</w:t>
      </w:r>
    </w:p>
    <w:p w:rsidR="00000000" w:rsidDel="00000000" w:rsidP="00000000" w:rsidRDefault="00000000" w:rsidRPr="00000000" w14:paraId="00000007">
      <w:pPr>
        <w:spacing w:line="276" w:lineRule="auto"/>
        <w:rPr>
          <w:b w:val="1"/>
        </w:rPr>
      </w:pPr>
      <w:r w:rsidDel="00000000" w:rsidR="00000000" w:rsidRPr="00000000">
        <w:rPr>
          <w:b w:val="1"/>
          <w:rtl w:val="0"/>
        </w:rPr>
        <w:t xml:space="preserve">Document for:  </w:t>
        <w:tab/>
        <w:t xml:space="preserve">Discussion and Decision</w:t>
      </w:r>
    </w:p>
    <w:p w:rsidR="00000000" w:rsidDel="00000000" w:rsidP="00000000" w:rsidRDefault="00000000" w:rsidRPr="00000000" w14:paraId="00000008">
      <w:pPr>
        <w:spacing w:line="276" w:lineRule="auto"/>
        <w:rPr>
          <w:b w:val="1"/>
        </w:rPr>
      </w:pPr>
      <w:r w:rsidDel="00000000" w:rsidR="00000000" w:rsidRPr="00000000">
        <w:rPr>
          <w:b w:val="1"/>
          <w:rtl w:val="0"/>
        </w:rPr>
        <w:t xml:space="preserve">___________________________________________________________________________________</w:t>
      </w:r>
    </w:p>
    <w:p w:rsidR="00000000" w:rsidDel="00000000" w:rsidP="00000000" w:rsidRDefault="00000000" w:rsidRPr="00000000" w14:paraId="00000009">
      <w:pPr>
        <w:rPr>
          <w:b w:val="1"/>
          <w:sz w:val="12"/>
          <w:szCs w:val="12"/>
        </w:rPr>
      </w:pPr>
      <w:r w:rsidDel="00000000" w:rsidR="00000000" w:rsidRPr="00000000">
        <w:rPr>
          <w:rtl w:val="0"/>
        </w:rPr>
      </w:r>
    </w:p>
    <w:p w:rsidR="00000000" w:rsidDel="00000000" w:rsidP="00000000" w:rsidRDefault="00000000" w:rsidRPr="00000000" w14:paraId="0000000A">
      <w:pPr>
        <w:pStyle w:val="Heading1"/>
        <w:numPr>
          <w:ilvl w:val="0"/>
          <w:numId w:val="6"/>
        </w:numPr>
        <w:spacing w:before="0" w:lineRule="auto"/>
        <w:ind w:left="720" w:hanging="360"/>
        <w:rPr>
          <w:sz w:val="36"/>
          <w:szCs w:val="36"/>
        </w:rPr>
      </w:pPr>
      <w:bookmarkStart w:colFirst="0" w:colLast="0" w:name="_gjdgxs" w:id="0"/>
      <w:bookmarkEnd w:id="0"/>
      <w:r w:rsidDel="00000000" w:rsidR="00000000" w:rsidRPr="00000000">
        <w:rPr>
          <w:sz w:val="36"/>
          <w:szCs w:val="36"/>
          <w:rtl w:val="0"/>
        </w:rPr>
        <w:t xml:space="preserve">Introduction</w:t>
      </w:r>
    </w:p>
    <w:p w:rsidR="00000000" w:rsidDel="00000000" w:rsidP="00000000" w:rsidRDefault="00000000" w:rsidRPr="00000000" w14:paraId="0000000B">
      <w:pPr>
        <w:rPr/>
      </w:pPr>
      <w:r w:rsidDel="00000000" w:rsidR="00000000" w:rsidRPr="00000000">
        <w:rPr>
          <w:rtl w:val="0"/>
        </w:rPr>
        <w:t xml:space="preserve">At RAN#97, it was proposed to support 2Rx for XR in contributions [1][2]. The need for the support of 2Rx for XR devices were further elaborated in [3][4][5]. RAN#99 endorsed the way-forward on 2Rx XR devices [6] with the Step 1 to 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ecognize that form factor limitations of a subset of XR devices can make it impossible for these devices to support 4 antenna ports. </w:t>
      </w:r>
      <w:r w:rsidDel="00000000" w:rsidR="00000000" w:rsidRPr="00000000">
        <w:rPr>
          <w:rtl w:val="0"/>
        </w:rPr>
        <w:t xml:space="preserve">At RAN#100, further proposals for Step 1 were discussed [7][8][9]. The following discussion summary on XR was endorsed [10]: Possible candidate options were discussed for characterization of non-RedCap XR devices to which 2-Rx relaxation could apply, including, but not necessarily limited to: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0C">
      <w:pPr>
        <w:numPr>
          <w:ilvl w:val="0"/>
          <w:numId w:val="1"/>
        </w:numPr>
        <w:ind w:left="720" w:hanging="360"/>
        <w:rPr/>
      </w:pPr>
      <w:r w:rsidDel="00000000" w:rsidR="00000000" w:rsidRPr="00000000">
        <w:rPr>
          <w:rtl w:val="0"/>
        </w:rPr>
        <w:t xml:space="preserve">Type of device:</w:t>
      </w:r>
    </w:p>
    <w:p w:rsidR="00000000" w:rsidDel="00000000" w:rsidP="00000000" w:rsidRDefault="00000000" w:rsidRPr="00000000" w14:paraId="0000000D">
      <w:pPr>
        <w:numPr>
          <w:ilvl w:val="1"/>
          <w:numId w:val="1"/>
        </w:numPr>
        <w:ind w:left="1440" w:hanging="360"/>
        <w:rPr/>
      </w:pPr>
      <w:r w:rsidDel="00000000" w:rsidR="00000000" w:rsidRPr="00000000">
        <w:rPr>
          <w:rtl w:val="0"/>
        </w:rPr>
        <w:t xml:space="preserve">(see TR26.928), e.g. [glasses, other XR wearables (further definition required)]</w:t>
      </w:r>
    </w:p>
    <w:p w:rsidR="00000000" w:rsidDel="00000000" w:rsidP="00000000" w:rsidRDefault="00000000" w:rsidRPr="00000000" w14:paraId="0000000E">
      <w:pPr>
        <w:numPr>
          <w:ilvl w:val="1"/>
          <w:numId w:val="1"/>
        </w:numPr>
        <w:ind w:left="1440" w:hanging="360"/>
        <w:rPr/>
      </w:pPr>
      <w:r w:rsidDel="00000000" w:rsidR="00000000" w:rsidRPr="00000000">
        <w:rPr>
          <w:rtl w:val="0"/>
        </w:rPr>
        <w:t xml:space="preserve">E.g. devices that are supported by ears and/or nose without straps over or behind head?</w:t>
      </w:r>
    </w:p>
    <w:p w:rsidR="00000000" w:rsidDel="00000000" w:rsidP="00000000" w:rsidRDefault="00000000" w:rsidRPr="00000000" w14:paraId="0000000F">
      <w:pPr>
        <w:numPr>
          <w:ilvl w:val="0"/>
          <w:numId w:val="1"/>
        </w:numPr>
        <w:ind w:left="720" w:hanging="360"/>
        <w:rPr/>
      </w:pPr>
      <w:r w:rsidDel="00000000" w:rsidR="00000000" w:rsidRPr="00000000">
        <w:rPr>
          <w:rtl w:val="0"/>
        </w:rPr>
        <w:t xml:space="preserve">Rx-chain-usable volumetric measure:</w:t>
      </w:r>
    </w:p>
    <w:p w:rsidR="00000000" w:rsidDel="00000000" w:rsidP="00000000" w:rsidRDefault="00000000" w:rsidRPr="00000000" w14:paraId="00000010">
      <w:pPr>
        <w:numPr>
          <w:ilvl w:val="1"/>
          <w:numId w:val="1"/>
        </w:numPr>
        <w:ind w:left="1440" w:hanging="360"/>
        <w:rPr/>
      </w:pPr>
      <w:r w:rsidDel="00000000" w:rsidR="00000000" w:rsidRPr="00000000">
        <w:rPr>
          <w:rtl w:val="0"/>
        </w:rPr>
        <w:t xml:space="preserve">E.g. smaller than a benchmark of approx. [derived from volume of a smartphone?]</w:t>
      </w:r>
    </w:p>
    <w:p w:rsidR="00000000" w:rsidDel="00000000" w:rsidP="00000000" w:rsidRDefault="00000000" w:rsidRPr="00000000" w14:paraId="00000011">
      <w:pPr>
        <w:numPr>
          <w:ilvl w:val="2"/>
          <w:numId w:val="1"/>
        </w:numPr>
        <w:ind w:left="1800" w:hanging="360"/>
        <w:rPr/>
      </w:pPr>
      <w:r w:rsidDel="00000000" w:rsidR="00000000" w:rsidRPr="00000000">
        <w:rPr>
          <w:rtl w:val="0"/>
        </w:rPr>
        <w:t xml:space="preserve">Consider how to take into account volume that is not available for Rx-chain use</w:t>
      </w:r>
    </w:p>
    <w:p w:rsidR="00000000" w:rsidDel="00000000" w:rsidP="00000000" w:rsidRDefault="00000000" w:rsidRPr="00000000" w14:paraId="00000012">
      <w:pPr>
        <w:numPr>
          <w:ilvl w:val="0"/>
          <w:numId w:val="3"/>
        </w:numPr>
        <w:spacing w:line="256.7994545454545" w:lineRule="auto"/>
        <w:ind w:left="720" w:hanging="360"/>
        <w:rPr/>
      </w:pPr>
      <w:r w:rsidDel="00000000" w:rsidR="00000000" w:rsidRPr="00000000">
        <w:rPr>
          <w:rtl w:val="0"/>
        </w:rPr>
        <w:t xml:space="preserve">Rx-chain-usable surface area measure:</w:t>
      </w:r>
    </w:p>
    <w:p w:rsidR="00000000" w:rsidDel="00000000" w:rsidP="00000000" w:rsidRDefault="00000000" w:rsidRPr="00000000" w14:paraId="00000013">
      <w:pPr>
        <w:numPr>
          <w:ilvl w:val="0"/>
          <w:numId w:val="4"/>
        </w:numPr>
        <w:ind w:left="1440" w:hanging="360"/>
        <w:rPr/>
      </w:pPr>
      <w:r w:rsidDel="00000000" w:rsidR="00000000" w:rsidRPr="00000000">
        <w:rPr>
          <w:rtl w:val="0"/>
        </w:rPr>
        <w:t xml:space="preserve">E.g. smaller than a benchmark of approx. [derived from surface of a smartphone?]</w:t>
      </w:r>
    </w:p>
    <w:p w:rsidR="00000000" w:rsidDel="00000000" w:rsidP="00000000" w:rsidRDefault="00000000" w:rsidRPr="00000000" w14:paraId="00000014">
      <w:pPr>
        <w:numPr>
          <w:ilvl w:val="1"/>
          <w:numId w:val="4"/>
        </w:numPr>
        <w:ind w:left="1800" w:hanging="360"/>
        <w:rPr/>
      </w:pPr>
      <w:r w:rsidDel="00000000" w:rsidR="00000000" w:rsidRPr="00000000">
        <w:rPr>
          <w:rtl w:val="0"/>
        </w:rPr>
        <w:t xml:space="preserve">Consider how to take into account surface area that is not available for Rx-chain use</w:t>
      </w:r>
      <w:r w:rsidDel="00000000" w:rsidR="00000000" w:rsidRPr="00000000">
        <w:rPr>
          <w:rtl w:val="0"/>
        </w:rPr>
      </w:r>
    </w:p>
    <w:p w:rsidR="00000000" w:rsidDel="00000000" w:rsidP="00000000" w:rsidRDefault="00000000" w:rsidRPr="00000000" w14:paraId="00000015">
      <w:pPr>
        <w:rPr/>
      </w:pPr>
      <w:r w:rsidDel="00000000" w:rsidR="00000000" w:rsidRPr="00000000">
        <w:rPr>
          <w:rtl w:val="0"/>
        </w:rPr>
        <w:t xml:space="preserve">In this contribution, we further provide our views on this topic and elaborate the metrics for characterizing form factor limitations of XR devices.</w:t>
      </w:r>
    </w:p>
    <w:p w:rsidR="00000000" w:rsidDel="00000000" w:rsidP="00000000" w:rsidRDefault="00000000" w:rsidRPr="00000000" w14:paraId="00000016">
      <w:pPr>
        <w:pStyle w:val="Heading1"/>
        <w:numPr>
          <w:ilvl w:val="0"/>
          <w:numId w:val="2"/>
        </w:numPr>
        <w:spacing w:after="0" w:lineRule="auto"/>
        <w:ind w:left="720" w:hanging="360"/>
        <w:rPr>
          <w:sz w:val="36"/>
          <w:szCs w:val="36"/>
        </w:rPr>
      </w:pPr>
      <w:bookmarkStart w:colFirst="0" w:colLast="0" w:name="_30j0zll" w:id="1"/>
      <w:bookmarkEnd w:id="1"/>
      <w:r w:rsidDel="00000000" w:rsidR="00000000" w:rsidRPr="00000000">
        <w:rPr>
          <w:sz w:val="36"/>
          <w:szCs w:val="36"/>
          <w:rtl w:val="0"/>
        </w:rPr>
        <w:t xml:space="preserve">Discussion</w:t>
      </w:r>
    </w:p>
    <w:p w:rsidR="00000000" w:rsidDel="00000000" w:rsidP="00000000" w:rsidRDefault="00000000" w:rsidRPr="00000000" w14:paraId="00000017">
      <w:pPr>
        <w:rPr/>
      </w:pPr>
      <w:r w:rsidDel="00000000" w:rsidR="00000000" w:rsidRPr="00000000">
        <w:rPr>
          <w:rtl w:val="0"/>
        </w:rPr>
        <w:t xml:space="preserve">A variety of XR devices and form-factors were elaborated in [11]. In order to characterize the form factor limitations of various possible XR devices for 5G antennas, it is important to identify the key components needed for XR devices to provide immersive experiences.</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keepNext w:val="1"/>
        <w:jc w:val="center"/>
        <w:rPr/>
      </w:pPr>
      <w:r w:rsidDel="00000000" w:rsidR="00000000" w:rsidRPr="00000000">
        <w:rPr/>
        <w:drawing>
          <wp:inline distB="114300" distT="114300" distL="114300" distR="114300">
            <wp:extent cx="3290888" cy="1877196"/>
            <wp:effectExtent b="0" l="0" r="0" t="0"/>
            <wp:docPr id="2"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3290888" cy="1877196"/>
                    </a:xfrm>
                    <a:prstGeom prst="rect"/>
                    <a:ln/>
                  </pic:spPr>
                </pic:pic>
              </a:graphicData>
            </a:graphic>
          </wp:inline>
        </w:drawing>
      </w: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center"/>
        <w:rPr>
          <w:rFonts w:ascii="Times New Roman" w:cs="Times New Roman" w:eastAsia="Times New Roman" w:hAnsi="Times New Roman"/>
          <w:b w:val="0"/>
          <w:i w:val="1"/>
          <w:smallCaps w:val="0"/>
          <w:strike w:val="0"/>
          <w:color w:val="1f497d"/>
          <w:sz w:val="18"/>
          <w:szCs w:val="1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1f497d"/>
          <w:sz w:val="18"/>
          <w:szCs w:val="18"/>
          <w:u w:val="none"/>
          <w:shd w:fill="auto" w:val="clear"/>
          <w:vertAlign w:val="baseline"/>
          <w:rtl w:val="0"/>
        </w:rPr>
        <w:t xml:space="preserve">Figure 1 Figure 4.8-1 from TR 26.928 on XR Form Factors</w:t>
      </w:r>
    </w:p>
    <w:p w:rsidR="00000000" w:rsidDel="00000000" w:rsidP="00000000" w:rsidRDefault="00000000" w:rsidRPr="00000000" w14:paraId="0000001B">
      <w:pPr>
        <w:rPr/>
      </w:pPr>
      <w:r w:rsidDel="00000000" w:rsidR="00000000" w:rsidRPr="00000000">
        <w:rPr>
          <w:rtl w:val="0"/>
        </w:rPr>
        <w:t xml:space="preserve">In our previous contribution [7], the key components of XR device and XR immersive experiences were illustrated in Figure 2 with an example of AR glasses (Project Aria [12][13]), which include various cameras (Eye tracking, SLAM, hand-tracking, AI &amp; semantic), IMUs (Inertial measurement unit that measures and reports acceleration, orientation, angular rates, etc.), microphones, battery, wireless connectivity (WiFi, BT, GNSS), and processing units for both compute and connectivity. Furthermore, to support immersive XR experiences, the display can be needed which requires further hardware and SW processing to enable. Noting that Project Aria is a research device, there can be further design constraints that limit the remaining usable volume for 5G NR antennas to make AR glasses commercially compelling and socially acceptable.</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keepNext w:val="1"/>
        <w:jc w:val="center"/>
        <w:rPr/>
      </w:pPr>
      <w:r w:rsidDel="00000000" w:rsidR="00000000" w:rsidRPr="00000000">
        <w:rPr/>
        <w:drawing>
          <wp:inline distB="0" distT="0" distL="0" distR="0">
            <wp:extent cx="5357002" cy="2895987"/>
            <wp:effectExtent b="0" l="0" r="0" t="0"/>
            <wp:docPr id="1" name="image2.png"/>
            <a:graphic>
              <a:graphicData uri="http://schemas.openxmlformats.org/drawingml/2006/picture">
                <pic:pic>
                  <pic:nvPicPr>
                    <pic:cNvPr id="0" name="image2.png"/>
                    <pic:cNvPicPr preferRelativeResize="0"/>
                  </pic:nvPicPr>
                  <pic:blipFill>
                    <a:blip r:embed="rId7"/>
                    <a:srcRect b="0" l="0" r="0" t="0"/>
                    <a:stretch>
                      <a:fillRect/>
                    </a:stretch>
                  </pic:blipFill>
                  <pic:spPr>
                    <a:xfrm>
                      <a:off x="0" y="0"/>
                      <a:ext cx="5357002" cy="2895987"/>
                    </a:xfrm>
                    <a:prstGeom prst="rect"/>
                    <a:ln/>
                  </pic:spPr>
                </pic:pic>
              </a:graphicData>
            </a:graphic>
          </wp:inline>
        </w:drawing>
      </w:r>
      <w:r w:rsidDel="00000000" w:rsidR="00000000" w:rsidRPr="00000000">
        <w:rPr>
          <w:rtl w:val="0"/>
        </w:rPr>
      </w:r>
    </w:p>
    <w:p w:rsidR="00000000" w:rsidDel="00000000" w:rsidP="00000000" w:rsidRDefault="00000000" w:rsidRPr="00000000" w14:paraId="0000001E">
      <w:pPr>
        <w:spacing w:after="200" w:lineRule="auto"/>
        <w:jc w:val="center"/>
        <w:rPr/>
      </w:pPr>
      <w:r w:rsidDel="00000000" w:rsidR="00000000" w:rsidRPr="00000000">
        <w:rPr>
          <w:i w:val="1"/>
          <w:color w:val="1f497d"/>
          <w:sz w:val="18"/>
          <w:szCs w:val="18"/>
          <w:rtl w:val="0"/>
        </w:rPr>
        <w:t xml:space="preserve">Figure 2 Project Aria Research Device</w:t>
      </w:r>
      <w:r w:rsidDel="00000000" w:rsidR="00000000" w:rsidRPr="00000000">
        <w:rPr>
          <w:rtl w:val="0"/>
        </w:rPr>
      </w:r>
    </w:p>
    <w:p w:rsidR="00000000" w:rsidDel="00000000" w:rsidP="00000000" w:rsidRDefault="00000000" w:rsidRPr="00000000" w14:paraId="0000001F">
      <w:pPr>
        <w:rPr/>
      </w:pPr>
      <w:r w:rsidDel="00000000" w:rsidR="00000000" w:rsidRPr="00000000">
        <w:rPr>
          <w:rtl w:val="0"/>
        </w:rPr>
        <w:t xml:space="preserve">As for 5G antenna placement, it was elaborated in [4] that there are only limited suitable places due to various degradation and challenges such as body loss, cable loss or mechanical issues of routing the cable through the hinge of the glasses. It is worth mentioning that the form factor constraints can be applicable to different types of XR devices shown in Figure 1 considering the dimension of the XR devices are mainly driven by the components for immersive XR experiences with similar constraints on supporting cellular antennas. Therefore, we have the following observation and proposal:</w:t>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b w:val="1"/>
        </w:rPr>
      </w:pPr>
      <w:r w:rsidDel="00000000" w:rsidR="00000000" w:rsidRPr="00000000">
        <w:rPr>
          <w:b w:val="1"/>
          <w:rtl w:val="0"/>
        </w:rPr>
        <w:t xml:space="preserve">Observation 1: The remaining usable volume in XR devices for 5G antennas are very limited and it is impossible to support more than 2Rx antennas.</w:t>
      </w:r>
    </w:p>
    <w:p w:rsidR="00000000" w:rsidDel="00000000" w:rsidP="00000000" w:rsidRDefault="00000000" w:rsidRPr="00000000" w14:paraId="00000022">
      <w:pPr>
        <w:rPr>
          <w:b w:val="1"/>
        </w:rPr>
      </w:pPr>
      <w:r w:rsidDel="00000000" w:rsidR="00000000" w:rsidRPr="00000000">
        <w:rPr>
          <w:rtl w:val="0"/>
        </w:rPr>
      </w:r>
    </w:p>
    <w:p w:rsidR="00000000" w:rsidDel="00000000" w:rsidP="00000000" w:rsidRDefault="00000000" w:rsidRPr="00000000" w14:paraId="00000023">
      <w:pPr>
        <w:rPr>
          <w:b w:val="1"/>
        </w:rPr>
      </w:pPr>
      <w:r w:rsidDel="00000000" w:rsidR="00000000" w:rsidRPr="00000000">
        <w:rPr>
          <w:b w:val="1"/>
          <w:rtl w:val="0"/>
        </w:rPr>
        <w:t xml:space="preserve">Proposal 1: The 2Rx relaxation shall be applied to XR wearable devices with form factor limitations for the NR bands where 4Rx is currently mandatory.</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t xml:space="preserve">A properly designed antenna needs surface areas for efficient radiation. However, an antenna is a 3-dimensional structure with the minimum length being </w:t>
      </w:r>
      <w:r w:rsidDel="00000000" w:rsidR="00000000" w:rsidRPr="00000000">
        <w:rPr>
          <w:highlight w:val="white"/>
          <w:rtl w:val="0"/>
        </w:rPr>
        <w:t xml:space="preserve">λ/4 (λ is the wavelength of the band that the antenna is designed for). Moreover, defining the volume as the metric for 5G antenna limitation is agnostic to the variations of form factor designs which can have a broad design space considering various components involved for XR devices and tradeoff therein. Hence, we agree with the proposal in [8] that volume is a suitable metric for defining the form-factor limitation of placing and containing 5G cellular antennas and it should be band dependent. </w:t>
      </w:r>
      <w:r w:rsidDel="00000000" w:rsidR="00000000" w:rsidRPr="00000000">
        <w:rPr>
          <w:highlight w:val="white"/>
          <w:rtl w:val="0"/>
        </w:rPr>
        <w:t xml:space="preserve">Thus, we have the following proposal:</w:t>
      </w:r>
      <w:r w:rsidDel="00000000" w:rsidR="00000000" w:rsidRPr="00000000">
        <w:rPr>
          <w:rtl w:val="0"/>
        </w:rPr>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b w:val="1"/>
        </w:rPr>
      </w:pPr>
      <w:r w:rsidDel="00000000" w:rsidR="00000000" w:rsidRPr="00000000">
        <w:rPr>
          <w:b w:val="1"/>
          <w:rtl w:val="0"/>
        </w:rPr>
        <w:t xml:space="preserve">Proposal 2: Recognize the form factor limitations of XR devices that cannot support 4Rx antennas as “the usable volume of XR devices for 5G antenna placement” and quantify the volume that is frequency band dependent.</w:t>
      </w:r>
      <w:r w:rsidDel="00000000" w:rsidR="00000000" w:rsidRPr="00000000">
        <w:rPr>
          <w:rtl w:val="0"/>
        </w:rPr>
      </w:r>
    </w:p>
    <w:p w:rsidR="00000000" w:rsidDel="00000000" w:rsidP="00000000" w:rsidRDefault="00000000" w:rsidRPr="00000000" w14:paraId="00000028">
      <w:pPr>
        <w:pStyle w:val="Heading1"/>
        <w:numPr>
          <w:ilvl w:val="0"/>
          <w:numId w:val="2"/>
        </w:numPr>
        <w:ind w:left="720" w:hanging="360"/>
        <w:rPr>
          <w:sz w:val="36"/>
          <w:szCs w:val="36"/>
        </w:rPr>
      </w:pPr>
      <w:r w:rsidDel="00000000" w:rsidR="00000000" w:rsidRPr="00000000">
        <w:rPr>
          <w:sz w:val="36"/>
          <w:szCs w:val="36"/>
          <w:rtl w:val="0"/>
        </w:rPr>
        <w:t xml:space="preserve">Conclusion</w:t>
      </w:r>
    </w:p>
    <w:p w:rsidR="00000000" w:rsidDel="00000000" w:rsidP="00000000" w:rsidRDefault="00000000" w:rsidRPr="00000000" w14:paraId="00000029">
      <w:pPr>
        <w:rPr/>
      </w:pPr>
      <w:r w:rsidDel="00000000" w:rsidR="00000000" w:rsidRPr="00000000">
        <w:rPr>
          <w:rtl w:val="0"/>
        </w:rPr>
        <w:t xml:space="preserve">In this contribution, we provided our views on the form-factor limitations of XR devices and had the following observation and proposals:</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b w:val="1"/>
        </w:rPr>
      </w:pPr>
      <w:r w:rsidDel="00000000" w:rsidR="00000000" w:rsidRPr="00000000">
        <w:rPr>
          <w:b w:val="1"/>
          <w:rtl w:val="0"/>
        </w:rPr>
        <w:t xml:space="preserve">Observation 1: The remaining usable volume in XR devices for cellular antennas are very limited and it is impossible to support more than 2Rx antennas.</w:t>
      </w:r>
    </w:p>
    <w:p w:rsidR="00000000" w:rsidDel="00000000" w:rsidP="00000000" w:rsidRDefault="00000000" w:rsidRPr="00000000" w14:paraId="0000002C">
      <w:pPr>
        <w:rPr>
          <w:b w:val="1"/>
        </w:rPr>
      </w:pPr>
      <w:r w:rsidDel="00000000" w:rsidR="00000000" w:rsidRPr="00000000">
        <w:rPr>
          <w:rtl w:val="0"/>
        </w:rPr>
      </w:r>
    </w:p>
    <w:p w:rsidR="00000000" w:rsidDel="00000000" w:rsidP="00000000" w:rsidRDefault="00000000" w:rsidRPr="00000000" w14:paraId="0000002D">
      <w:pPr>
        <w:rPr>
          <w:b w:val="1"/>
        </w:rPr>
      </w:pPr>
      <w:r w:rsidDel="00000000" w:rsidR="00000000" w:rsidRPr="00000000">
        <w:rPr>
          <w:b w:val="1"/>
          <w:rtl w:val="0"/>
        </w:rPr>
        <w:t xml:space="preserve">Proposal 1: Due to form-factor limitations, 2Rx relaxation can be applied to XR wearable devices for the NR bands where 4Rx is currently mandatory.</w:t>
      </w:r>
    </w:p>
    <w:p w:rsidR="00000000" w:rsidDel="00000000" w:rsidP="00000000" w:rsidRDefault="00000000" w:rsidRPr="00000000" w14:paraId="0000002E">
      <w:pPr>
        <w:rPr>
          <w:b w:val="1"/>
        </w:rPr>
      </w:pPr>
      <w:r w:rsidDel="00000000" w:rsidR="00000000" w:rsidRPr="00000000">
        <w:rPr>
          <w:rtl w:val="0"/>
        </w:rPr>
      </w:r>
    </w:p>
    <w:p w:rsidR="00000000" w:rsidDel="00000000" w:rsidP="00000000" w:rsidRDefault="00000000" w:rsidRPr="00000000" w14:paraId="0000002F">
      <w:pPr>
        <w:rPr>
          <w:b w:val="1"/>
        </w:rPr>
      </w:pPr>
      <w:r w:rsidDel="00000000" w:rsidR="00000000" w:rsidRPr="00000000">
        <w:rPr>
          <w:b w:val="1"/>
          <w:rtl w:val="0"/>
        </w:rPr>
        <w:t xml:space="preserve">Proposal 2: Recognize the form factor limitations of XR devices that cannot support 4Rx antennas as “the usable volume of XR devices for 5G antenna placement” and quantify the volume that is frequency band dependent.</w:t>
      </w:r>
    </w:p>
    <w:p w:rsidR="00000000" w:rsidDel="00000000" w:rsidP="00000000" w:rsidRDefault="00000000" w:rsidRPr="00000000" w14:paraId="00000030">
      <w:pPr>
        <w:pStyle w:val="Heading1"/>
        <w:numPr>
          <w:ilvl w:val="0"/>
          <w:numId w:val="2"/>
        </w:numPr>
        <w:ind w:left="720" w:hanging="360"/>
        <w:rPr>
          <w:sz w:val="36"/>
          <w:szCs w:val="36"/>
        </w:rPr>
      </w:pPr>
      <w:r w:rsidDel="00000000" w:rsidR="00000000" w:rsidRPr="00000000">
        <w:rPr>
          <w:sz w:val="36"/>
          <w:szCs w:val="36"/>
          <w:rtl w:val="0"/>
        </w:rPr>
        <w:t xml:space="preserve">References</w:t>
      </w:r>
    </w:p>
    <w:p w:rsidR="00000000" w:rsidDel="00000000" w:rsidP="00000000" w:rsidRDefault="00000000" w:rsidRPr="00000000" w14:paraId="00000031">
      <w:pPr>
        <w:numPr>
          <w:ilvl w:val="0"/>
          <w:numId w:val="5"/>
        </w:numPr>
        <w:ind w:left="562" w:hanging="562"/>
        <w:rPr/>
      </w:pPr>
      <w:r w:rsidDel="00000000" w:rsidR="00000000" w:rsidRPr="00000000">
        <w:rPr>
          <w:rtl w:val="0"/>
        </w:rPr>
        <w:t xml:space="preserve">RP-222483, “Views on Rel-18 XR”, Apple, Samsung</w:t>
      </w:r>
    </w:p>
    <w:p w:rsidR="00000000" w:rsidDel="00000000" w:rsidP="00000000" w:rsidRDefault="00000000" w:rsidRPr="00000000" w14:paraId="00000032">
      <w:pPr>
        <w:numPr>
          <w:ilvl w:val="0"/>
          <w:numId w:val="5"/>
        </w:numPr>
        <w:ind w:left="562" w:hanging="562"/>
        <w:rPr/>
      </w:pPr>
      <w:r w:rsidDel="00000000" w:rsidR="00000000" w:rsidRPr="00000000">
        <w:rPr>
          <w:rtl w:val="0"/>
        </w:rPr>
        <w:t xml:space="preserve">RP-222064, “Views on support of XR with 2Rx”, Qualcomm</w:t>
      </w:r>
    </w:p>
    <w:p w:rsidR="00000000" w:rsidDel="00000000" w:rsidP="00000000" w:rsidRDefault="00000000" w:rsidRPr="00000000" w14:paraId="00000033">
      <w:pPr>
        <w:numPr>
          <w:ilvl w:val="0"/>
          <w:numId w:val="5"/>
        </w:numPr>
        <w:ind w:left="562" w:hanging="562"/>
        <w:rPr/>
      </w:pPr>
      <w:bookmarkStart w:colFirst="0" w:colLast="0" w:name="_3znysh7" w:id="2"/>
      <w:bookmarkEnd w:id="2"/>
      <w:r w:rsidDel="00000000" w:rsidR="00000000" w:rsidRPr="00000000">
        <w:rPr>
          <w:rtl w:val="0"/>
        </w:rPr>
        <w:t xml:space="preserve">RP-230612, “Way forward on the support of 2Rx for XR device”</w:t>
      </w:r>
    </w:p>
    <w:p w:rsidR="00000000" w:rsidDel="00000000" w:rsidP="00000000" w:rsidRDefault="00000000" w:rsidRPr="00000000" w14:paraId="0000003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567" w:right="0" w:hanging="567"/>
        <w:jc w:val="both"/>
        <w:rPr>
          <w:rFonts w:ascii="Times New Roman" w:cs="Times New Roman" w:eastAsia="Times New Roman" w:hAnsi="Times New Roman"/>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RP-230304, “Views on support of XR with 2Rx”, Qualcomm</w:t>
      </w:r>
    </w:p>
    <w:p w:rsidR="00000000" w:rsidDel="00000000" w:rsidP="00000000" w:rsidRDefault="00000000" w:rsidRPr="00000000" w14:paraId="00000035">
      <w:pPr>
        <w:numPr>
          <w:ilvl w:val="0"/>
          <w:numId w:val="5"/>
        </w:numPr>
        <w:ind w:left="562" w:hanging="562"/>
        <w:rPr/>
      </w:pPr>
      <w:r w:rsidDel="00000000" w:rsidR="00000000" w:rsidRPr="00000000">
        <w:rPr>
          <w:rtl w:val="0"/>
        </w:rPr>
        <w:t xml:space="preserve">RP-230270, “Views on Rel. 18 XR Enhancements for NR”, Meta</w:t>
      </w:r>
    </w:p>
    <w:p w:rsidR="00000000" w:rsidDel="00000000" w:rsidP="00000000" w:rsidRDefault="00000000" w:rsidRPr="00000000" w14:paraId="00000036">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567" w:right="0" w:hanging="567"/>
        <w:jc w:val="both"/>
        <w:rPr>
          <w:rFonts w:ascii="Times New Roman" w:cs="Times New Roman" w:eastAsia="Times New Roman" w:hAnsi="Times New Roman"/>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RP-230740, “Offline drafting on XR, Summary and Way Forward on XR Awareness and 2Rx”</w:t>
      </w:r>
      <w:r w:rsidDel="00000000" w:rsidR="00000000" w:rsidRPr="00000000">
        <w:rPr>
          <w:rtl w:val="0"/>
        </w:rPr>
      </w:r>
    </w:p>
    <w:p w:rsidR="00000000" w:rsidDel="00000000" w:rsidP="00000000" w:rsidRDefault="00000000" w:rsidRPr="00000000" w14:paraId="00000037">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567" w:right="0" w:hanging="567"/>
        <w:jc w:val="both"/>
        <w:rPr>
          <w:u w:val="none"/>
        </w:rPr>
      </w:pPr>
      <w:r w:rsidDel="00000000" w:rsidR="00000000" w:rsidRPr="00000000">
        <w:rPr>
          <w:rtl w:val="0"/>
        </w:rPr>
        <w:t xml:space="preserve">RP-231174, “Views on support of XR with 2Rx due to form factor limitations”, Meta </w:t>
      </w:r>
    </w:p>
    <w:p w:rsidR="00000000" w:rsidDel="00000000" w:rsidP="00000000" w:rsidRDefault="00000000" w:rsidRPr="00000000" w14:paraId="00000038">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567" w:right="0" w:hanging="567"/>
        <w:jc w:val="both"/>
        <w:rPr>
          <w:u w:val="none"/>
        </w:rPr>
      </w:pPr>
      <w:r w:rsidDel="00000000" w:rsidR="00000000" w:rsidRPr="00000000">
        <w:rPr>
          <w:rtl w:val="0"/>
        </w:rPr>
        <w:t xml:space="preserve">RP-231054, “Views on support of XR with 2Rx and form factor limitation”, Qualcomm</w:t>
      </w:r>
    </w:p>
    <w:p w:rsidR="00000000" w:rsidDel="00000000" w:rsidP="00000000" w:rsidRDefault="00000000" w:rsidRPr="00000000" w14:paraId="00000039">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567" w:right="0" w:hanging="567"/>
        <w:jc w:val="both"/>
        <w:rPr>
          <w:u w:val="none"/>
        </w:rPr>
      </w:pPr>
      <w:r w:rsidDel="00000000" w:rsidR="00000000" w:rsidRPr="00000000">
        <w:rPr>
          <w:rtl w:val="0"/>
        </w:rPr>
        <w:t xml:space="preserve">RP-231300, “On 2Rx relaxation for XR”, Apple Inc.</w:t>
      </w:r>
    </w:p>
    <w:p w:rsidR="00000000" w:rsidDel="00000000" w:rsidP="00000000" w:rsidRDefault="00000000" w:rsidRPr="00000000" w14:paraId="0000003A">
      <w:pPr>
        <w:numPr>
          <w:ilvl w:val="0"/>
          <w:numId w:val="5"/>
        </w:numPr>
        <w:spacing w:line="276" w:lineRule="auto"/>
        <w:ind w:left="567"/>
        <w:jc w:val="both"/>
      </w:pPr>
      <w:r w:rsidDel="00000000" w:rsidR="00000000" w:rsidRPr="00000000">
        <w:rPr>
          <w:rtl w:val="0"/>
        </w:rPr>
        <w:t xml:space="preserve">RP-231483, “Endorsed Summary of Offline Discussion on XR”, RAN#100</w:t>
      </w:r>
      <w:r w:rsidDel="00000000" w:rsidR="00000000" w:rsidRPr="00000000">
        <w:rPr>
          <w:rtl w:val="0"/>
        </w:rPr>
      </w:r>
    </w:p>
    <w:p w:rsidR="00000000" w:rsidDel="00000000" w:rsidP="00000000" w:rsidRDefault="00000000" w:rsidRPr="00000000" w14:paraId="0000003B">
      <w:pPr>
        <w:numPr>
          <w:ilvl w:val="0"/>
          <w:numId w:val="5"/>
        </w:numPr>
        <w:ind w:left="562" w:hanging="562"/>
        <w:rPr/>
      </w:pPr>
      <w:r w:rsidDel="00000000" w:rsidR="00000000" w:rsidRPr="00000000">
        <w:rPr>
          <w:rtl w:val="0"/>
        </w:rPr>
        <w:t xml:space="preserve">TR 26.928 Extend Reality (XR) in 5G</w:t>
      </w:r>
    </w:p>
    <w:p w:rsidR="00000000" w:rsidDel="00000000" w:rsidP="00000000" w:rsidRDefault="00000000" w:rsidRPr="00000000" w14:paraId="0000003C">
      <w:pPr>
        <w:numPr>
          <w:ilvl w:val="0"/>
          <w:numId w:val="5"/>
        </w:numPr>
        <w:ind w:left="562" w:hanging="562"/>
        <w:rPr/>
      </w:pPr>
      <w:r w:rsidDel="00000000" w:rsidR="00000000" w:rsidRPr="00000000">
        <w:rPr>
          <w:rtl w:val="0"/>
        </w:rPr>
        <w:t xml:space="preserve">Project Aria: </w:t>
      </w:r>
      <w:hyperlink r:id="rId8">
        <w:r w:rsidDel="00000000" w:rsidR="00000000" w:rsidRPr="00000000">
          <w:rPr>
            <w:color w:val="0000ff"/>
            <w:u w:val="single"/>
            <w:rtl w:val="0"/>
          </w:rPr>
          <w:t xml:space="preserve">https://about.meta.com/realitylabs/projectaria/</w:t>
        </w:r>
      </w:hyperlink>
      <w:r w:rsidDel="00000000" w:rsidR="00000000" w:rsidRPr="00000000">
        <w:rPr>
          <w:rtl w:val="0"/>
        </w:rPr>
        <w:t xml:space="preserve"> </w:t>
      </w:r>
    </w:p>
    <w:p w:rsidR="00000000" w:rsidDel="00000000" w:rsidP="00000000" w:rsidRDefault="00000000" w:rsidRPr="00000000" w14:paraId="0000003D">
      <w:pPr>
        <w:numPr>
          <w:ilvl w:val="0"/>
          <w:numId w:val="5"/>
        </w:numPr>
        <w:ind w:left="562" w:hanging="562"/>
        <w:rPr/>
      </w:pPr>
      <w:r w:rsidDel="00000000" w:rsidR="00000000" w:rsidRPr="00000000">
        <w:rPr>
          <w:rtl w:val="0"/>
        </w:rPr>
        <w:t xml:space="preserve">CVPR 2022 Tutorial: Towards always-on egocentric vision research using Meta’s Aria glasses, June 19, 2022.</w:t>
      </w:r>
    </w:p>
    <w:p w:rsidR="00000000" w:rsidDel="00000000" w:rsidP="00000000" w:rsidRDefault="00000000" w:rsidRPr="00000000" w14:paraId="0000003E">
      <w:pPr>
        <w:numPr>
          <w:ilvl w:val="0"/>
          <w:numId w:val="5"/>
        </w:numPr>
        <w:ind w:left="567" w:hanging="567"/>
        <w:rPr/>
      </w:pPr>
      <w:r w:rsidDel="00000000" w:rsidR="00000000" w:rsidRPr="00000000">
        <w:rPr>
          <w:rtl w:val="0"/>
        </w:rPr>
        <w:t xml:space="preserve">TR 38.838, Study on XR (Extended Reality) evaluations for NR, 3GPP</w:t>
      </w:r>
    </w:p>
    <w:p w:rsidR="00000000" w:rsidDel="00000000" w:rsidP="00000000" w:rsidRDefault="00000000" w:rsidRPr="00000000" w14:paraId="0000003F">
      <w:pPr>
        <w:spacing w:after="60" w:lineRule="auto"/>
        <w:rPr>
          <w:rFonts w:ascii="Arial" w:cs="Arial" w:eastAsia="Arial" w:hAnsi="Arial"/>
          <w:b w:val="1"/>
          <w:color w:val="000000"/>
          <w:sz w:val="20"/>
          <w:szCs w:val="20"/>
        </w:rPr>
      </w:pPr>
      <w:r w:rsidDel="00000000" w:rsidR="00000000" w:rsidRPr="00000000">
        <w:rPr>
          <w:rtl w:val="0"/>
        </w:rPr>
      </w:r>
    </w:p>
    <w:sectPr>
      <w:pgSz w:h="15840" w:w="12240" w:orient="portrait"/>
      <w:pgMar w:bottom="1080" w:top="1080" w:left="1080" w:right="108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Courier New"/>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2"/>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3">
    <w:lvl w:ilvl="0">
      <w:start w:val="1"/>
      <w:numFmt w:val="bullet"/>
      <w:lvlText w:val="-"/>
      <w:lvlJc w:val="left"/>
      <w:pPr>
        <w:ind w:left="720" w:hanging="360"/>
      </w:pPr>
      <w:rPr>
        <w:rFonts w:ascii="Times New Roman" w:cs="Times New Roman" w:eastAsia="Times New Roman" w:hAnsi="Times New Roman"/>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lvl w:ilvl="0">
      <w:start w:val="1"/>
      <w:numFmt w:val="decimal"/>
      <w:lvlText w:val="[%1]"/>
      <w:lvlJc w:val="left"/>
      <w:pPr>
        <w:ind w:left="567" w:hanging="567"/>
      </w:pPr>
      <w:rPr>
        <w:b w:val="0"/>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6">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lineRule="auto"/>
    </w:pPr>
    <w:rPr>
      <w:sz w:val="52"/>
      <w:szCs w:val="52"/>
    </w:rPr>
  </w:style>
  <w:style w:type="paragraph" w:styleId="Subtitle">
    <w:name w:val="Subtitle"/>
    <w:basedOn w:val="Normal"/>
    <w:next w:val="Normal"/>
    <w:pPr>
      <w:keepNext w:val="1"/>
      <w:keepLines w:val="1"/>
      <w:spacing w:after="320" w:lineRule="auto"/>
    </w:pPr>
    <w:rPr>
      <w:rFonts w:ascii="Arial" w:cs="Arial" w:eastAsia="Arial" w:hAnsi="Arial"/>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image" Target="media/image2.png"/><Relationship Id="rId8" Type="http://schemas.openxmlformats.org/officeDocument/2006/relationships/hyperlink" Target="https://about.meta.com/realitylabs/projectaria/"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