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rPr>
          <w:rFonts w:ascii="Times New Roman" w:hAnsi="Times New Roman"/>
          <w:b/>
          <w:sz w:val="28"/>
          <w:szCs w:val="28"/>
        </w:rPr>
      </w:pPr>
      <w:bookmarkStart w:id="0" w:name="OLE_LINK10"/>
      <w:bookmarkStart w:id="1" w:name="OLE_LINK16"/>
      <w:bookmarkStart w:id="2" w:name="OLE_LINK17"/>
      <w:bookmarkStart w:id="3" w:name="OLE_LINK11"/>
      <w:r>
        <w:rPr>
          <w:rFonts w:ascii="Times New Roman" w:hAnsi="Times New Roman"/>
          <w:b/>
          <w:sz w:val="22"/>
          <w:lang w:val="en-US" w:eastAsia="en-US"/>
        </w:rPr>
        <w:t>3GPP TSG RAN Meeting #</w:t>
      </w:r>
      <w:r>
        <w:rPr>
          <w:rFonts w:ascii="Times New Roman" w:hAnsi="Times New Roman"/>
          <w:b/>
          <w:sz w:val="22"/>
          <w:lang w:val="en-US"/>
        </w:rPr>
        <w:t>101</w:t>
      </w:r>
      <w:r>
        <w:rPr>
          <w:rFonts w:ascii="Times New Roman" w:hAnsi="Times New Roman"/>
          <w:b/>
          <w:sz w:val="22"/>
          <w:lang w:val="en-US" w:eastAsia="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hint="eastAsia" w:ascii="Times New Roman" w:hAnsi="Times New Roman"/>
          <w:b/>
          <w:sz w:val="22"/>
          <w:lang w:val="en-US" w:eastAsia="en-US"/>
        </w:rPr>
        <w:t>RP-231775</w:t>
      </w:r>
      <w:r>
        <w:rPr>
          <w:rFonts w:ascii="Times New Roman" w:hAnsi="Times New Roman"/>
          <w:b/>
          <w:sz w:val="22"/>
          <w:lang w:val="en-US" w:eastAsia="en-US"/>
        </w:rPr>
        <w:t xml:space="preserve"> </w:t>
      </w:r>
      <w:r>
        <w:rPr>
          <w:rFonts w:ascii="Times New Roman" w:hAnsi="Times New Roman"/>
          <w:b/>
          <w:sz w:val="22"/>
          <w:lang w:val="en-US" w:eastAsia="en-US"/>
        </w:rPr>
        <w:cr/>
      </w:r>
      <w:r>
        <w:rPr>
          <w:rFonts w:ascii="Times New Roman" w:hAnsi="Times New Roman"/>
          <w:b/>
          <w:sz w:val="22"/>
          <w:lang w:val="en-US" w:eastAsia="en-US"/>
        </w:rPr>
        <w:t>Bangalore, India, September 11-15, 2023</w:t>
      </w:r>
    </w:p>
    <w:p>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pPr>
        <w:tabs>
          <w:tab w:val="left" w:pos="1701"/>
          <w:tab w:val="right" w:pos="9639"/>
        </w:tabs>
        <w:spacing w:before="100" w:beforeAutospacing="1" w:after="100" w:afterAutospacing="1"/>
        <w:rPr>
          <w:rFonts w:ascii="Times New Roman" w:hAnsi="Times New Roman"/>
          <w:b/>
          <w:color w:val="000000"/>
          <w:sz w:val="24"/>
        </w:rPr>
      </w:pPr>
    </w:p>
    <w:p>
      <w:pPr>
        <w:pStyle w:val="257"/>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lang w:val="en-US"/>
        </w:rPr>
        <w:t>8A.2.5</w:t>
      </w:r>
    </w:p>
    <w:p>
      <w:pPr>
        <w:pStyle w:val="257"/>
        <w:rPr>
          <w:rFonts w:ascii="Times New Roman" w:hAnsi="Times New Roman"/>
          <w:sz w:val="22"/>
        </w:rPr>
      </w:pPr>
      <w:r>
        <w:rPr>
          <w:rFonts w:ascii="Times New Roman" w:hAnsi="Times New Roman"/>
          <w:sz w:val="22"/>
        </w:rPr>
        <w:t>Source:</w:t>
      </w:r>
      <w:r>
        <w:rPr>
          <w:rFonts w:ascii="Times New Roman" w:hAnsi="Times New Roman"/>
          <w:sz w:val="22"/>
        </w:rPr>
        <w:tab/>
      </w:r>
      <w:r>
        <w:rPr>
          <w:rFonts w:ascii="Times New Roman" w:hAnsi="Times New Roman"/>
          <w:sz w:val="22"/>
        </w:rPr>
        <w:t>OPPO</w:t>
      </w:r>
    </w:p>
    <w:p>
      <w:pPr>
        <w:pStyle w:val="257"/>
        <w:rPr>
          <w:rFonts w:ascii="Times New Roman" w:hAnsi="Times New Roman"/>
          <w:sz w:val="22"/>
        </w:rPr>
      </w:pPr>
      <w:r>
        <w:rPr>
          <w:rFonts w:ascii="Times New Roman" w:hAnsi="Times New Roman"/>
          <w:sz w:val="22"/>
        </w:rPr>
        <w:t>Title:</w:t>
      </w:r>
      <w:r>
        <w:rPr>
          <w:rFonts w:ascii="Times New Roman" w:hAnsi="Times New Roman"/>
          <w:sz w:val="22"/>
        </w:rPr>
        <w:tab/>
      </w:r>
      <w:r>
        <w:rPr>
          <w:rFonts w:hint="eastAsia" w:ascii="Times New Roman" w:hAnsi="Times New Roman"/>
          <w:sz w:val="22"/>
        </w:rPr>
        <w:t>Discussion on enhancement for network energy saving for Rel-19</w:t>
      </w:r>
      <w:r>
        <w:rPr>
          <w:rFonts w:ascii="Times New Roman" w:hAnsi="Times New Roman"/>
          <w:sz w:val="22"/>
        </w:rPr>
        <w:t xml:space="preserve">  </w:t>
      </w:r>
    </w:p>
    <w:p>
      <w:pPr>
        <w:pStyle w:val="257"/>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Decision</w:t>
      </w:r>
    </w:p>
    <w:p>
      <w:pPr>
        <w:rPr>
          <w:rFonts w:ascii="Times New Roman" w:hAnsi="Times New Roman"/>
        </w:rPr>
      </w:pPr>
    </w:p>
    <w:p>
      <w:pPr>
        <w:pStyle w:val="2"/>
        <w:rPr>
          <w:rFonts w:ascii="Times New Roman" w:hAnsi="Times New Roman"/>
        </w:rPr>
      </w:pPr>
      <w:bookmarkStart w:id="4" w:name="_Ref488331639"/>
      <w:r>
        <w:rPr>
          <w:rFonts w:ascii="Times New Roman" w:hAnsi="Times New Roman"/>
        </w:rPr>
        <w:t>Introduction</w:t>
      </w:r>
      <w:bookmarkEnd w:id="4"/>
      <w:bookmarkStart w:id="5" w:name="_Ref178064866"/>
    </w:p>
    <w:p>
      <w:pPr>
        <w:rPr>
          <w:rFonts w:ascii="Times New Roman" w:hAnsi="Times New Roman" w:eastAsiaTheme="minorEastAsia"/>
        </w:rPr>
      </w:pPr>
      <w:r>
        <w:rPr>
          <w:rFonts w:ascii="Times New Roman" w:hAnsi="Times New Roman" w:eastAsiaTheme="minorEastAsia"/>
        </w:rPr>
        <w:t xml:space="preserve">This paper will discuss </w:t>
      </w:r>
      <w:r>
        <w:rPr>
          <w:rFonts w:hint="eastAsia" w:ascii="Times New Roman" w:hAnsi="Times New Roman" w:eastAsiaTheme="minorEastAsia"/>
          <w:lang w:val="en-US" w:eastAsia="zh-CN"/>
        </w:rPr>
        <w:t>on</w:t>
      </w:r>
      <w:r>
        <w:rPr>
          <w:rFonts w:ascii="Times New Roman" w:hAnsi="Times New Roman" w:eastAsiaTheme="minorEastAsia"/>
          <w:lang w:val="en-US"/>
        </w:rPr>
        <w:t xml:space="preserve"> NES work </w:t>
      </w:r>
      <w:r>
        <w:rPr>
          <w:rFonts w:hint="eastAsia" w:ascii="Times New Roman" w:hAnsi="Times New Roman" w:eastAsiaTheme="minorEastAsia"/>
          <w:lang w:val="en-US" w:eastAsia="zh-CN"/>
        </w:rPr>
        <w:t xml:space="preserve">scope </w:t>
      </w:r>
      <w:r>
        <w:rPr>
          <w:rFonts w:ascii="Times New Roman" w:hAnsi="Times New Roman" w:eastAsiaTheme="minorEastAsia"/>
          <w:lang w:val="en-US"/>
        </w:rPr>
        <w:t>for release 19</w:t>
      </w:r>
      <w:r>
        <w:rPr>
          <w:rFonts w:ascii="Times New Roman" w:hAnsi="Times New Roman" w:eastAsiaTheme="minorEastAsia"/>
        </w:rPr>
        <w:t>.</w:t>
      </w:r>
    </w:p>
    <w:bookmarkEnd w:id="5"/>
    <w:p>
      <w:pPr>
        <w:pStyle w:val="2"/>
        <w:rPr>
          <w:rFonts w:ascii="Times New Roman" w:hAnsi="Times New Roman"/>
        </w:rPr>
      </w:pPr>
      <w:r>
        <w:rPr>
          <w:rFonts w:ascii="Times New Roman" w:hAnsi="Times New Roman"/>
        </w:rPr>
        <w:t>Discussion</w:t>
      </w:r>
    </w:p>
    <w:p>
      <w:pPr>
        <w:pStyle w:val="3"/>
        <w:rPr>
          <w:rFonts w:ascii="Times New Roman" w:hAnsi="Times New Roman"/>
          <w:lang w:val="en-US"/>
        </w:rPr>
      </w:pPr>
      <w:r>
        <w:rPr>
          <w:rFonts w:ascii="Times New Roman" w:hAnsi="Times New Roman"/>
          <w:lang w:val="en-US"/>
        </w:rPr>
        <w:t>R18 NES progress</w:t>
      </w:r>
    </w:p>
    <w:p>
      <w:pPr>
        <w:rPr>
          <w:rFonts w:ascii="Times New Roman" w:hAnsi="Times New Roman"/>
          <w:b/>
          <w:bCs/>
          <w:highlight w:val="none"/>
          <w:lang w:val="en-US"/>
        </w:rPr>
      </w:pPr>
      <w:r>
        <w:rPr>
          <w:rFonts w:ascii="Times New Roman" w:hAnsi="Times New Roman"/>
          <w:b/>
          <w:bCs/>
          <w:highlight w:val="none"/>
          <w:lang w:val="en-US"/>
        </w:rPr>
        <w:t xml:space="preserve">SSB-less for SCell </w:t>
      </w:r>
      <w:r>
        <w:rPr>
          <w:rFonts w:ascii="Times New Roman" w:hAnsi="Times New Roman"/>
          <w:b/>
          <w:bCs/>
          <w:highlight w:val="none"/>
        </w:rPr>
        <w:t>operation for inter-band CA for FR1 and co-located cells</w:t>
      </w:r>
      <w:r>
        <w:rPr>
          <w:rFonts w:ascii="Times New Roman" w:hAnsi="Times New Roman"/>
          <w:b/>
          <w:bCs/>
          <w:highlight w:val="none"/>
          <w:lang w:val="en-US"/>
        </w:rPr>
        <w:t xml:space="preserve"> </w:t>
      </w:r>
    </w:p>
    <w:p>
      <w:pPr>
        <w:rPr>
          <w:rFonts w:hint="default" w:ascii="Times New Roman" w:hAnsi="Times New Roman" w:eastAsia="宋体"/>
          <w:bCs/>
          <w:color w:val="auto"/>
          <w:highlight w:val="green"/>
          <w:lang w:val="en-US" w:eastAsia="zh-CN"/>
        </w:rPr>
      </w:pPr>
      <w:r>
        <w:rPr>
          <w:rFonts w:ascii="Times New Roman" w:hAnsi="Times New Roman"/>
          <w:lang w:val="en-US"/>
        </w:rPr>
        <w:t xml:space="preserve">RAN4 is still discussing whether to introduce scenario 2a (i.e., SCell without SSB transmission and without any other DL transmissions, but with UL reception at the NW side), and most companies prefer only consider scenario 1 for SSB-less SCell operation for FR1 inter-band collocated CA in R18. For the RTD conditions for scenario 1, RAN4 agreed to define requirements for RTD </w:t>
      </w:r>
      <w:r>
        <w:rPr>
          <w:rFonts w:hint="eastAsia" w:ascii="Times New Roman" w:hAnsi="Times New Roman"/>
          <w:lang w:val="en-US"/>
        </w:rPr>
        <w:t>≤ CP</w:t>
      </w:r>
      <w:r>
        <w:rPr>
          <w:rFonts w:ascii="Times New Roman" w:hAnsi="Times New Roman"/>
          <w:lang w:val="en-US"/>
        </w:rPr>
        <w:t>, while no conclusion is reached for RTD</w:t>
      </w:r>
      <w:r>
        <w:rPr>
          <w:rFonts w:hint="eastAsia" w:ascii="Times New Roman" w:hAnsi="Times New Roman"/>
          <w:lang w:val="en-US"/>
        </w:rPr>
        <w:t xml:space="preserve">≤ </w:t>
      </w:r>
      <w:r>
        <w:rPr>
          <w:rFonts w:ascii="Times New Roman" w:hAnsi="Times New Roman"/>
          <w:lang w:val="en-US"/>
        </w:rPr>
        <w:t xml:space="preserve">260ns. Performance requirements (RRM and/or demodulation) need to be introduced for the scenario with RTD </w:t>
      </w:r>
      <w:r>
        <w:rPr>
          <w:rFonts w:hint="eastAsia" w:ascii="Times New Roman" w:hAnsi="Times New Roman"/>
          <w:lang w:val="en-US"/>
        </w:rPr>
        <w:t>≤</w:t>
      </w:r>
      <w:r>
        <w:rPr>
          <w:rFonts w:ascii="Times New Roman" w:hAnsi="Times New Roman"/>
          <w:lang w:val="en-US"/>
        </w:rPr>
        <w:t xml:space="preserve"> CP to guarantee proper performance on the SCell. Others feasibility conditions like power difference, frequency separation and QCL/TCI indication are still under discussion. RAN4 will continue discussion on requirements of L1 measurement, L3 measurement for SSB-less Scell and definition of reference cell, etc.</w:t>
      </w:r>
      <w:r>
        <w:rPr>
          <w:rFonts w:hint="eastAsia" w:ascii="Times New Roman" w:hAnsi="Times New Roman"/>
          <w:lang w:val="en-US" w:eastAsia="zh-CN"/>
        </w:rPr>
        <w:t xml:space="preserve"> </w:t>
      </w:r>
      <w:r>
        <w:rPr>
          <w:rFonts w:hint="eastAsia" w:ascii="Times New Roman" w:hAnsi="Times New Roman"/>
          <w:color w:val="auto"/>
          <w:lang w:val="en-US" w:eastAsia="zh-CN"/>
        </w:rPr>
        <w:t>We suggest that if the scenario 2a cannot be supported in R18, RAN can further discuss this scenario in R19.</w:t>
      </w:r>
    </w:p>
    <w:p>
      <w:pPr>
        <w:rPr>
          <w:rFonts w:ascii="Times New Roman" w:hAnsi="Times New Roman"/>
          <w:b/>
          <w:bCs/>
          <w:lang w:val="en-US"/>
        </w:rPr>
      </w:pPr>
      <w:r>
        <w:rPr>
          <w:rFonts w:ascii="Times New Roman" w:hAnsi="Times New Roman"/>
          <w:b/>
          <w:bCs/>
          <w:lang w:val="en-US"/>
        </w:rPr>
        <w:t xml:space="preserve">DTX/DRX enhancement </w:t>
      </w:r>
    </w:p>
    <w:p>
      <w:pPr>
        <w:rPr>
          <w:rFonts w:ascii="Times New Roman" w:hAnsi="Times New Roman"/>
          <w:lang w:val="en-US"/>
        </w:rPr>
      </w:pPr>
      <w:r>
        <w:rPr>
          <w:rFonts w:ascii="Times New Roman" w:hAnsi="Times New Roman"/>
          <w:lang w:val="en-US"/>
        </w:rPr>
        <w:t xml:space="preserve">The R18 work on specifying the UE behaviour for cell level DTX/DRX has been completed at RAN1 level and the remaining signaling design is being finalized at RAN2 level. In R18 only part of the UE-specific channels/signals reception and transmission are enhanced in the cell level DTX/DRX; while the common channel/signal as well as the HARQ-ACK transmission are still under normal operation mode as if in non-NES system. This, to some extent, limits the efficiency for network energy saving by cell DTX/DRX. In this regard, further enhancement can be considered in R19 to further explore the benefits from the cell DTX/DRX mechanism. </w:t>
      </w:r>
    </w:p>
    <w:p>
      <w:pPr>
        <w:rPr>
          <w:rFonts w:ascii="Times New Roman" w:hAnsi="Times New Roman"/>
          <w:b/>
          <w:bCs/>
          <w:lang w:val="en-US"/>
        </w:rPr>
      </w:pPr>
      <w:r>
        <w:rPr>
          <w:rFonts w:ascii="Times New Roman" w:hAnsi="Times New Roman"/>
          <w:b/>
          <w:bCs/>
          <w:lang w:val="en-US"/>
        </w:rPr>
        <w:t xml:space="preserve">Spatial domain and power domain adaptation </w:t>
      </w:r>
    </w:p>
    <w:p>
      <w:pPr>
        <w:rPr>
          <w:rFonts w:ascii="Times New Roman" w:hAnsi="Times New Roman"/>
          <w:b/>
          <w:bCs/>
          <w:lang w:val="en-US"/>
        </w:rPr>
      </w:pPr>
      <w:r>
        <w:rPr>
          <w:rFonts w:ascii="Times New Roman" w:hAnsi="Times New Roman"/>
          <w:lang w:val="en-US"/>
        </w:rPr>
        <w:t>In R18 WI, the specification supports the UE reporting multi-CSI reports in a single report instance. These multi-CSI provides large range of channel measurement in different spatial configuration assumptions and power configuration assumptions. At this stage the main function of the spatial domain and power domain adaptation can be completed in R18. Potential enhancement as suggested during the study phase of the NES is to further work on the overhead reduction and to target more advanced UE who can support higher capability of CSI reporting. To our view, these enhancements may not be necessary for R19 due to the following reasons: R18 NES system already has a high degree of flexibility at gNB side to control the reporting overhead via AP-CSI triggering N CSI report out of L configured CSI reports; more advanced UE capability may add significant UE complexity burden and few UE with advanced capability would appear in the market which leads to marginal network power saving gain in practice. Thus, we think that we should not further pursue enhancement in R19.</w:t>
      </w:r>
    </w:p>
    <w:p>
      <w:pPr>
        <w:rPr>
          <w:rFonts w:ascii="Times New Roman" w:hAnsi="Times New Roman"/>
          <w:b/>
          <w:bCs/>
          <w:lang w:val="en-US"/>
        </w:rPr>
      </w:pPr>
      <w:r>
        <w:rPr>
          <w:rFonts w:ascii="Times New Roman" w:hAnsi="Times New Roman"/>
          <w:b/>
          <w:bCs/>
          <w:lang w:val="en-US"/>
        </w:rPr>
        <w:t xml:space="preserve">Mechanism to prevent legacy UE from accessing the NES cell </w:t>
      </w:r>
    </w:p>
    <w:p>
      <w:pPr>
        <w:rPr>
          <w:rFonts w:ascii="Times New Roman" w:hAnsi="Times New Roman"/>
          <w:lang w:val="en-US"/>
        </w:rPr>
      </w:pPr>
      <w:r>
        <w:rPr>
          <w:rFonts w:ascii="Times New Roman" w:hAnsi="Times New Roman"/>
          <w:lang w:val="en-US"/>
        </w:rPr>
        <w:t xml:space="preserve">To have separate handlings of NES-capable UE and non-NES capable UE, R18 agrees to use legacy barring indication to control the non-NES capable UE accessing an NES cell as well as introduce new barring indication to control the NES capable UE accessing an NES cell. Although some companies would like to have NES-specific cell reselection, the target can be achieved by using the current cell reselection mechanism. Thus, no further enhancement is needed in R19. </w:t>
      </w:r>
    </w:p>
    <w:p>
      <w:pPr>
        <w:rPr>
          <w:rFonts w:ascii="Times New Roman" w:hAnsi="Times New Roman"/>
          <w:b/>
          <w:bCs/>
          <w:lang w:val="en-US"/>
        </w:rPr>
      </w:pPr>
      <w:r>
        <w:rPr>
          <w:rFonts w:ascii="Times New Roman" w:hAnsi="Times New Roman"/>
          <w:b/>
          <w:bCs/>
          <w:lang w:val="en-US"/>
        </w:rPr>
        <w:t xml:space="preserve">CHO procedure enhancement </w:t>
      </w:r>
    </w:p>
    <w:p>
      <w:pPr>
        <w:rPr>
          <w:rFonts w:ascii="Times New Roman" w:hAnsi="Times New Roman"/>
          <w:lang w:val="en-US"/>
        </w:rPr>
      </w:pPr>
      <w:r>
        <w:rPr>
          <w:rFonts w:ascii="Times New Roman" w:hAnsi="Times New Roman"/>
          <w:lang w:val="en-US"/>
        </w:rPr>
        <w:t xml:space="preserve">During the WI phase, CHO enhancement includes two aspects, i.e. CHO enhancement due to the source cell’ NES and CHO enhancement due to the target cell’s NES, and the R18 progress seems to at least focus on the former case. The intention of introducing CHO enhancement due to the target cell’s NES is to ensure the NES-capable UE switching to a proper cell based on a specific rule (other than the UE implementation). We sympathize with this intention and are open to have further discussion on target cell’s NES case if majority companies would like to do so. </w:t>
      </w:r>
    </w:p>
    <w:p>
      <w:pPr>
        <w:rPr>
          <w:rFonts w:ascii="Times New Roman" w:hAnsi="Times New Roman"/>
          <w:b/>
          <w:bCs/>
          <w:lang w:val="en-US"/>
        </w:rPr>
      </w:pPr>
    </w:p>
    <w:p>
      <w:pPr>
        <w:rPr>
          <w:rFonts w:ascii="Times New Roman" w:hAnsi="Times New Roman"/>
          <w:b/>
          <w:highlight w:val="none"/>
          <w:lang w:val="en-US"/>
        </w:rPr>
      </w:pPr>
      <w:r>
        <w:rPr>
          <w:rFonts w:ascii="Times New Roman" w:hAnsi="Times New Roman"/>
          <w:b/>
          <w:highlight w:val="none"/>
        </w:rPr>
        <w:t>RRM/RF core requirements</w:t>
      </w:r>
      <w:r>
        <w:rPr>
          <w:rFonts w:ascii="Times New Roman" w:hAnsi="Times New Roman"/>
          <w:b/>
          <w:highlight w:val="none"/>
          <w:lang w:val="en-US"/>
        </w:rPr>
        <w:t xml:space="preserve"> </w:t>
      </w:r>
    </w:p>
    <w:p>
      <w:pPr>
        <w:rPr>
          <w:rFonts w:ascii="Times New Roman" w:hAnsi="Times New Roman"/>
          <w:lang w:val="en-US"/>
        </w:rPr>
      </w:pPr>
      <w:r>
        <w:rPr>
          <w:rFonts w:hint="eastAsia" w:ascii="Times New Roman" w:hAnsi="Times New Roman"/>
          <w:lang w:val="en-US"/>
        </w:rPr>
        <w:t>I</w:t>
      </w:r>
      <w:r>
        <w:rPr>
          <w:rFonts w:ascii="Times New Roman" w:hAnsi="Times New Roman"/>
          <w:lang w:val="en-US"/>
        </w:rPr>
        <w:t>n</w:t>
      </w:r>
      <w:r>
        <w:rPr>
          <w:rFonts w:hint="eastAsia" w:ascii="Times New Roman" w:hAnsi="Times New Roman"/>
          <w:lang w:val="en-US"/>
        </w:rPr>
        <w:t xml:space="preserve"> </w:t>
      </w:r>
      <w:r>
        <w:rPr>
          <w:rFonts w:ascii="Times New Roman" w:hAnsi="Times New Roman"/>
          <w:lang w:val="en-US"/>
        </w:rPr>
        <w:t xml:space="preserve">principle, legacy RF and RRM requirements can be used as baseline for R18 NES feature, e.g., no new UE RF requirements are defined and legacy requirement for SSB-based measurement in Cell DTX/DRX are reused. Other </w:t>
      </w:r>
      <w:r>
        <w:rPr>
          <w:rFonts w:hint="eastAsia" w:ascii="Times New Roman" w:hAnsi="Times New Roman"/>
          <w:lang w:val="en-US"/>
        </w:rPr>
        <w:t>discussion</w:t>
      </w:r>
      <w:r>
        <w:rPr>
          <w:rFonts w:ascii="Times New Roman" w:hAnsi="Times New Roman"/>
          <w:lang w:val="en-US"/>
        </w:rPr>
        <w:t xml:space="preserve"> for </w:t>
      </w:r>
      <w:r>
        <w:rPr>
          <w:rFonts w:hint="eastAsia" w:ascii="Times New Roman" w:hAnsi="Times New Roman"/>
          <w:lang w:val="en-US"/>
        </w:rPr>
        <w:t>RAN4</w:t>
      </w:r>
      <w:r>
        <w:rPr>
          <w:rFonts w:ascii="Times New Roman" w:hAnsi="Times New Roman"/>
          <w:lang w:val="en-US"/>
        </w:rPr>
        <w:t xml:space="preserve"> </w:t>
      </w:r>
      <w:r>
        <w:rPr>
          <w:rFonts w:hint="eastAsia" w:ascii="Times New Roman" w:hAnsi="Times New Roman"/>
          <w:lang w:val="en-US"/>
        </w:rPr>
        <w:t>requirements</w:t>
      </w:r>
      <w:r>
        <w:rPr>
          <w:rFonts w:ascii="Times New Roman" w:hAnsi="Times New Roman"/>
          <w:lang w:val="en-US"/>
        </w:rPr>
        <w:t xml:space="preserve"> is </w:t>
      </w:r>
      <w:r>
        <w:rPr>
          <w:rFonts w:hint="eastAsia" w:ascii="Times New Roman" w:hAnsi="Times New Roman"/>
          <w:lang w:val="en-US"/>
        </w:rPr>
        <w:t>still</w:t>
      </w:r>
      <w:r>
        <w:rPr>
          <w:rFonts w:ascii="Times New Roman" w:hAnsi="Times New Roman"/>
          <w:lang w:val="en-US"/>
        </w:rPr>
        <w:t xml:space="preserve"> </w:t>
      </w:r>
      <w:r>
        <w:rPr>
          <w:rFonts w:hint="eastAsia" w:ascii="Times New Roman" w:hAnsi="Times New Roman"/>
          <w:lang w:val="en-US"/>
        </w:rPr>
        <w:t>on-going,</w:t>
      </w:r>
      <w:r>
        <w:rPr>
          <w:rFonts w:ascii="Times New Roman" w:hAnsi="Times New Roman"/>
          <w:lang w:val="en-US"/>
        </w:rPr>
        <w:t xml:space="preserve"> including </w:t>
      </w:r>
    </w:p>
    <w:p>
      <w:pPr>
        <w:pStyle w:val="258"/>
        <w:numPr>
          <w:ilvl w:val="0"/>
          <w:numId w:val="15"/>
        </w:numPr>
        <w:rPr>
          <w:rFonts w:ascii="Times New Roman" w:hAnsi="Times New Roman"/>
          <w:lang w:val="en-US"/>
        </w:rPr>
      </w:pPr>
      <w:r>
        <w:rPr>
          <w:rFonts w:ascii="Times New Roman" w:hAnsi="Times New Roman"/>
          <w:lang w:val="en-US"/>
        </w:rPr>
        <w:t>whether to introduce scenario 2a (i.e., SCell without SSB transmission and without any other DL transmissions, but with UL reception at the NW side),</w:t>
      </w:r>
    </w:p>
    <w:p>
      <w:pPr>
        <w:pStyle w:val="258"/>
        <w:numPr>
          <w:ilvl w:val="0"/>
          <w:numId w:val="15"/>
        </w:numPr>
        <w:rPr>
          <w:rFonts w:ascii="Times New Roman" w:hAnsi="Times New Roman"/>
          <w:lang w:val="en-US"/>
        </w:rPr>
      </w:pPr>
      <w:r>
        <w:rPr>
          <w:rFonts w:ascii="Times New Roman" w:hAnsi="Times New Roman"/>
          <w:lang w:val="en-US"/>
        </w:rPr>
        <w:t>whether</w:t>
      </w:r>
      <w:r>
        <w:rPr>
          <w:rFonts w:hint="eastAsia" w:ascii="Times New Roman" w:hAnsi="Times New Roman"/>
          <w:lang w:val="en-US"/>
        </w:rPr>
        <w:t xml:space="preserve"> </w:t>
      </w:r>
      <w:r>
        <w:rPr>
          <w:rFonts w:ascii="Times New Roman" w:hAnsi="Times New Roman"/>
          <w:lang w:val="en-US"/>
        </w:rPr>
        <w:t xml:space="preserve">to specify BS TAE requirements,  </w:t>
      </w:r>
    </w:p>
    <w:p>
      <w:pPr>
        <w:pStyle w:val="258"/>
        <w:numPr>
          <w:ilvl w:val="0"/>
          <w:numId w:val="15"/>
        </w:numPr>
        <w:rPr>
          <w:rFonts w:ascii="Times New Roman" w:hAnsi="Times New Roman"/>
          <w:lang w:val="en-US"/>
        </w:rPr>
      </w:pPr>
      <w:r>
        <w:rPr>
          <w:rFonts w:ascii="Times New Roman" w:hAnsi="Times New Roman"/>
          <w:lang w:val="en-US"/>
        </w:rPr>
        <w:t>how to introduce side condition of RTD and related RRM requirements for SSB-less Scell.</w:t>
      </w:r>
    </w:p>
    <w:p>
      <w:r>
        <w:rPr>
          <w:rFonts w:hint="eastAsia" w:ascii="Times New Roman" w:hAnsi="Times New Roman"/>
          <w:lang w:val="en-US"/>
        </w:rPr>
        <w:t>W</w:t>
      </w:r>
      <w:r>
        <w:rPr>
          <w:rFonts w:ascii="Times New Roman" w:hAnsi="Times New Roman"/>
          <w:lang w:val="en-US"/>
        </w:rPr>
        <w:t>e think it is difficult for RAN4 to complete all the scenarios in R18. RAN4 can only consider scenario 1 for DL only SSB SCell for FR1 inter-band collocated CA in R18, and if needed, study and specify the scenario 2a for DL+UL SSB less SCell in R19.</w:t>
      </w:r>
      <w:r>
        <w:t xml:space="preserve"> </w:t>
      </w:r>
      <w:r>
        <w:rPr>
          <w:rFonts w:ascii="Times New Roman" w:hAnsi="Times New Roman"/>
        </w:rPr>
        <w:t xml:space="preserve">In addition, </w:t>
      </w:r>
      <w:r>
        <w:rPr>
          <w:rFonts w:ascii="Times New Roman" w:hAnsi="Times New Roman"/>
          <w:lang w:val="en-US"/>
        </w:rPr>
        <w:t>RAN4 is waiting for more progress of RAN2 on CHO to investigate whether there is RRM impacts.</w:t>
      </w:r>
    </w:p>
    <w:p>
      <w:pPr>
        <w:rPr>
          <w:rFonts w:ascii="Times New Roman" w:hAnsi="Times New Roman"/>
          <w:lang w:val="en-US"/>
        </w:rPr>
      </w:pPr>
    </w:p>
    <w:p>
      <w:pPr>
        <w:pStyle w:val="3"/>
        <w:rPr>
          <w:rFonts w:ascii="Times New Roman" w:hAnsi="Times New Roman"/>
          <w:lang w:val="en-US"/>
        </w:rPr>
      </w:pPr>
      <w:r>
        <w:rPr>
          <w:rFonts w:ascii="Times New Roman" w:hAnsi="Times New Roman"/>
          <w:lang w:val="en-US"/>
        </w:rPr>
        <w:t>R19 work scope</w:t>
      </w:r>
    </w:p>
    <w:p>
      <w:pPr>
        <w:rPr>
          <w:rFonts w:ascii="Times New Roman" w:hAnsi="Times New Roman"/>
          <w:strike/>
          <w:dstrike w:val="0"/>
          <w:color w:val="FF0000"/>
          <w:lang w:val="en-US"/>
        </w:rPr>
      </w:pPr>
      <w:r>
        <w:rPr>
          <w:rFonts w:hint="eastAsia" w:ascii="Times New Roman" w:hAnsi="Times New Roman"/>
          <w:lang w:val="en-US"/>
        </w:rPr>
        <w:t xml:space="preserve">Towards R19 work scope, the work should be motivated by potential features that provides more efficient network energy saving gain. To this end, the common channel/signal enhancement could be good starting point as their presence is relatively often and frequent in system and they indeed consumes an important share in the overall network energy consumption. Among these, the benefits for  SSB/SIB1-less </w:t>
      </w:r>
      <w:r>
        <w:rPr>
          <w:rFonts w:hint="eastAsia" w:ascii="Times New Roman" w:hAnsi="Times New Roman"/>
          <w:lang w:val="en-US" w:eastAsia="zh-CN"/>
        </w:rPr>
        <w:t xml:space="preserve">for camping cell </w:t>
      </w:r>
      <w:r>
        <w:rPr>
          <w:rFonts w:hint="eastAsia" w:ascii="Times New Roman" w:hAnsi="Times New Roman"/>
          <w:lang w:val="en-US"/>
        </w:rPr>
        <w:t>has been studied in the study phase. However, due to the concern of non-backward-compatibility, R18 work scope does not include this work. But neve</w:t>
      </w:r>
      <w:r>
        <w:rPr>
          <w:rFonts w:hint="eastAsia" w:ascii="Times New Roman" w:hAnsi="Times New Roman"/>
          <w:color w:val="auto"/>
          <w:lang w:val="en-US"/>
        </w:rPr>
        <w:t xml:space="preserve">rtheless, </w:t>
      </w:r>
      <w:r>
        <w:rPr>
          <w:rFonts w:hint="eastAsia" w:ascii="Times New Roman" w:hAnsi="Times New Roman"/>
          <w:color w:val="auto"/>
          <w:lang w:val="en-US" w:eastAsia="zh-CN"/>
        </w:rPr>
        <w:t xml:space="preserve">towards R19, RAN could re-consider </w:t>
      </w:r>
      <w:r>
        <w:rPr>
          <w:rFonts w:hint="eastAsia" w:ascii="Times New Roman" w:hAnsi="Times New Roman"/>
          <w:color w:val="auto"/>
          <w:lang w:val="en-US"/>
        </w:rPr>
        <w:t>SSB/SIB1-less</w:t>
      </w:r>
      <w:r>
        <w:rPr>
          <w:rFonts w:hint="eastAsia" w:ascii="Times New Roman" w:hAnsi="Times New Roman"/>
          <w:color w:val="auto"/>
          <w:lang w:val="en-US" w:eastAsia="zh-CN"/>
        </w:rPr>
        <w:t xml:space="preserve"> cell for idle/inactive UE and connected UE, with the objective to strive for minimizing the impact for legacy UE.</w:t>
      </w:r>
    </w:p>
    <w:p>
      <w:pPr>
        <w:rPr>
          <w:rFonts w:ascii="Times New Roman" w:hAnsi="Times New Roman"/>
          <w:color w:val="auto"/>
          <w:lang w:val="en-US"/>
        </w:rPr>
      </w:pPr>
      <w:r>
        <w:rPr>
          <w:rFonts w:hint="eastAsia" w:ascii="Times New Roman" w:hAnsi="Times New Roman"/>
          <w:lang w:val="en-US"/>
        </w:rPr>
        <w:t xml:space="preserve">For R19 </w:t>
      </w:r>
      <w:r>
        <w:rPr>
          <w:rFonts w:hint="eastAsia" w:ascii="Times New Roman" w:hAnsi="Times New Roman"/>
          <w:lang w:val="en-US" w:eastAsia="zh-CN"/>
        </w:rPr>
        <w:t xml:space="preserve">work </w:t>
      </w:r>
      <w:r>
        <w:rPr>
          <w:rFonts w:hint="eastAsia" w:ascii="Times New Roman" w:hAnsi="Times New Roman"/>
          <w:lang w:val="en-US"/>
        </w:rPr>
        <w:t>scop</w:t>
      </w:r>
      <w:r>
        <w:rPr>
          <w:rFonts w:hint="eastAsia" w:ascii="Times New Roman" w:hAnsi="Times New Roman"/>
          <w:color w:val="auto"/>
          <w:lang w:val="en-US"/>
        </w:rPr>
        <w:t>e</w:t>
      </w:r>
      <w:r>
        <w:rPr>
          <w:rFonts w:hint="eastAsia" w:ascii="Times New Roman" w:hAnsi="Times New Roman"/>
          <w:color w:val="auto"/>
          <w:lang w:val="en-US" w:eastAsia="zh-CN"/>
        </w:rPr>
        <w:t xml:space="preserve"> on </w:t>
      </w:r>
      <w:r>
        <w:rPr>
          <w:rFonts w:hint="eastAsia" w:ascii="Times New Roman" w:hAnsi="Times New Roman"/>
          <w:color w:val="auto"/>
          <w:lang w:val="en-US"/>
        </w:rPr>
        <w:t xml:space="preserve">SSB/SIB1-less </w:t>
      </w:r>
      <w:r>
        <w:rPr>
          <w:rFonts w:hint="eastAsia" w:ascii="Times New Roman" w:hAnsi="Times New Roman"/>
          <w:color w:val="auto"/>
          <w:lang w:val="en-US" w:eastAsia="zh-CN"/>
        </w:rPr>
        <w:t>NES cell for idle/inactive UE and connected UE</w:t>
      </w:r>
      <w:r>
        <w:rPr>
          <w:rFonts w:hint="eastAsia" w:ascii="Times New Roman" w:hAnsi="Times New Roman"/>
          <w:color w:val="auto"/>
          <w:lang w:val="en-US"/>
        </w:rPr>
        <w:t>, where the SSB/SIB1 broadcasting can be switched off as a default status or broadcasted with much large periodicity. In order to obtain the SSB/SIB1, RAN may consider two directions: 1) UE obtains the SSB/SIB1 via on demand SSB/SIB1, where a WUS design can be studied as an on-demand signal.</w:t>
      </w:r>
      <w:r>
        <w:rPr>
          <w:rFonts w:hint="eastAsia" w:ascii="Times New Roman" w:hAnsi="Times New Roman"/>
          <w:b/>
          <w:bCs/>
          <w:color w:val="auto"/>
          <w:lang w:val="en-US"/>
        </w:rPr>
        <w:t xml:space="preserve"> </w:t>
      </w:r>
      <w:r>
        <w:rPr>
          <w:rFonts w:hint="eastAsia" w:ascii="Times New Roman" w:hAnsi="Times New Roman"/>
          <w:color w:val="auto"/>
          <w:lang w:val="en-US"/>
        </w:rPr>
        <w:t xml:space="preserve">For the work on SSB-less </w:t>
      </w:r>
      <w:r>
        <w:rPr>
          <w:rFonts w:hint="eastAsia" w:ascii="Times New Roman" w:hAnsi="Times New Roman"/>
          <w:color w:val="auto"/>
          <w:lang w:val="en-US" w:eastAsia="zh-CN"/>
        </w:rPr>
        <w:t>NES cell for idle/inactive UE and connected UE</w:t>
      </w:r>
      <w:r>
        <w:rPr>
          <w:rFonts w:hint="eastAsia" w:ascii="Times New Roman" w:hAnsi="Times New Roman"/>
          <w:color w:val="auto"/>
          <w:lang w:val="en-US"/>
        </w:rPr>
        <w:t xml:space="preserve">, RAN1, RAN2 and RAN4 are </w:t>
      </w:r>
      <w:r>
        <w:rPr>
          <w:rFonts w:hint="eastAsia" w:ascii="Times New Roman" w:hAnsi="Times New Roman"/>
          <w:color w:val="auto"/>
          <w:lang w:val="en-US" w:eastAsia="zh-CN"/>
        </w:rPr>
        <w:t>involved</w:t>
      </w:r>
      <w:r>
        <w:rPr>
          <w:rFonts w:hint="eastAsia" w:ascii="Times New Roman" w:hAnsi="Times New Roman"/>
          <w:color w:val="auto"/>
          <w:lang w:val="en-US"/>
        </w:rPr>
        <w:t xml:space="preserve"> and the work can be led by RAN2. For the work on </w:t>
      </w:r>
      <w:r>
        <w:rPr>
          <w:rFonts w:hint="eastAsia" w:ascii="Times New Roman" w:hAnsi="Times New Roman"/>
          <w:color w:val="auto"/>
          <w:lang w:val="en-US" w:eastAsia="zh-CN"/>
        </w:rPr>
        <w:t>SIB1</w:t>
      </w:r>
      <w:r>
        <w:rPr>
          <w:rFonts w:hint="eastAsia" w:ascii="Times New Roman" w:hAnsi="Times New Roman"/>
          <w:color w:val="auto"/>
          <w:lang w:val="en-US"/>
        </w:rPr>
        <w:t xml:space="preserve">-less </w:t>
      </w:r>
      <w:r>
        <w:rPr>
          <w:rFonts w:hint="eastAsia" w:ascii="Times New Roman" w:hAnsi="Times New Roman"/>
          <w:color w:val="auto"/>
          <w:lang w:val="en-US" w:eastAsia="zh-CN"/>
        </w:rPr>
        <w:t>NES cell for idle/inactive UE and connected UE</w:t>
      </w:r>
      <w:r>
        <w:rPr>
          <w:rFonts w:hint="eastAsia" w:ascii="Times New Roman" w:hAnsi="Times New Roman"/>
          <w:color w:val="auto"/>
          <w:lang w:val="en-US"/>
        </w:rPr>
        <w:t xml:space="preserve">, we think that RAN1 and RAN2 are involved and the work can also be led by RAN2. </w:t>
      </w:r>
    </w:p>
    <w:p>
      <w:pPr>
        <w:rPr>
          <w:rFonts w:ascii="Times New Roman" w:hAnsi="Times New Roman"/>
          <w:b/>
          <w:bCs/>
          <w:lang w:val="en-US"/>
        </w:rPr>
      </w:pPr>
      <w:r>
        <w:rPr>
          <w:rFonts w:hint="eastAsia" w:ascii="Times New Roman" w:hAnsi="Times New Roman"/>
          <w:b/>
          <w:bCs/>
          <w:lang w:val="en-US"/>
        </w:rPr>
        <w:t>Proposal: R19 NES work scope considers the following objectives</w:t>
      </w:r>
    </w:p>
    <w:p>
      <w:pPr>
        <w:numPr>
          <w:ilvl w:val="0"/>
          <w:numId w:val="16"/>
        </w:numPr>
        <w:rPr>
          <w:rFonts w:ascii="Times New Roman" w:hAnsi="Times New Roman"/>
          <w:b/>
          <w:bCs/>
          <w:lang w:val="en-US"/>
        </w:rPr>
      </w:pPr>
      <w:r>
        <w:rPr>
          <w:rFonts w:hint="eastAsia" w:ascii="Times New Roman" w:hAnsi="Times New Roman"/>
          <w:b/>
          <w:bCs/>
          <w:lang w:val="en-US"/>
        </w:rPr>
        <w:t>Specify necessary mechani</w:t>
      </w:r>
      <w:r>
        <w:rPr>
          <w:rFonts w:hint="eastAsia" w:ascii="Times New Roman" w:hAnsi="Times New Roman"/>
          <w:b/>
          <w:bCs/>
          <w:color w:val="auto"/>
          <w:lang w:val="en-US"/>
        </w:rPr>
        <w:t xml:space="preserve">sms to support SSB-less </w:t>
      </w:r>
      <w:r>
        <w:rPr>
          <w:rFonts w:hint="eastAsia" w:ascii="Times New Roman" w:hAnsi="Times New Roman"/>
          <w:b/>
          <w:bCs/>
          <w:color w:val="auto"/>
          <w:lang w:val="en-US" w:eastAsia="zh-CN"/>
        </w:rPr>
        <w:t>NES cell for idle/inactive UE and connected UE</w:t>
      </w:r>
      <w:r>
        <w:rPr>
          <w:rFonts w:hint="eastAsia" w:ascii="Times New Roman" w:hAnsi="Times New Roman"/>
          <w:b/>
          <w:bCs/>
          <w:color w:val="auto"/>
          <w:lang w:val="en-US"/>
        </w:rPr>
        <w:t xml:space="preserve"> </w:t>
      </w:r>
    </w:p>
    <w:p>
      <w:pPr>
        <w:numPr>
          <w:ilvl w:val="1"/>
          <w:numId w:val="16"/>
        </w:numPr>
        <w:rPr>
          <w:rFonts w:ascii="Times New Roman" w:hAnsi="Times New Roman"/>
          <w:b/>
          <w:bCs/>
          <w:lang w:val="en-US"/>
        </w:rPr>
      </w:pPr>
      <w:r>
        <w:rPr>
          <w:rFonts w:hint="eastAsia" w:ascii="Times New Roman" w:hAnsi="Times New Roman"/>
          <w:b/>
          <w:bCs/>
          <w:lang w:val="en-US"/>
        </w:rPr>
        <w:t>On-demand SSB signal design and/or reuse SSB from other cell.</w:t>
      </w:r>
    </w:p>
    <w:p>
      <w:pPr>
        <w:numPr>
          <w:ilvl w:val="0"/>
          <w:numId w:val="16"/>
        </w:numPr>
        <w:rPr>
          <w:rFonts w:ascii="Times New Roman" w:hAnsi="Times New Roman"/>
          <w:b/>
          <w:bCs/>
          <w:lang w:val="en-US"/>
        </w:rPr>
      </w:pPr>
      <w:r>
        <w:rPr>
          <w:rFonts w:hint="eastAsia" w:ascii="Times New Roman" w:hAnsi="Times New Roman"/>
          <w:b/>
          <w:bCs/>
          <w:lang w:val="en-US"/>
        </w:rPr>
        <w:t>Specify necessary mechanisms to su</w:t>
      </w:r>
      <w:r>
        <w:rPr>
          <w:rFonts w:hint="eastAsia" w:ascii="Times New Roman" w:hAnsi="Times New Roman"/>
          <w:b/>
          <w:bCs/>
          <w:color w:val="auto"/>
          <w:lang w:val="en-US"/>
        </w:rPr>
        <w:t xml:space="preserve">pport </w:t>
      </w:r>
      <w:r>
        <w:rPr>
          <w:rFonts w:hint="eastAsia" w:ascii="Times New Roman" w:hAnsi="Times New Roman"/>
          <w:b/>
          <w:bCs/>
          <w:color w:val="auto"/>
          <w:lang w:val="en-US" w:eastAsia="zh-CN"/>
        </w:rPr>
        <w:t>SIB1</w:t>
      </w:r>
      <w:r>
        <w:rPr>
          <w:rFonts w:hint="eastAsia" w:ascii="Times New Roman" w:hAnsi="Times New Roman"/>
          <w:b/>
          <w:bCs/>
          <w:color w:val="auto"/>
          <w:lang w:val="en-US"/>
        </w:rPr>
        <w:t xml:space="preserve">-less </w:t>
      </w:r>
      <w:r>
        <w:rPr>
          <w:rFonts w:hint="eastAsia" w:ascii="Times New Roman" w:hAnsi="Times New Roman"/>
          <w:b/>
          <w:bCs/>
          <w:color w:val="auto"/>
          <w:lang w:val="en-US" w:eastAsia="zh-CN"/>
        </w:rPr>
        <w:t>NES cell for idle/inactive UE and connected UE</w:t>
      </w:r>
      <w:r>
        <w:rPr>
          <w:rFonts w:hint="eastAsia" w:ascii="Times New Roman" w:hAnsi="Times New Roman"/>
          <w:b/>
          <w:bCs/>
          <w:color w:val="auto"/>
          <w:lang w:val="en-US"/>
        </w:rPr>
        <w:t xml:space="preserve"> </w:t>
      </w:r>
    </w:p>
    <w:p>
      <w:pPr>
        <w:numPr>
          <w:ilvl w:val="1"/>
          <w:numId w:val="16"/>
        </w:numPr>
        <w:rPr>
          <w:rFonts w:ascii="Times New Roman" w:hAnsi="Times New Roman"/>
          <w:b/>
          <w:bCs/>
          <w:lang w:val="en-US"/>
        </w:rPr>
      </w:pPr>
      <w:r>
        <w:rPr>
          <w:rFonts w:hint="eastAsia" w:ascii="Times New Roman" w:hAnsi="Times New Roman"/>
          <w:b/>
          <w:bCs/>
          <w:lang w:val="en-US"/>
        </w:rPr>
        <w:t>On-demand SIB1 signal design and/or obtain SIB1 message from other cell.</w:t>
      </w:r>
    </w:p>
    <w:p>
      <w:pPr>
        <w:numPr>
          <w:ilvl w:val="0"/>
          <w:numId w:val="16"/>
        </w:numPr>
        <w:rPr>
          <w:rFonts w:ascii="Times New Roman" w:hAnsi="Times New Roman"/>
          <w:b/>
          <w:bCs/>
          <w:color w:val="auto"/>
          <w:highlight w:val="none"/>
          <w:lang w:val="en-US"/>
        </w:rPr>
      </w:pPr>
      <w:r>
        <w:rPr>
          <w:rFonts w:ascii="Times New Roman" w:hAnsi="Times New Roman"/>
          <w:b/>
          <w:bCs/>
          <w:color w:val="auto"/>
          <w:highlight w:val="none"/>
          <w:lang w:val="en-US"/>
        </w:rPr>
        <w:t xml:space="preserve">Study and if needed, specify any </w:t>
      </w:r>
      <w:r>
        <w:rPr>
          <w:rFonts w:hint="eastAsia" w:ascii="Times New Roman" w:hAnsi="Times New Roman"/>
          <w:b/>
          <w:bCs/>
          <w:color w:val="auto"/>
          <w:highlight w:val="none"/>
          <w:lang w:val="en-US" w:eastAsia="zh-CN"/>
        </w:rPr>
        <w:t>new</w:t>
      </w:r>
      <w:r>
        <w:rPr>
          <w:rFonts w:ascii="Times New Roman" w:hAnsi="Times New Roman"/>
          <w:b/>
          <w:bCs/>
          <w:color w:val="auto"/>
          <w:highlight w:val="none"/>
          <w:lang w:val="en-US"/>
        </w:rPr>
        <w:t xml:space="preserve"> RF and RRM requirements </w:t>
      </w:r>
    </w:p>
    <w:p>
      <w:pPr>
        <w:numPr>
          <w:ilvl w:val="0"/>
          <w:numId w:val="16"/>
        </w:numPr>
        <w:rPr>
          <w:rFonts w:ascii="Times New Roman" w:hAnsi="Times New Roman"/>
          <w:b/>
          <w:bCs/>
          <w:color w:val="auto"/>
          <w:highlight w:val="none"/>
          <w:lang w:val="en-US"/>
        </w:rPr>
      </w:pPr>
      <w:r>
        <w:rPr>
          <w:rFonts w:hint="eastAsia" w:ascii="Times New Roman" w:hAnsi="Times New Roman"/>
          <w:b/>
          <w:bCs/>
          <w:color w:val="auto"/>
          <w:highlight w:val="none"/>
          <w:lang w:val="en-US" w:eastAsia="zh-CN"/>
        </w:rPr>
        <w:t xml:space="preserve">Support and specify necessary mechanisms for scenario 2a </w:t>
      </w:r>
    </w:p>
    <w:p>
      <w:pPr>
        <w:rPr>
          <w:rFonts w:ascii="Times New Roman" w:hAnsi="Times New Roman"/>
          <w:lang w:val="en-US"/>
        </w:rPr>
      </w:pPr>
    </w:p>
    <w:p>
      <w:pPr>
        <w:pStyle w:val="2"/>
        <w:rPr>
          <w:rFonts w:ascii="Times New Roman" w:hAnsi="Times New Roman"/>
        </w:rPr>
      </w:pPr>
      <w:bookmarkStart w:id="6" w:name="_Toc109213964"/>
      <w:bookmarkEnd w:id="6"/>
      <w:r>
        <w:rPr>
          <w:rFonts w:ascii="Times New Roman" w:hAnsi="Times New Roman"/>
        </w:rPr>
        <w:t>Conclusion</w:t>
      </w:r>
    </w:p>
    <w:p>
      <w:pPr>
        <w:rPr>
          <w:rFonts w:ascii="Times New Roman" w:hAnsi="Times New Roman"/>
        </w:rPr>
      </w:pPr>
      <w:r>
        <w:rPr>
          <w:rFonts w:ascii="Times New Roman" w:hAnsi="Times New Roman"/>
        </w:rPr>
        <w:t xml:space="preserve">We have the following </w:t>
      </w:r>
      <w:r>
        <w:rPr>
          <w:rFonts w:hint="eastAsia" w:ascii="Times New Roman" w:hAnsi="Times New Roman"/>
          <w:lang w:val="en-US" w:eastAsia="zh-CN"/>
        </w:rPr>
        <w:t>proposal</w:t>
      </w:r>
      <w:r>
        <w:rPr>
          <w:rFonts w:ascii="Times New Roman" w:hAnsi="Times New Roman"/>
        </w:rPr>
        <w:t>:</w:t>
      </w:r>
    </w:p>
    <w:p>
      <w:pPr>
        <w:rPr>
          <w:rFonts w:ascii="Times New Roman" w:hAnsi="Times New Roman"/>
          <w:b/>
          <w:bCs/>
          <w:lang w:val="en-US"/>
        </w:rPr>
      </w:pPr>
      <w:r>
        <w:rPr>
          <w:rFonts w:hint="eastAsia" w:ascii="Times New Roman" w:hAnsi="Times New Roman"/>
          <w:b/>
          <w:bCs/>
          <w:lang w:val="en-US"/>
        </w:rPr>
        <w:t>Proposal: R19 NES work scope considers the following objectives</w:t>
      </w:r>
    </w:p>
    <w:p>
      <w:pPr>
        <w:numPr>
          <w:ilvl w:val="0"/>
          <w:numId w:val="16"/>
        </w:numPr>
        <w:rPr>
          <w:rFonts w:ascii="Times New Roman" w:hAnsi="Times New Roman"/>
          <w:b/>
          <w:bCs/>
          <w:lang w:val="en-US"/>
        </w:rPr>
      </w:pPr>
      <w:r>
        <w:rPr>
          <w:rFonts w:hint="eastAsia" w:ascii="Times New Roman" w:hAnsi="Times New Roman"/>
          <w:b/>
          <w:bCs/>
          <w:lang w:val="en-US"/>
        </w:rPr>
        <w:t>Specify necessary mechani</w:t>
      </w:r>
      <w:r>
        <w:rPr>
          <w:rFonts w:hint="eastAsia" w:ascii="Times New Roman" w:hAnsi="Times New Roman"/>
          <w:b/>
          <w:bCs/>
          <w:color w:val="auto"/>
          <w:lang w:val="en-US"/>
        </w:rPr>
        <w:t xml:space="preserve">sms to support SSB-less </w:t>
      </w:r>
      <w:r>
        <w:rPr>
          <w:rFonts w:hint="eastAsia" w:ascii="Times New Roman" w:hAnsi="Times New Roman"/>
          <w:b/>
          <w:bCs/>
          <w:color w:val="auto"/>
          <w:lang w:val="en-US" w:eastAsia="zh-CN"/>
        </w:rPr>
        <w:t>NES cell for idle/inactive UE and connected UE</w:t>
      </w:r>
      <w:r>
        <w:rPr>
          <w:rFonts w:hint="eastAsia" w:ascii="Times New Roman" w:hAnsi="Times New Roman"/>
          <w:b/>
          <w:bCs/>
          <w:color w:val="auto"/>
          <w:lang w:val="en-US"/>
        </w:rPr>
        <w:t xml:space="preserve"> </w:t>
      </w:r>
    </w:p>
    <w:p>
      <w:pPr>
        <w:numPr>
          <w:ilvl w:val="1"/>
          <w:numId w:val="16"/>
        </w:numPr>
        <w:rPr>
          <w:rFonts w:ascii="Times New Roman" w:hAnsi="Times New Roman"/>
          <w:b/>
          <w:bCs/>
          <w:lang w:val="en-US"/>
        </w:rPr>
      </w:pPr>
      <w:r>
        <w:rPr>
          <w:rFonts w:hint="eastAsia" w:ascii="Times New Roman" w:hAnsi="Times New Roman"/>
          <w:b/>
          <w:bCs/>
          <w:lang w:val="en-US"/>
        </w:rPr>
        <w:t>On-demand SSB signal design and/or reuse SSB from other cell.</w:t>
      </w:r>
    </w:p>
    <w:p>
      <w:pPr>
        <w:numPr>
          <w:ilvl w:val="0"/>
          <w:numId w:val="16"/>
        </w:numPr>
        <w:rPr>
          <w:rFonts w:ascii="Times New Roman" w:hAnsi="Times New Roman"/>
          <w:b/>
          <w:bCs/>
          <w:lang w:val="en-US"/>
        </w:rPr>
      </w:pPr>
      <w:r>
        <w:rPr>
          <w:rFonts w:hint="eastAsia" w:ascii="Times New Roman" w:hAnsi="Times New Roman"/>
          <w:b/>
          <w:bCs/>
          <w:lang w:val="en-US"/>
        </w:rPr>
        <w:t>Specify necessary mechanisms to su</w:t>
      </w:r>
      <w:r>
        <w:rPr>
          <w:rFonts w:hint="eastAsia" w:ascii="Times New Roman" w:hAnsi="Times New Roman"/>
          <w:b/>
          <w:bCs/>
          <w:color w:val="auto"/>
          <w:lang w:val="en-US"/>
        </w:rPr>
        <w:t xml:space="preserve">pport </w:t>
      </w:r>
      <w:r>
        <w:rPr>
          <w:rFonts w:hint="eastAsia" w:ascii="Times New Roman" w:hAnsi="Times New Roman"/>
          <w:b/>
          <w:bCs/>
          <w:color w:val="auto"/>
          <w:lang w:val="en-US" w:eastAsia="zh-CN"/>
        </w:rPr>
        <w:t>SIB1</w:t>
      </w:r>
      <w:r>
        <w:rPr>
          <w:rFonts w:hint="eastAsia" w:ascii="Times New Roman" w:hAnsi="Times New Roman"/>
          <w:b/>
          <w:bCs/>
          <w:color w:val="auto"/>
          <w:lang w:val="en-US"/>
        </w:rPr>
        <w:t xml:space="preserve">-less </w:t>
      </w:r>
      <w:r>
        <w:rPr>
          <w:rFonts w:hint="eastAsia" w:ascii="Times New Roman" w:hAnsi="Times New Roman"/>
          <w:b/>
          <w:bCs/>
          <w:color w:val="auto"/>
          <w:lang w:val="en-US" w:eastAsia="zh-CN"/>
        </w:rPr>
        <w:t>NES cell for idle/inactive UE and connected UE</w:t>
      </w:r>
      <w:r>
        <w:rPr>
          <w:rFonts w:hint="eastAsia" w:ascii="Times New Roman" w:hAnsi="Times New Roman"/>
          <w:b/>
          <w:bCs/>
          <w:color w:val="auto"/>
          <w:lang w:val="en-US"/>
        </w:rPr>
        <w:t xml:space="preserve"> </w:t>
      </w:r>
    </w:p>
    <w:p>
      <w:pPr>
        <w:numPr>
          <w:ilvl w:val="1"/>
          <w:numId w:val="16"/>
        </w:numPr>
        <w:rPr>
          <w:rFonts w:ascii="Times New Roman" w:hAnsi="Times New Roman"/>
          <w:b/>
          <w:bCs/>
          <w:lang w:val="en-US"/>
        </w:rPr>
      </w:pPr>
      <w:r>
        <w:rPr>
          <w:rFonts w:hint="eastAsia" w:ascii="Times New Roman" w:hAnsi="Times New Roman"/>
          <w:b/>
          <w:bCs/>
          <w:lang w:val="en-US"/>
        </w:rPr>
        <w:t>On-demand SIB1 signal design and/or obtain SIB1 message from other cell.</w:t>
      </w:r>
    </w:p>
    <w:p>
      <w:pPr>
        <w:numPr>
          <w:ilvl w:val="0"/>
          <w:numId w:val="16"/>
        </w:numPr>
        <w:rPr>
          <w:rFonts w:ascii="Times New Roman" w:hAnsi="Times New Roman"/>
          <w:b/>
          <w:bCs/>
          <w:color w:val="auto"/>
          <w:highlight w:val="none"/>
          <w:lang w:val="en-US"/>
        </w:rPr>
      </w:pPr>
      <w:r>
        <w:rPr>
          <w:rFonts w:ascii="Times New Roman" w:hAnsi="Times New Roman"/>
          <w:b/>
          <w:bCs/>
          <w:color w:val="auto"/>
          <w:highlight w:val="none"/>
          <w:lang w:val="en-US"/>
        </w:rPr>
        <w:t xml:space="preserve">Study and if needed, specify any </w:t>
      </w:r>
      <w:r>
        <w:rPr>
          <w:rFonts w:hint="eastAsia" w:ascii="Times New Roman" w:hAnsi="Times New Roman"/>
          <w:b/>
          <w:bCs/>
          <w:color w:val="auto"/>
          <w:highlight w:val="none"/>
          <w:lang w:val="en-US" w:eastAsia="zh-CN"/>
        </w:rPr>
        <w:t>new</w:t>
      </w:r>
      <w:r>
        <w:rPr>
          <w:rFonts w:ascii="Times New Roman" w:hAnsi="Times New Roman"/>
          <w:b/>
          <w:bCs/>
          <w:color w:val="auto"/>
          <w:highlight w:val="none"/>
          <w:lang w:val="en-US"/>
        </w:rPr>
        <w:t xml:space="preserve"> RF and RRM requirements </w:t>
      </w:r>
    </w:p>
    <w:p>
      <w:pPr>
        <w:numPr>
          <w:ilvl w:val="0"/>
          <w:numId w:val="16"/>
        </w:numPr>
        <w:rPr>
          <w:rFonts w:ascii="Times New Roman" w:hAnsi="Times New Roman"/>
          <w:b/>
          <w:bCs/>
          <w:color w:val="auto"/>
          <w:highlight w:val="none"/>
          <w:lang w:val="en-US"/>
        </w:rPr>
      </w:pPr>
      <w:r>
        <w:rPr>
          <w:rFonts w:hint="eastAsia" w:ascii="Times New Roman" w:hAnsi="Times New Roman"/>
          <w:b/>
          <w:bCs/>
          <w:color w:val="auto"/>
          <w:highlight w:val="none"/>
          <w:lang w:val="en-US" w:eastAsia="zh-CN"/>
        </w:rPr>
        <w:t xml:space="preserve">Support and specify necessary mechanisms for scenario 2a </w:t>
      </w:r>
    </w:p>
    <w:p>
      <w:pPr>
        <w:rPr>
          <w:rFonts w:ascii="Times New Roman" w:hAnsi="Times New Roman" w:eastAsia="等线"/>
          <w:b/>
          <w:sz w:val="22"/>
          <w:lang w:val="fr-FR"/>
        </w:rPr>
      </w:pPr>
      <w:bookmarkStart w:id="7" w:name="_GoBack"/>
      <w:bookmarkEnd w:id="7"/>
    </w:p>
    <w:sectPr>
      <w:footerReference r:id="rId4"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39"/>
      </w:tabs>
      <w:jc w:val="left"/>
    </w:pPr>
    <w:r>
      <w:tab/>
    </w:r>
    <w:r>
      <w:fldChar w:fldCharType="begin"/>
    </w:r>
    <w:r>
      <w:rPr>
        <w:rStyle w:val="44"/>
      </w:rPr>
      <w:instrText xml:space="preserve"> PAGE </w:instrText>
    </w:r>
    <w:r>
      <w:fldChar w:fldCharType="separate"/>
    </w:r>
    <w:r>
      <w:rPr>
        <w:rStyle w:val="44"/>
      </w:rPr>
      <w:t>3</w:t>
    </w:r>
    <w:r>
      <w:fldChar w:fldCharType="end"/>
    </w:r>
    <w:r>
      <w:rPr>
        <w:rStyle w:val="44"/>
      </w:rPr>
      <w:t>/</w:t>
    </w:r>
    <w:r>
      <w:fldChar w:fldCharType="begin"/>
    </w:r>
    <w:r>
      <w:rPr>
        <w:rStyle w:val="44"/>
      </w:rPr>
      <w:instrText xml:space="preserve"> NUMPAGES </w:instrText>
    </w:r>
    <w:r>
      <w:fldChar w:fldCharType="separate"/>
    </w:r>
    <w:r>
      <w:rPr>
        <w:rStyle w:val="44"/>
      </w:rPr>
      <w:t>11</w:t>
    </w:r>
    <w:r>
      <w:fldChar w:fldCharType="end"/>
    </w:r>
    <w:r>
      <w:rPr>
        <w:rStyle w:val="4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2975BEB"/>
    <w:multiLevelType w:val="multilevel"/>
    <w:tmpl w:val="12975BEB"/>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B8E5500"/>
    <w:multiLevelType w:val="multilevel"/>
    <w:tmpl w:val="1B8E5500"/>
    <w:lvl w:ilvl="0" w:tentative="0">
      <w:start w:val="1"/>
      <w:numFmt w:val="bullet"/>
      <w:pStyle w:val="3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2148019C"/>
    <w:multiLevelType w:val="multilevel"/>
    <w:tmpl w:val="2148019C"/>
    <w:lvl w:ilvl="0" w:tentative="0">
      <w:start w:val="1"/>
      <w:numFmt w:val="bullet"/>
      <w:pStyle w:val="40"/>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16C7E23"/>
    <w:multiLevelType w:val="multilevel"/>
    <w:tmpl w:val="416C7E23"/>
    <w:lvl w:ilvl="0" w:tentative="0">
      <w:start w:val="1"/>
      <w:numFmt w:val="bullet"/>
      <w:pStyle w:val="38"/>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784390"/>
    <w:multiLevelType w:val="multilevel"/>
    <w:tmpl w:val="4278439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4264"/>
        </w:tabs>
        <w:ind w:left="4264"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508D6D60"/>
    <w:multiLevelType w:val="multilevel"/>
    <w:tmpl w:val="508D6D6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0">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6222E14"/>
    <w:multiLevelType w:val="multilevel"/>
    <w:tmpl w:val="56222E14"/>
    <w:lvl w:ilvl="0" w:tentative="0">
      <w:start w:val="1"/>
      <w:numFmt w:val="bullet"/>
      <w:pStyle w:val="3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3690C9E"/>
    <w:multiLevelType w:val="singleLevel"/>
    <w:tmpl w:val="63690C9E"/>
    <w:lvl w:ilvl="0" w:tentative="0">
      <w:start w:val="1"/>
      <w:numFmt w:val="bullet"/>
      <w:pStyle w:val="288"/>
      <w:lvlText w:val=""/>
      <w:lvlJc w:val="left"/>
      <w:pPr>
        <w:tabs>
          <w:tab w:val="left" w:pos="360"/>
        </w:tabs>
        <w:ind w:left="360" w:hanging="360"/>
      </w:pPr>
      <w:rPr>
        <w:rFonts w:hint="default" w:ascii="Wingdings" w:hAnsi="Wingdings"/>
      </w:rPr>
    </w:lvl>
  </w:abstractNum>
  <w:abstractNum w:abstractNumId="14">
    <w:nsid w:val="67A618A0"/>
    <w:multiLevelType w:val="multilevel"/>
    <w:tmpl w:val="67A618A0"/>
    <w:lvl w:ilvl="0" w:tentative="0">
      <w:start w:val="1"/>
      <w:numFmt w:val="decimal"/>
      <w:pStyle w:val="265"/>
      <w:lvlText w:val="Observation %1"/>
      <w:lvlJc w:val="left"/>
      <w:pPr>
        <w:ind w:left="36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E4C1C54"/>
    <w:multiLevelType w:val="multilevel"/>
    <w:tmpl w:val="6E4C1C54"/>
    <w:lvl w:ilvl="0" w:tentative="0">
      <w:start w:val="1"/>
      <w:numFmt w:val="bullet"/>
      <w:pStyle w:val="39"/>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2"/>
  </w:num>
  <w:num w:numId="4">
    <w:abstractNumId w:val="6"/>
  </w:num>
  <w:num w:numId="5">
    <w:abstractNumId w:val="15"/>
  </w:num>
  <w:num w:numId="6">
    <w:abstractNumId w:val="4"/>
  </w:num>
  <w:num w:numId="7">
    <w:abstractNumId w:val="10"/>
  </w:num>
  <w:num w:numId="8">
    <w:abstractNumId w:val="0"/>
  </w:num>
  <w:num w:numId="9">
    <w:abstractNumId w:val="14"/>
  </w:num>
  <w:num w:numId="10">
    <w:abstractNumId w:val="3"/>
  </w:num>
  <w:num w:numId="11">
    <w:abstractNumId w:val="12"/>
  </w:num>
  <w:num w:numId="12">
    <w:abstractNumId w:val="9"/>
  </w:num>
  <w:num w:numId="13">
    <w:abstractNumId w:val="5"/>
  </w:num>
  <w:num w:numId="14">
    <w:abstractNumId w:val="13"/>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567"/>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wMrMwtjA2MTU1NLZU0lEKTi0uzszPAykwrAUAiMqPLC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B1B"/>
    <w:rsid w:val="002F6D91"/>
    <w:rsid w:val="002F715E"/>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2538"/>
    <w:rsid w:val="00392BB3"/>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2954"/>
    <w:rsid w:val="004A2E52"/>
    <w:rsid w:val="004A3A66"/>
    <w:rsid w:val="004A3A9A"/>
    <w:rsid w:val="004A3BFE"/>
    <w:rsid w:val="004A470A"/>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76"/>
    <w:rsid w:val="004E646F"/>
    <w:rsid w:val="004E6C8E"/>
    <w:rsid w:val="004E6DD4"/>
    <w:rsid w:val="004E7D43"/>
    <w:rsid w:val="004E7EF5"/>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32B3"/>
    <w:rsid w:val="006C3A2E"/>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60D9"/>
    <w:rsid w:val="00907BF0"/>
    <w:rsid w:val="009104D3"/>
    <w:rsid w:val="009106DB"/>
    <w:rsid w:val="009124C7"/>
    <w:rsid w:val="00912A41"/>
    <w:rsid w:val="00912FDB"/>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C0427"/>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5B3B47"/>
    <w:rsid w:val="01B67F13"/>
    <w:rsid w:val="0B9D2D77"/>
    <w:rsid w:val="183B40C1"/>
    <w:rsid w:val="1ACC527E"/>
    <w:rsid w:val="1B994503"/>
    <w:rsid w:val="227701ED"/>
    <w:rsid w:val="24426122"/>
    <w:rsid w:val="25E025AD"/>
    <w:rsid w:val="2B253178"/>
    <w:rsid w:val="2E856C9B"/>
    <w:rsid w:val="35ED1257"/>
    <w:rsid w:val="3D057D27"/>
    <w:rsid w:val="43706CF3"/>
    <w:rsid w:val="44383248"/>
    <w:rsid w:val="45DE4726"/>
    <w:rsid w:val="463A34AB"/>
    <w:rsid w:val="4AC779BE"/>
    <w:rsid w:val="4FFA3743"/>
    <w:rsid w:val="50B34F13"/>
    <w:rsid w:val="51CD4943"/>
    <w:rsid w:val="59525A19"/>
    <w:rsid w:val="59D65D91"/>
    <w:rsid w:val="5AB865E5"/>
    <w:rsid w:val="5B191241"/>
    <w:rsid w:val="5E6B4191"/>
    <w:rsid w:val="5FDE663E"/>
    <w:rsid w:val="697B0271"/>
    <w:rsid w:val="6D65042E"/>
    <w:rsid w:val="6D883965"/>
    <w:rsid w:val="73581CF9"/>
    <w:rsid w:val="75D57C67"/>
    <w:rsid w:val="77142071"/>
    <w:rsid w:val="781C198C"/>
    <w:rsid w:val="791D4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120"/>
      <w:jc w:val="both"/>
    </w:pPr>
    <w:rPr>
      <w:rFonts w:ascii="Arial" w:hAnsi="Arial" w:eastAsia="宋体" w:cs="Times New Roman"/>
      <w:szCs w:val="22"/>
      <w:lang w:val="en-GB" w:eastAsia="zh-CN" w:bidi="ar-SA"/>
    </w:rPr>
  </w:style>
  <w:style w:type="paragraph" w:styleId="2">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outlineLvl w:val="0"/>
    </w:pPr>
    <w:rPr>
      <w:rFonts w:ascii="Arial" w:hAnsi="Arial" w:eastAsia="宋体" w:cs="Times New Roman"/>
      <w:sz w:val="36"/>
      <w:szCs w:val="36"/>
      <w:lang w:val="en-GB" w:eastAsia="zh-CN" w:bidi="ar-SA"/>
    </w:rPr>
  </w:style>
  <w:style w:type="paragraph" w:styleId="3">
    <w:name w:val="heading 2"/>
    <w:basedOn w:val="2"/>
    <w:next w:val="1"/>
    <w:link w:val="28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1"/>
    <w:qFormat/>
    <w:uiPriority w:val="0"/>
    <w:pPr>
      <w:numPr>
        <w:ilvl w:val="2"/>
      </w:numPr>
      <w:tabs>
        <w:tab w:val="left" w:pos="720"/>
      </w:tabs>
      <w:spacing w:before="120"/>
      <w:ind w:left="720"/>
      <w:outlineLvl w:val="2"/>
    </w:pPr>
    <w:rPr>
      <w:sz w:val="28"/>
      <w:szCs w:val="28"/>
    </w:rPr>
  </w:style>
  <w:style w:type="paragraph" w:styleId="5">
    <w:name w:val="heading 4"/>
    <w:basedOn w:val="4"/>
    <w:next w:val="1"/>
    <w:link w:val="62"/>
    <w:qFormat/>
    <w:uiPriority w:val="0"/>
    <w:pPr>
      <w:numPr>
        <w:ilvl w:val="3"/>
      </w:numPr>
      <w:outlineLvl w:val="3"/>
    </w:pPr>
    <w:rPr>
      <w:sz w:val="24"/>
      <w:szCs w:val="24"/>
    </w:rPr>
  </w:style>
  <w:style w:type="paragraph" w:styleId="6">
    <w:name w:val="heading 5"/>
    <w:basedOn w:val="5"/>
    <w:next w:val="1"/>
    <w:link w:val="63"/>
    <w:qFormat/>
    <w:uiPriority w:val="0"/>
    <w:pPr>
      <w:numPr>
        <w:ilvl w:val="4"/>
      </w:numPr>
      <w:outlineLvl w:val="4"/>
    </w:pPr>
    <w:rPr>
      <w:sz w:val="22"/>
      <w:szCs w:val="22"/>
    </w:rPr>
  </w:style>
  <w:style w:type="paragraph" w:styleId="7">
    <w:name w:val="heading 6"/>
    <w:basedOn w:val="1"/>
    <w:next w:val="1"/>
    <w:link w:val="64"/>
    <w:qFormat/>
    <w:uiPriority w:val="0"/>
    <w:pPr>
      <w:keepNext/>
      <w:keepLines/>
      <w:numPr>
        <w:ilvl w:val="5"/>
        <w:numId w:val="1"/>
      </w:numPr>
      <w:spacing w:before="120"/>
      <w:outlineLvl w:val="5"/>
    </w:pPr>
    <w:rPr>
      <w:rFonts w:cs="Arial"/>
    </w:rPr>
  </w:style>
  <w:style w:type="paragraph" w:styleId="8">
    <w:name w:val="heading 7"/>
    <w:basedOn w:val="1"/>
    <w:next w:val="1"/>
    <w:link w:val="65"/>
    <w:qFormat/>
    <w:uiPriority w:val="0"/>
    <w:pPr>
      <w:keepNext/>
      <w:keepLines/>
      <w:numPr>
        <w:ilvl w:val="6"/>
        <w:numId w:val="1"/>
      </w:numPr>
      <w:spacing w:before="120"/>
      <w:outlineLvl w:val="6"/>
    </w:pPr>
    <w:rPr>
      <w:rFonts w:cs="Arial"/>
    </w:rPr>
  </w:style>
  <w:style w:type="paragraph" w:styleId="9">
    <w:name w:val="heading 8"/>
    <w:basedOn w:val="8"/>
    <w:next w:val="1"/>
    <w:link w:val="66"/>
    <w:qFormat/>
    <w:uiPriority w:val="0"/>
    <w:pPr>
      <w:numPr>
        <w:ilvl w:val="7"/>
      </w:numPr>
      <w:outlineLvl w:val="7"/>
    </w:pPr>
  </w:style>
  <w:style w:type="paragraph" w:styleId="10">
    <w:name w:val="heading 9"/>
    <w:basedOn w:val="9"/>
    <w:next w:val="1"/>
    <w:link w:val="67"/>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223"/>
    <w:qFormat/>
    <w:uiPriority w:val="0"/>
  </w:style>
  <w:style w:type="paragraph" w:styleId="15">
    <w:name w:val="caption"/>
    <w:basedOn w:val="1"/>
    <w:next w:val="1"/>
    <w:qFormat/>
    <w:uiPriority w:val="0"/>
    <w:pPr>
      <w:spacing w:after="240"/>
      <w:jc w:val="center"/>
    </w:pPr>
    <w:rPr>
      <w:b/>
      <w:bCs/>
    </w:rPr>
  </w:style>
  <w:style w:type="character" w:styleId="16">
    <w:name w:val="annotation reference"/>
    <w:qFormat/>
    <w:uiPriority w:val="0"/>
    <w:rPr>
      <w:sz w:val="16"/>
      <w:szCs w:val="16"/>
    </w:rPr>
  </w:style>
  <w:style w:type="paragraph" w:styleId="17">
    <w:name w:val="annotation text"/>
    <w:basedOn w:val="1"/>
    <w:link w:val="273"/>
    <w:qFormat/>
    <w:uiPriority w:val="0"/>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Emphasis"/>
    <w:qFormat/>
    <w:uiPriority w:val="0"/>
    <w:rPr>
      <w:i/>
      <w:iCs/>
    </w:rPr>
  </w:style>
  <w:style w:type="character" w:styleId="21">
    <w:name w:val="endnote reference"/>
    <w:basedOn w:val="11"/>
    <w:semiHidden/>
    <w:unhideWhenUsed/>
    <w:qFormat/>
    <w:uiPriority w:val="99"/>
    <w:rPr>
      <w:vertAlign w:val="superscript"/>
    </w:rPr>
  </w:style>
  <w:style w:type="paragraph" w:styleId="22">
    <w:name w:val="endnote text"/>
    <w:basedOn w:val="1"/>
    <w:link w:val="204"/>
    <w:semiHidden/>
    <w:unhideWhenUsed/>
    <w:qFormat/>
    <w:uiPriority w:val="99"/>
    <w:pPr>
      <w:spacing w:after="0"/>
    </w:pPr>
  </w:style>
  <w:style w:type="character" w:styleId="23">
    <w:name w:val="FollowedHyperlink"/>
    <w:semiHidden/>
    <w:qFormat/>
    <w:uiPriority w:val="0"/>
    <w:rPr>
      <w:color w:val="FF0000"/>
      <w:u w:val="single"/>
    </w:rPr>
  </w:style>
  <w:style w:type="paragraph" w:styleId="24">
    <w:name w:val="footer"/>
    <w:basedOn w:val="25"/>
    <w:link w:val="206"/>
    <w:qFormat/>
    <w:uiPriority w:val="99"/>
    <w:pPr>
      <w:jc w:val="center"/>
    </w:pPr>
    <w:rPr>
      <w:i/>
      <w:iCs/>
    </w:rPr>
  </w:style>
  <w:style w:type="paragraph" w:styleId="25">
    <w:name w:val="header"/>
    <w:link w:val="241"/>
    <w:qFormat/>
    <w:uiPriority w:val="0"/>
    <w:pPr>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b/>
      <w:bCs/>
      <w:sz w:val="18"/>
      <w:szCs w:val="18"/>
      <w:lang w:val="en-US" w:eastAsia="zh-CN" w:bidi="ar-SA"/>
    </w:rPr>
  </w:style>
  <w:style w:type="character" w:styleId="26">
    <w:name w:val="footnote reference"/>
    <w:semiHidden/>
    <w:qFormat/>
    <w:uiPriority w:val="0"/>
    <w:rPr>
      <w:b/>
      <w:bCs/>
      <w:position w:val="6"/>
      <w:sz w:val="16"/>
      <w:szCs w:val="16"/>
    </w:rPr>
  </w:style>
  <w:style w:type="paragraph" w:styleId="27">
    <w:name w:val="footnote text"/>
    <w:basedOn w:val="1"/>
    <w:link w:val="203"/>
    <w:semiHidden/>
    <w:qFormat/>
    <w:uiPriority w:val="0"/>
    <w:pPr>
      <w:keepLines/>
      <w:spacing w:after="0"/>
      <w:ind w:left="454" w:hanging="454"/>
    </w:pPr>
    <w:rPr>
      <w:sz w:val="16"/>
      <w:szCs w:val="16"/>
    </w:rPr>
  </w:style>
  <w:style w:type="character" w:styleId="28">
    <w:name w:val="Hyperlink"/>
    <w:qFormat/>
    <w:uiPriority w:val="99"/>
    <w:rPr>
      <w:color w:val="0000FF"/>
      <w:u w:val="single"/>
      <w:lang w:val="en-GB"/>
    </w:rPr>
  </w:style>
  <w:style w:type="paragraph" w:styleId="29">
    <w:name w:val="index 1"/>
    <w:basedOn w:val="1"/>
    <w:semiHidden/>
    <w:qFormat/>
    <w:uiPriority w:val="0"/>
    <w:pPr>
      <w:keepLines/>
      <w:spacing w:after="0"/>
    </w:pPr>
  </w:style>
  <w:style w:type="paragraph" w:styleId="30">
    <w:name w:val="index 2"/>
    <w:basedOn w:val="29"/>
    <w:semiHidden/>
    <w:qFormat/>
    <w:uiPriority w:val="0"/>
    <w:pPr>
      <w:ind w:left="284"/>
    </w:pPr>
  </w:style>
  <w:style w:type="paragraph" w:styleId="31">
    <w:name w:val="List"/>
    <w:basedOn w:val="1"/>
    <w:qFormat/>
    <w:uiPriority w:val="0"/>
    <w:pPr>
      <w:ind w:left="568" w:hanging="284"/>
    </w:pPr>
  </w:style>
  <w:style w:type="paragraph" w:styleId="32">
    <w:name w:val="List 2"/>
    <w:basedOn w:val="31"/>
    <w:qFormat/>
    <w:uiPriority w:val="0"/>
    <w:pPr>
      <w:ind w:left="851"/>
    </w:pPr>
  </w:style>
  <w:style w:type="paragraph" w:styleId="33">
    <w:name w:val="List 3"/>
    <w:basedOn w:val="32"/>
    <w:qFormat/>
    <w:uiPriority w:val="0"/>
    <w:pPr>
      <w:ind w:left="1135"/>
    </w:pPr>
  </w:style>
  <w:style w:type="paragraph" w:styleId="34">
    <w:name w:val="List 4"/>
    <w:basedOn w:val="33"/>
    <w:qFormat/>
    <w:uiPriority w:val="0"/>
    <w:pPr>
      <w:ind w:left="1418"/>
    </w:pPr>
  </w:style>
  <w:style w:type="paragraph" w:styleId="35">
    <w:name w:val="List 5"/>
    <w:basedOn w:val="34"/>
    <w:qFormat/>
    <w:uiPriority w:val="0"/>
    <w:pPr>
      <w:ind w:left="1702"/>
    </w:pPr>
  </w:style>
  <w:style w:type="paragraph" w:styleId="36">
    <w:name w:val="List Bullet"/>
    <w:basedOn w:val="14"/>
    <w:qFormat/>
    <w:uiPriority w:val="0"/>
    <w:pPr>
      <w:numPr>
        <w:ilvl w:val="0"/>
        <w:numId w:val="2"/>
      </w:numPr>
    </w:pPr>
  </w:style>
  <w:style w:type="paragraph" w:styleId="37">
    <w:name w:val="List Bullet 2"/>
    <w:basedOn w:val="36"/>
    <w:qFormat/>
    <w:uiPriority w:val="0"/>
    <w:pPr>
      <w:numPr>
        <w:ilvl w:val="0"/>
        <w:numId w:val="3"/>
      </w:numPr>
    </w:pPr>
  </w:style>
  <w:style w:type="paragraph" w:styleId="38">
    <w:name w:val="List Bullet 3"/>
    <w:basedOn w:val="37"/>
    <w:qFormat/>
    <w:uiPriority w:val="0"/>
    <w:pPr>
      <w:numPr>
        <w:numId w:val="4"/>
      </w:numPr>
      <w:tabs>
        <w:tab w:val="left" w:pos="1077"/>
      </w:tabs>
    </w:pPr>
  </w:style>
  <w:style w:type="paragraph" w:styleId="39">
    <w:name w:val="List Bullet 4"/>
    <w:basedOn w:val="38"/>
    <w:qFormat/>
    <w:uiPriority w:val="0"/>
    <w:pPr>
      <w:numPr>
        <w:numId w:val="5"/>
      </w:numPr>
      <w:tabs>
        <w:tab w:val="left" w:pos="1361"/>
      </w:tabs>
    </w:pPr>
  </w:style>
  <w:style w:type="paragraph" w:styleId="40">
    <w:name w:val="List Bullet 5"/>
    <w:basedOn w:val="39"/>
    <w:qFormat/>
    <w:uiPriority w:val="0"/>
    <w:pPr>
      <w:numPr>
        <w:numId w:val="6"/>
      </w:numPr>
      <w:tabs>
        <w:tab w:val="left" w:pos="1644"/>
      </w:tabs>
    </w:pPr>
  </w:style>
  <w:style w:type="paragraph" w:styleId="41">
    <w:name w:val="List Number"/>
    <w:basedOn w:val="31"/>
    <w:qFormat/>
    <w:uiPriority w:val="0"/>
  </w:style>
  <w:style w:type="paragraph" w:styleId="42">
    <w:name w:val="List Number 2"/>
    <w:basedOn w:val="41"/>
    <w:qFormat/>
    <w:uiPriority w:val="0"/>
    <w:pPr>
      <w:ind w:left="851"/>
    </w:pPr>
  </w:style>
  <w:style w:type="paragraph" w:styleId="43">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character" w:styleId="44">
    <w:name w:val="page number"/>
    <w:basedOn w:val="11"/>
    <w:semiHidden/>
    <w:qFormat/>
    <w:uiPriority w:val="0"/>
  </w:style>
  <w:style w:type="character" w:styleId="45">
    <w:name w:val="Strong"/>
    <w:basedOn w:val="11"/>
    <w:qFormat/>
    <w:uiPriority w:val="22"/>
    <w:rPr>
      <w:b/>
      <w:bCs/>
    </w:rPr>
  </w:style>
  <w:style w:type="paragraph" w:styleId="46">
    <w:name w:val="Subtitle"/>
    <w:basedOn w:val="1"/>
    <w:next w:val="1"/>
    <w:link w:val="70"/>
    <w:qFormat/>
    <w:uiPriority w:val="11"/>
    <w:pPr>
      <w:spacing w:before="200" w:after="200"/>
    </w:pPr>
    <w:rPr>
      <w:sz w:val="24"/>
      <w:szCs w:val="24"/>
    </w:rPr>
  </w:style>
  <w:style w:type="table" w:styleId="47">
    <w:name w:val="Table Grid"/>
    <w:basedOn w:val="1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48">
    <w:name w:val="table of figures"/>
    <w:basedOn w:val="1"/>
    <w:next w:val="1"/>
    <w:qFormat/>
    <w:uiPriority w:val="99"/>
    <w:pPr>
      <w:ind w:left="1418" w:hanging="1418"/>
      <w:jc w:val="left"/>
    </w:pPr>
    <w:rPr>
      <w:b/>
    </w:rPr>
  </w:style>
  <w:style w:type="paragraph" w:styleId="49">
    <w:name w:val="Title"/>
    <w:basedOn w:val="1"/>
    <w:next w:val="1"/>
    <w:link w:val="69"/>
    <w:qFormat/>
    <w:uiPriority w:val="10"/>
    <w:pPr>
      <w:spacing w:before="300" w:after="200"/>
      <w:contextualSpacing/>
    </w:pPr>
    <w:rPr>
      <w:sz w:val="48"/>
      <w:szCs w:val="48"/>
    </w:rPr>
  </w:style>
  <w:style w:type="paragraph" w:styleId="50">
    <w:name w:val="toc 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ind w:left="1701" w:hanging="1701"/>
    </w:pPr>
    <w:rPr>
      <w:rFonts w:ascii="Arial" w:hAnsi="Arial" w:eastAsia="宋体" w:cs="Times New Roman"/>
      <w:b/>
      <w:sz w:val="22"/>
      <w:szCs w:val="22"/>
      <w:lang w:val="en-US" w:eastAsia="zh-CN" w:bidi="ar-SA"/>
    </w:rPr>
  </w:style>
  <w:style w:type="paragraph" w:styleId="51">
    <w:name w:val="toc 2"/>
    <w:basedOn w:val="50"/>
    <w:semiHidden/>
    <w:qFormat/>
    <w:uiPriority w:val="0"/>
    <w:pPr>
      <w:keepNext w:val="0"/>
      <w:spacing w:before="0"/>
      <w:ind w:left="851" w:hanging="851"/>
    </w:pPr>
    <w:rPr>
      <w:sz w:val="20"/>
      <w:szCs w:val="20"/>
    </w:rPr>
  </w:style>
  <w:style w:type="paragraph" w:styleId="52">
    <w:name w:val="toc 3"/>
    <w:basedOn w:val="51"/>
    <w:semiHidden/>
    <w:qFormat/>
    <w:uiPriority w:val="0"/>
    <w:pPr>
      <w:ind w:left="1134" w:hanging="1134"/>
    </w:pPr>
  </w:style>
  <w:style w:type="paragraph" w:styleId="53">
    <w:name w:val="toc 4"/>
    <w:basedOn w:val="52"/>
    <w:semiHidden/>
    <w:qFormat/>
    <w:uiPriority w:val="0"/>
    <w:pPr>
      <w:ind w:left="1418" w:hanging="1418"/>
    </w:pPr>
  </w:style>
  <w:style w:type="paragraph" w:styleId="54">
    <w:name w:val="toc 5"/>
    <w:basedOn w:val="53"/>
    <w:semiHidden/>
    <w:qFormat/>
    <w:uiPriority w:val="0"/>
    <w:pPr>
      <w:tabs>
        <w:tab w:val="right" w:pos="1701"/>
      </w:tabs>
      <w:ind w:left="1701" w:hanging="1701"/>
    </w:pPr>
  </w:style>
  <w:style w:type="paragraph" w:styleId="55">
    <w:name w:val="toc 6"/>
    <w:basedOn w:val="54"/>
    <w:next w:val="1"/>
    <w:semiHidden/>
    <w:qFormat/>
    <w:uiPriority w:val="0"/>
    <w:pPr>
      <w:ind w:left="1985" w:hanging="1985"/>
    </w:pPr>
  </w:style>
  <w:style w:type="paragraph" w:styleId="56">
    <w:name w:val="toc 7"/>
    <w:basedOn w:val="55"/>
    <w:next w:val="1"/>
    <w:semiHidden/>
    <w:qFormat/>
    <w:uiPriority w:val="0"/>
    <w:pPr>
      <w:ind w:left="2268" w:hanging="2268"/>
    </w:pPr>
  </w:style>
  <w:style w:type="paragraph" w:styleId="57">
    <w:name w:val="toc 8"/>
    <w:basedOn w:val="50"/>
    <w:semiHidden/>
    <w:qFormat/>
    <w:uiPriority w:val="0"/>
    <w:pPr>
      <w:spacing w:before="180"/>
      <w:ind w:left="2693" w:hanging="2693"/>
    </w:pPr>
    <w:rPr>
      <w:b w:val="0"/>
      <w:bCs/>
    </w:rPr>
  </w:style>
  <w:style w:type="paragraph" w:styleId="58">
    <w:name w:val="toc 9"/>
    <w:basedOn w:val="57"/>
    <w:semiHidden/>
    <w:qFormat/>
    <w:uiPriority w:val="0"/>
    <w:pPr>
      <w:ind w:left="1418" w:hanging="1418"/>
    </w:pPr>
  </w:style>
  <w:style w:type="character" w:customStyle="1" w:styleId="59">
    <w:name w:val="Heading 1 Char"/>
    <w:basedOn w:val="11"/>
    <w:qFormat/>
    <w:uiPriority w:val="9"/>
    <w:rPr>
      <w:rFonts w:ascii="Arial" w:hAnsi="Arial" w:eastAsia="Arial" w:cs="Arial"/>
      <w:sz w:val="40"/>
      <w:szCs w:val="40"/>
    </w:rPr>
  </w:style>
  <w:style w:type="character" w:customStyle="1" w:styleId="60">
    <w:name w:val="Heading 2 Char"/>
    <w:basedOn w:val="11"/>
    <w:qFormat/>
    <w:uiPriority w:val="9"/>
    <w:rPr>
      <w:rFonts w:ascii="Arial" w:hAnsi="Arial" w:eastAsia="Arial" w:cs="Arial"/>
      <w:sz w:val="34"/>
    </w:rPr>
  </w:style>
  <w:style w:type="character" w:customStyle="1" w:styleId="61">
    <w:name w:val="Heading 3 Char"/>
    <w:basedOn w:val="11"/>
    <w:qFormat/>
    <w:uiPriority w:val="9"/>
    <w:rPr>
      <w:rFonts w:ascii="Arial" w:hAnsi="Arial" w:eastAsia="Arial" w:cs="Arial"/>
      <w:sz w:val="30"/>
      <w:szCs w:val="30"/>
    </w:rPr>
  </w:style>
  <w:style w:type="character" w:customStyle="1" w:styleId="62">
    <w:name w:val="标题 4 字符"/>
    <w:basedOn w:val="11"/>
    <w:link w:val="5"/>
    <w:qFormat/>
    <w:uiPriority w:val="0"/>
    <w:rPr>
      <w:rFonts w:ascii="Arial" w:hAnsi="Arial"/>
      <w:sz w:val="24"/>
      <w:szCs w:val="24"/>
      <w:lang w:val="en-GB"/>
    </w:rPr>
  </w:style>
  <w:style w:type="character" w:customStyle="1" w:styleId="63">
    <w:name w:val="标题 5 字符"/>
    <w:basedOn w:val="11"/>
    <w:link w:val="6"/>
    <w:qFormat/>
    <w:uiPriority w:val="0"/>
    <w:rPr>
      <w:rFonts w:ascii="Arial" w:hAnsi="Arial"/>
      <w:sz w:val="22"/>
      <w:lang w:val="en-GB"/>
    </w:rPr>
  </w:style>
  <w:style w:type="character" w:customStyle="1" w:styleId="64">
    <w:name w:val="标题 6 字符"/>
    <w:basedOn w:val="11"/>
    <w:link w:val="7"/>
    <w:qFormat/>
    <w:uiPriority w:val="0"/>
    <w:rPr>
      <w:rFonts w:ascii="Arial" w:hAnsi="Arial" w:cs="Arial"/>
      <w:lang w:val="en-GB"/>
    </w:rPr>
  </w:style>
  <w:style w:type="character" w:customStyle="1" w:styleId="65">
    <w:name w:val="标题 7 字符"/>
    <w:basedOn w:val="11"/>
    <w:link w:val="8"/>
    <w:qFormat/>
    <w:uiPriority w:val="0"/>
    <w:rPr>
      <w:rFonts w:ascii="Arial" w:hAnsi="Arial" w:cs="Arial"/>
      <w:lang w:val="en-GB"/>
    </w:rPr>
  </w:style>
  <w:style w:type="character" w:customStyle="1" w:styleId="66">
    <w:name w:val="标题 8 字符"/>
    <w:basedOn w:val="11"/>
    <w:link w:val="9"/>
    <w:qFormat/>
    <w:uiPriority w:val="0"/>
    <w:rPr>
      <w:rFonts w:ascii="Arial" w:hAnsi="Arial" w:cs="Arial"/>
      <w:lang w:val="en-GB"/>
    </w:rPr>
  </w:style>
  <w:style w:type="character" w:customStyle="1" w:styleId="67">
    <w:name w:val="标题 9 字符"/>
    <w:basedOn w:val="11"/>
    <w:link w:val="10"/>
    <w:qFormat/>
    <w:uiPriority w:val="0"/>
    <w:rPr>
      <w:rFonts w:ascii="Arial" w:hAnsi="Arial" w:cs="Arial"/>
      <w:lang w:val="en-GB"/>
    </w:rPr>
  </w:style>
  <w:style w:type="paragraph" w:styleId="68">
    <w:name w:val="No Spacing"/>
    <w:qFormat/>
    <w:uiPriority w:val="1"/>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69">
    <w:name w:val="标题 字符"/>
    <w:basedOn w:val="11"/>
    <w:link w:val="49"/>
    <w:qFormat/>
    <w:uiPriority w:val="10"/>
    <w:rPr>
      <w:sz w:val="48"/>
      <w:szCs w:val="48"/>
    </w:rPr>
  </w:style>
  <w:style w:type="character" w:customStyle="1" w:styleId="70">
    <w:name w:val="副标题 字符"/>
    <w:basedOn w:val="11"/>
    <w:link w:val="46"/>
    <w:qFormat/>
    <w:uiPriority w:val="11"/>
    <w:rPr>
      <w:sz w:val="24"/>
      <w:szCs w:val="24"/>
    </w:rPr>
  </w:style>
  <w:style w:type="paragraph" w:styleId="71">
    <w:name w:val="Quote"/>
    <w:basedOn w:val="1"/>
    <w:next w:val="1"/>
    <w:link w:val="72"/>
    <w:qFormat/>
    <w:uiPriority w:val="29"/>
    <w:pPr>
      <w:ind w:left="720" w:right="720"/>
    </w:pPr>
    <w:rPr>
      <w:i/>
    </w:rPr>
  </w:style>
  <w:style w:type="character" w:customStyle="1" w:styleId="72">
    <w:name w:val="引用 字符"/>
    <w:link w:val="71"/>
    <w:qFormat/>
    <w:uiPriority w:val="29"/>
    <w:rPr>
      <w:i/>
    </w:rPr>
  </w:style>
  <w:style w:type="paragraph" w:styleId="73">
    <w:name w:val="Intense Quote"/>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11"/>
    <w:qFormat/>
    <w:uiPriority w:val="99"/>
  </w:style>
  <w:style w:type="character" w:customStyle="1" w:styleId="76">
    <w:name w:val="Footer Char"/>
    <w:basedOn w:val="11"/>
    <w:qFormat/>
    <w:uiPriority w:val="99"/>
  </w:style>
  <w:style w:type="character" w:customStyle="1" w:styleId="77">
    <w:name w:val="Caption Char"/>
    <w:qFormat/>
    <w:uiPriority w:val="99"/>
  </w:style>
  <w:style w:type="table" w:customStyle="1" w:styleId="78">
    <w:name w:val="Table Grid Light"/>
    <w:basedOn w:val="12"/>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79">
    <w:name w:val="无格式表格 11"/>
    <w:basedOn w:val="12"/>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auto" w:fill="F1F1F1" w:themeFill="text1" w:themeFillTint="0D"/>
      </w:tcPr>
    </w:tblStylePr>
    <w:tblStylePr w:type="band1Horz">
      <w:tcPr>
        <w:shd w:val="clear" w:color="auto" w:fill="F1F1F1" w:themeFill="text1" w:themeFillTint="0D"/>
      </w:tcPr>
    </w:tblStylePr>
  </w:style>
  <w:style w:type="table" w:customStyle="1" w:styleId="80">
    <w:name w:val="无格式表格 21"/>
    <w:basedOn w:val="12"/>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81">
    <w:name w:val="无格式表格 31"/>
    <w:basedOn w:val="12"/>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2">
    <w:name w:val="无格式表格 41"/>
    <w:basedOn w:val="12"/>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3">
    <w:name w:val="无格式表格 51"/>
    <w:basedOn w:val="12"/>
    <w:qFormat/>
    <w:uiPriority w:val="99"/>
    <w:tblStylePr w:type="firstRow">
      <w:rPr>
        <w:i/>
        <w:color w:val="404040"/>
      </w:rPr>
      <w:tcPr>
        <w:tcBorders>
          <w:left w:val="nil"/>
          <w:bottom w:val="single" w:color="404040" w:sz="4" w:space="0"/>
          <w:right w:val="nil"/>
        </w:tcBorders>
        <w:shd w:val="clear" w:color="auto" w:fill="FFFFFF"/>
      </w:tcPr>
    </w:tblStylePr>
    <w:tblStylePr w:type="lastRow">
      <w:rPr>
        <w:i/>
        <w:color w:val="404040"/>
      </w:rPr>
      <w:tcPr>
        <w:tcBorders>
          <w:top w:val="single" w:color="404040" w:sz="4" w:space="0"/>
          <w:left w:val="nil"/>
          <w:right w:val="nil"/>
        </w:tcBorders>
        <w:shd w:val="clear" w:color="auto" w:fill="FFFFFF"/>
      </w:tcPr>
    </w:tblStylePr>
    <w:tblStylePr w:type="firstCol">
      <w:pPr>
        <w:jc w:val="right"/>
      </w:pPr>
      <w:rPr>
        <w:i/>
        <w:color w:val="404040"/>
      </w:rPr>
      <w:tcPr>
        <w:tcBorders>
          <w:right w:val="single" w:color="404040" w:sz="4" w:space="0"/>
        </w:tcBorders>
        <w:shd w:val="clear" w:color="auto" w:fill="FFFFFF"/>
      </w:tcPr>
    </w:tblStylePr>
    <w:tblStylePr w:type="lastCol">
      <w:rPr>
        <w:i/>
        <w:color w:val="404040"/>
      </w:rPr>
      <w:tcPr>
        <w:tcBorders>
          <w:left w:val="single" w:color="404040" w:sz="4" w:space="0"/>
        </w:tcBorders>
        <w:shd w:val="clear" w:color="auto" w:fill="FFFFFF"/>
      </w:tc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4">
    <w:name w:val="网格表 1 浅色1"/>
    <w:basedOn w:val="12"/>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12"/>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b/>
        <w:color w:val="404040"/>
      </w:r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12"/>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12"/>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12"/>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12"/>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color w:val="404040"/>
      </w:r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12"/>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网格表 21"/>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auto" w:fill="FFFFFF"/>
      </w:tcPr>
    </w:tblStylePr>
    <w:tblStylePr w:type="lastRow">
      <w:rPr>
        <w:b/>
        <w:color w:val="404040"/>
      </w:r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2">
    <w:name w:val="Grid Table 2 - Accent 1"/>
    <w:basedOn w:val="12"/>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single" w:color="537DC8" w:themeColor="accent1" w:themeTint="EA" w:sz="12" w:space="0"/>
          <w:right w:val="nil"/>
        </w:tcBorders>
        <w:shd w:val="clear" w:color="auto" w:fill="FFFFFF"/>
      </w:tcPr>
    </w:tblStylePr>
    <w:tblStylePr w:type="lastRow">
      <w:rPr>
        <w:b/>
        <w:color w:val="404040"/>
      </w:r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93">
    <w:name w:val="Grid Table 2 - Accent 2"/>
    <w:basedOn w:val="12"/>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auto" w:fill="FFFFFF"/>
      </w:tcPr>
    </w:tblStylePr>
    <w:tblStylePr w:type="lastRow">
      <w:rPr>
        <w:b/>
        <w:color w:val="404040"/>
      </w:r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94">
    <w:name w:val="Grid Table 2 - Accent 3"/>
    <w:basedOn w:val="12"/>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auto" w:fill="FFFFFF"/>
      </w:tcPr>
    </w:tblStylePr>
    <w:tblStylePr w:type="lastRow">
      <w:rPr>
        <w:b/>
        <w:color w:val="404040"/>
      </w:r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95">
    <w:name w:val="Grid Table 2 - Accent 4"/>
    <w:basedOn w:val="12"/>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auto" w:fill="FFFFFF"/>
      </w:tcPr>
    </w:tblStylePr>
    <w:tblStylePr w:type="lastRow">
      <w:rPr>
        <w:b/>
        <w:color w:val="404040"/>
      </w:r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96">
    <w:name w:val="Grid Table 2 - Accent 5"/>
    <w:basedOn w:val="12"/>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single" w:color="5B9BD5" w:themeColor="accent5" w:sz="12" w:space="0"/>
          <w:right w:val="nil"/>
        </w:tcBorders>
        <w:shd w:val="clear" w:color="auto" w:fill="FFFFFF"/>
      </w:tcPr>
    </w:tblStylePr>
    <w:tblStylePr w:type="lastRow">
      <w:rPr>
        <w:b/>
        <w:color w:val="404040"/>
      </w:r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97">
    <w:name w:val="Grid Table 2 - Accent 6"/>
    <w:basedOn w:val="12"/>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auto" w:fill="FFFFFF"/>
      </w:tcPr>
    </w:tblStylePr>
    <w:tblStylePr w:type="lastRow">
      <w:rPr>
        <w:b/>
        <w:color w:val="404040"/>
      </w:r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98">
    <w:name w:val="网格表 31"/>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9">
    <w:name w:val="Grid Table 3 - Accent 1"/>
    <w:basedOn w:val="12"/>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100">
    <w:name w:val="Grid Table 3 - Accent 2"/>
    <w:basedOn w:val="12"/>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1">
    <w:name w:val="Grid Table 3 - Accent 3"/>
    <w:basedOn w:val="12"/>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2">
    <w:name w:val="Grid Table 3 - Accent 4"/>
    <w:basedOn w:val="12"/>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03">
    <w:name w:val="Grid Table 3 - Accent 5"/>
    <w:basedOn w:val="12"/>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04">
    <w:name w:val="Grid Table 3 - Accent 6"/>
    <w:basedOn w:val="12"/>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05">
    <w:name w:val="网格表 41"/>
    <w:basedOn w:val="12"/>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106">
    <w:name w:val="Grid Table 4 - Accent 1"/>
    <w:basedOn w:val="12"/>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rFonts w:ascii="Arial" w:hAnsi="Arial"/>
        <w:b/>
        <w:color w:val="FFFFFF"/>
        <w:sz w:val="22"/>
      </w:r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3F3" w:themeFill="accent1" w:themeFillTint="32"/>
      </w:tcPr>
    </w:tblStylePr>
    <w:tblStylePr w:type="band1Horz">
      <w:rPr>
        <w:rFonts w:ascii="Arial" w:hAnsi="Arial"/>
        <w:color w:val="404040"/>
        <w:sz w:val="22"/>
      </w:rPr>
      <w:tcPr>
        <w:shd w:val="clear" w:color="auto" w:fill="DAE3F3" w:themeFill="accent1" w:themeFillTint="32"/>
      </w:tcPr>
    </w:tblStylePr>
  </w:style>
  <w:style w:type="table" w:customStyle="1" w:styleId="107">
    <w:name w:val="Grid Table 4 - Accent 2"/>
    <w:basedOn w:val="12"/>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8">
    <w:name w:val="Grid Table 4 - Accent 3"/>
    <w:basedOn w:val="12"/>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9">
    <w:name w:val="Grid Table 4 - Accent 4"/>
    <w:basedOn w:val="12"/>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10">
    <w:name w:val="Grid Table 4 - Accent 5"/>
    <w:basedOn w:val="12"/>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FFFFFF"/>
        <w:sz w:val="22"/>
      </w:r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11">
    <w:name w:val="Grid Table 4 - Accent 6"/>
    <w:basedOn w:val="12"/>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12">
    <w:name w:val="网格表 5 深色1"/>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000000" w:themeFill="text1"/>
      </w:tcPr>
    </w:tblStylePr>
    <w:tblStylePr w:type="lastRow">
      <w:rPr>
        <w:rFonts w:ascii="Arial" w:hAnsi="Arial"/>
        <w:b/>
        <w:color w:val="FFFFFF"/>
        <w:sz w:val="22"/>
      </w:rPr>
      <w:tcPr>
        <w:tcBorders>
          <w:top w:val="single" w:color="FFFFFF" w:themeColor="light1" w:sz="4" w:space="0"/>
        </w:tcBorders>
        <w:shd w:val="clear" w:color="auto" w:fill="000000" w:themeFill="text1"/>
      </w:tcPr>
    </w:tblStylePr>
    <w:tblStylePr w:type="firstCol">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band1Vert">
      <w:tcPr>
        <w:shd w:val="clear" w:color="auto" w:fill="898989" w:themeFill="text1" w:themeFillTint="75"/>
      </w:tcPr>
    </w:tblStylePr>
    <w:tblStylePr w:type="band1Horz">
      <w:tcPr>
        <w:shd w:val="clear" w:color="auto" w:fill="898989" w:themeFill="text1" w:themeFillTint="75"/>
      </w:tcPr>
    </w:tblStylePr>
  </w:style>
  <w:style w:type="table" w:customStyle="1" w:styleId="113">
    <w:name w:val="Grid Table 5 Dark- Accent 1"/>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472C4" w:themeFill="accent1"/>
      </w:tcPr>
    </w:tblStylePr>
    <w:tblStylePr w:type="lastRow">
      <w:rPr>
        <w:rFonts w:ascii="Arial" w:hAnsi="Arial"/>
        <w:b/>
        <w:color w:val="FFFFFF"/>
        <w:sz w:val="22"/>
      </w:rPr>
      <w:tcPr>
        <w:tcBorders>
          <w:top w:val="single" w:color="FFFFFF" w:themeColor="light1" w:sz="4" w:space="0"/>
        </w:tcBorders>
        <w:shd w:val="clear" w:color="auto" w:fill="4472C4" w:themeFill="accent1"/>
      </w:tcPr>
    </w:tblStylePr>
    <w:tblStylePr w:type="firstCol">
      <w:rPr>
        <w:rFonts w:ascii="Arial" w:hAnsi="Arial"/>
        <w:b/>
        <w:color w:val="FFFFFF"/>
        <w:sz w:val="22"/>
      </w:rPr>
      <w:tcPr>
        <w:shd w:val="clear" w:color="auto" w:fill="4472C4" w:themeFill="accent1"/>
      </w:tcPr>
    </w:tblStylePr>
    <w:tblStylePr w:type="lastCol">
      <w:rPr>
        <w:rFonts w:ascii="Arial" w:hAnsi="Arial"/>
        <w:b/>
        <w:color w:val="FFFFFF"/>
        <w:sz w:val="22"/>
      </w:rPr>
      <w:tcPr>
        <w:shd w:val="clear" w:color="auto" w:fill="4472C4" w:themeFill="accent1"/>
      </w:tcPr>
    </w:tblStylePr>
    <w:tblStylePr w:type="band1Vert">
      <w:tcPr>
        <w:shd w:val="clear" w:color="auto" w:fill="A9BEE3" w:themeFill="accent1" w:themeFillTint="75"/>
      </w:tcPr>
    </w:tblStylePr>
    <w:tblStylePr w:type="band1Horz">
      <w:tcPr>
        <w:shd w:val="clear" w:color="auto" w:fill="A9BEE3" w:themeFill="accent1" w:themeFillTint="75"/>
      </w:tcPr>
    </w:tblStylePr>
  </w:style>
  <w:style w:type="table" w:customStyle="1" w:styleId="114">
    <w:name w:val="Grid Table 5 Dark - Accent 2"/>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ED7D31" w:themeFill="accent2"/>
      </w:tcPr>
    </w:tblStylePr>
    <w:tblStylePr w:type="lastRow">
      <w:rPr>
        <w:rFonts w:ascii="Arial" w:hAnsi="Arial"/>
        <w:b/>
        <w:color w:val="FFFFFF"/>
        <w:sz w:val="22"/>
      </w:rPr>
      <w:tcPr>
        <w:tcBorders>
          <w:top w:val="single" w:color="FFFFFF" w:themeColor="light1" w:sz="4" w:space="0"/>
        </w:tcBorders>
        <w:shd w:val="clear" w:color="auto" w:fill="ED7D31" w:themeFill="accent2"/>
      </w:tcPr>
    </w:tblStylePr>
    <w:tblStylePr w:type="firstCol">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band1Vert">
      <w:tcPr>
        <w:shd w:val="clear" w:color="auto" w:fill="F6C3A0" w:themeFill="accent2" w:themeFillTint="75"/>
      </w:tcPr>
    </w:tblStylePr>
    <w:tblStylePr w:type="band1Horz">
      <w:tcPr>
        <w:shd w:val="clear" w:color="auto" w:fill="F6C3A0" w:themeFill="accent2" w:themeFillTint="75"/>
      </w:tcPr>
    </w:tblStylePr>
  </w:style>
  <w:style w:type="table" w:customStyle="1" w:styleId="115">
    <w:name w:val="Grid Table 5 Dark - Accent 3"/>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A5A5A5" w:themeFill="accent3"/>
      </w:tcPr>
    </w:tblStylePr>
    <w:tblStylePr w:type="lastRow">
      <w:rPr>
        <w:rFonts w:ascii="Arial" w:hAnsi="Arial"/>
        <w:b/>
        <w:color w:val="FFFFFF"/>
        <w:sz w:val="22"/>
      </w:rPr>
      <w:tcPr>
        <w:tcBorders>
          <w:top w:val="single" w:color="FFFFFF" w:themeColor="light1" w:sz="4" w:space="0"/>
        </w:tcBorders>
        <w:shd w:val="clear" w:color="auto" w:fill="A5A5A5" w:themeFill="accent3"/>
      </w:tcPr>
    </w:tblStylePr>
    <w:tblStylePr w:type="firstCol">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band1Vert">
      <w:tcPr>
        <w:shd w:val="clear" w:color="auto" w:fill="D5D5D5" w:themeFill="accent3" w:themeFillTint="75"/>
      </w:tcPr>
    </w:tblStylePr>
    <w:tblStylePr w:type="band1Horz">
      <w:tcPr>
        <w:shd w:val="clear" w:color="auto" w:fill="D5D5D5" w:themeFill="accent3" w:themeFillTint="75"/>
      </w:tcPr>
    </w:tblStylePr>
  </w:style>
  <w:style w:type="table" w:customStyle="1" w:styleId="116">
    <w:name w:val="Grid Table 5 Dark- Accent 4"/>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FFC000" w:themeFill="accent4"/>
      </w:tcPr>
    </w:tblStylePr>
    <w:tblStylePr w:type="lastRow">
      <w:rPr>
        <w:rFonts w:ascii="Arial" w:hAnsi="Arial"/>
        <w:b/>
        <w:color w:val="FFFFFF"/>
        <w:sz w:val="22"/>
      </w:rPr>
      <w:tcPr>
        <w:tcBorders>
          <w:top w:val="single" w:color="FFFFFF" w:themeColor="light1" w:sz="4" w:space="0"/>
        </w:tcBorders>
        <w:shd w:val="clear" w:color="auto" w:fill="FFC000" w:themeFill="accent4"/>
      </w:tcPr>
    </w:tblStylePr>
    <w:tblStylePr w:type="firstCol">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band1Vert">
      <w:tcPr>
        <w:shd w:val="clear" w:color="auto" w:fill="FEE289" w:themeFill="accent4" w:themeFillTint="75"/>
      </w:tcPr>
    </w:tblStylePr>
    <w:tblStylePr w:type="band1Horz">
      <w:tcPr>
        <w:shd w:val="clear" w:color="auto" w:fill="FEE289" w:themeFill="accent4" w:themeFillTint="75"/>
      </w:tcPr>
    </w:tblStylePr>
  </w:style>
  <w:style w:type="table" w:customStyle="1" w:styleId="117">
    <w:name w:val="Grid Table 5 Dark - Accent 5"/>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5B9BD5" w:themeFill="accent5"/>
      </w:tcPr>
    </w:tblStylePr>
    <w:tblStylePr w:type="lastRow">
      <w:rPr>
        <w:rFonts w:ascii="Arial" w:hAnsi="Arial"/>
        <w:b/>
        <w:color w:val="FFFFFF"/>
        <w:sz w:val="22"/>
      </w:rPr>
      <w:tcPr>
        <w:tcBorders>
          <w:top w:val="single" w:color="FFFFFF" w:themeColor="light1" w:sz="4" w:space="0"/>
        </w:tcBorders>
        <w:shd w:val="clear" w:color="auto" w:fill="5B9BD5" w:themeFill="accent5"/>
      </w:tcPr>
    </w:tblStylePr>
    <w:tblStylePr w:type="firstCol">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band1Vert">
      <w:tcPr>
        <w:shd w:val="clear" w:color="auto" w:fill="B3D1EB" w:themeFill="accent5" w:themeFillTint="75"/>
      </w:tcPr>
    </w:tblStylePr>
    <w:tblStylePr w:type="band1Horz">
      <w:tcPr>
        <w:shd w:val="clear" w:color="auto" w:fill="B3D1EB" w:themeFill="accent5" w:themeFillTint="75"/>
      </w:tcPr>
    </w:tblStylePr>
  </w:style>
  <w:style w:type="table" w:customStyle="1" w:styleId="118">
    <w:name w:val="Grid Table 5 Dark - Accent 6"/>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70AD47" w:themeFill="accent6"/>
      </w:tcPr>
    </w:tblStylePr>
    <w:tblStylePr w:type="lastRow">
      <w:rPr>
        <w:rFonts w:ascii="Arial" w:hAnsi="Arial"/>
        <w:b/>
        <w:color w:val="FFFFFF"/>
        <w:sz w:val="22"/>
      </w:rPr>
      <w:tcPr>
        <w:tcBorders>
          <w:top w:val="single" w:color="FFFFFF" w:themeColor="light1" w:sz="4" w:space="0"/>
        </w:tcBorders>
        <w:shd w:val="clear" w:color="auto" w:fill="70AD47" w:themeFill="accent6"/>
      </w:tcPr>
    </w:tblStylePr>
    <w:tblStylePr w:type="firstCol">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band1Vert">
      <w:tcPr>
        <w:shd w:val="clear" w:color="auto" w:fill="BCDBA8" w:themeFill="accent6" w:themeFillTint="75"/>
      </w:tcPr>
    </w:tblStylePr>
    <w:tblStylePr w:type="band1Horz">
      <w:tcPr>
        <w:shd w:val="clear" w:color="auto" w:fill="BCDBA8" w:themeFill="accent6" w:themeFillTint="75"/>
      </w:tcPr>
    </w:tblStylePr>
  </w:style>
  <w:style w:type="table" w:customStyle="1" w:styleId="119">
    <w:name w:val="网格表 6 彩色1"/>
    <w:basedOn w:val="12"/>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12"/>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b/>
        <w:color w:val="A1B9E2" w:themeColor="accent1" w:themeTint="80"/>
        <w14:textFill>
          <w14:solidFill>
            <w14:schemeClr w14:val="accent1">
              <w14:lumMod w14:val="50000"/>
              <w14:lumOff w14:val="50000"/>
            </w14:schemeClr>
          </w14:solidFill>
        </w14:textFill>
      </w:r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12"/>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12"/>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14:textFill>
          <w14:solidFill>
            <w14:schemeClr w14:val="accent3"/>
          </w14:solidFill>
        </w14:textFill>
      </w:rPr>
      <w:tcPr>
        <w:tcBorders>
          <w:bottom w:val="single" w:color="A5A5A5" w:themeColor="accent3" w:themeTint="FE" w:sz="12" w:space="0"/>
        </w:tcBorders>
      </w:tcPr>
    </w:tblStylePr>
    <w:tblStylePr w:type="lastRow">
      <w:rPr>
        <w:b/>
        <w:color w:val="A5A5A5" w:themeColor="accent3"/>
        <w14:textFill>
          <w14:solidFill>
            <w14:schemeClr w14:val="accent3"/>
          </w14:solidFill>
        </w14:textFill>
      </w:rPr>
    </w:tblStylePr>
    <w:tblStylePr w:type="firstCol">
      <w:rPr>
        <w:b/>
        <w:color w:val="A5A5A5" w:themeColor="accent3"/>
        <w14:textFill>
          <w14:solidFill>
            <w14:schemeClr w14:val="accent3"/>
          </w14:solidFill>
        </w14:textFill>
      </w:rPr>
    </w:tblStylePr>
    <w:tblStylePr w:type="lastCol">
      <w:rPr>
        <w:b/>
        <w:color w:val="A5A5A5" w:themeColor="accent3"/>
        <w14:textFill>
          <w14:solidFill>
            <w14:schemeClr w14:val="accent3"/>
          </w14:solidFill>
        </w14:textFill>
      </w:rPr>
    </w:tblStylePr>
    <w:tblStylePr w:type="band1Vert">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23">
    <w:name w:val="Grid Table 6 Colorful - Accent 4"/>
    <w:basedOn w:val="12"/>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12"/>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B8C" w:themeColor="accent5" w:themeShade="94"/>
      </w:r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12"/>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B8C" w:themeColor="accent5" w:themeShade="94"/>
      </w:r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E1EFD8" w:themeFill="accent6" w:themeFillTint="34"/>
      </w:tcPr>
    </w:tblStylePr>
    <w:tblStylePr w:type="band1Horz">
      <w:rPr>
        <w:rFonts w:ascii="Arial" w:hAnsi="Arial"/>
        <w:color w:val="245B8C" w:themeColor="accent5" w:themeShade="94"/>
        <w:sz w:val="22"/>
      </w:r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网格表 7 彩色1"/>
    <w:basedOn w:val="12"/>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12"/>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rFonts w:ascii="Arial" w:hAnsi="Arial"/>
        <w:b/>
        <w:color w:val="A1B9E2" w:themeColor="accent1" w:themeTint="80"/>
        <w:sz w:val="22"/>
        <w14:textFill>
          <w14:solidFill>
            <w14:schemeClr w14:val="accent1">
              <w14:lumMod w14:val="50000"/>
              <w14:lumOff w14:val="50000"/>
            </w14:schemeClr>
          </w14:solidFill>
        </w14:textFill>
      </w:r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single" w:color="A1B8E1" w:themeColor="accent1" w:themeTint="80" w:sz="4" w:space="0"/>
          <w:bottom w:val="nil"/>
          <w:right w:val="nil"/>
        </w:tcBorders>
        <w:shd w:val="clear" w:color="auto" w:fill="FFFFFF"/>
      </w:tc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12"/>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12"/>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sz w:val="22"/>
        <w14:textFill>
          <w14:solidFill>
            <w14:schemeClr w14:val="accent3"/>
          </w14:solidFill>
        </w14:textFill>
      </w:r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sz w:val="22"/>
        <w14:textFill>
          <w14:solidFill>
            <w14:schemeClr w14:val="accent3"/>
          </w14:solidFill>
        </w14:textFill>
      </w:r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sz w:val="22"/>
        <w14:textFill>
          <w14:solidFill>
            <w14:schemeClr w14:val="accent3"/>
          </w14:solidFill>
        </w14:textFill>
      </w:r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sz w:val="22"/>
        <w14:textFill>
          <w14:solidFill>
            <w14:schemeClr w14:val="accent3"/>
          </w14:solidFill>
        </w14:textFill>
      </w:rPr>
      <w:tcPr>
        <w:tcBorders>
          <w:top w:val="nil"/>
          <w:left w:val="single" w:color="A5A5A5" w:themeColor="accent3" w:themeTint="FE" w:sz="4" w:space="0"/>
          <w:bottom w:val="nil"/>
          <w:right w:val="nil"/>
        </w:tcBorders>
        <w:shd w:val="clear" w:color="auto" w:fill="FFFFFF"/>
      </w:tcPr>
    </w:tblStylePr>
    <w:tblStylePr w:type="band1Vert">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30">
    <w:name w:val="Grid Table 7 Colorful - Accent 4"/>
    <w:basedOn w:val="12"/>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12"/>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245B8C" w:themeColor="accent5" w:themeShade="94"/>
        <w:sz w:val="22"/>
      </w:r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cPr>
        <w:tcBorders>
          <w:top w:val="nil"/>
          <w:left w:val="single" w:color="A2C6E7" w:themeColor="accent5" w:themeTint="90" w:sz="4" w:space="0"/>
          <w:bottom w:val="nil"/>
          <w:right w:val="nil"/>
        </w:tcBorders>
        <w:shd w:val="clear" w:color="auto" w:fill="FFFFFF"/>
      </w:tc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12"/>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auto" w:fill="FFFFFF"/>
      </w:tcPr>
    </w:tblStylePr>
    <w:tblStylePr w:type="band1Vert">
      <w:tcPr>
        <w:shd w:val="clear" w:color="auto" w:fill="E1EFD8" w:themeFill="accent6" w:themeFillTint="34"/>
      </w:tcPr>
    </w:tblStylePr>
    <w:tblStylePr w:type="band1Horz">
      <w:rPr>
        <w:rFonts w:ascii="Arial" w:hAnsi="Arial"/>
        <w:color w:val="416429" w:themeColor="accent6" w:themeShade="94"/>
        <w:sz w:val="22"/>
      </w:r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清单表 1 浅色1"/>
    <w:basedOn w:val="12"/>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BEBEBE" w:themeFill="text1" w:themeFillTint="40"/>
      </w:tcPr>
    </w:tblStylePr>
    <w:tblStylePr w:type="band1Horz">
      <w:tcPr>
        <w:shd w:val="clear" w:color="auto" w:fill="BEBEBE" w:themeFill="text1" w:themeFillTint="40"/>
      </w:tcPr>
    </w:tblStylePr>
  </w:style>
  <w:style w:type="table" w:customStyle="1" w:styleId="134">
    <w:name w:val="List Table 1 Light - Accent 1"/>
    <w:basedOn w:val="12"/>
    <w:qFormat/>
    <w:uiPriority w:val="99"/>
    <w:tblStylePr w:type="firstRow">
      <w:rPr>
        <w:b/>
        <w:color w:val="404040"/>
      </w:rPr>
      <w:tcPr>
        <w:tcBorders>
          <w:top w:val="nil"/>
          <w:left w:val="nil"/>
          <w:bottom w:val="single" w:color="4472C4" w:themeColor="accent1" w:sz="4" w:space="0"/>
          <w:right w:val="nil"/>
        </w:tcBorders>
      </w:tcPr>
    </w:tblStylePr>
    <w:tblStylePr w:type="lastRow">
      <w:rPr>
        <w:b/>
        <w:color w:val="404040"/>
      </w:r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0DBF0" w:themeFill="accent1" w:themeFillTint="40"/>
      </w:tcPr>
    </w:tblStylePr>
    <w:tblStylePr w:type="band1Horz">
      <w:tcPr>
        <w:shd w:val="clear" w:color="auto" w:fill="D0DBF0" w:themeFill="accent1" w:themeFillTint="40"/>
      </w:tcPr>
    </w:tblStylePr>
  </w:style>
  <w:style w:type="table" w:customStyle="1" w:styleId="135">
    <w:name w:val="List Table 1 Light - Accent 2"/>
    <w:basedOn w:val="12"/>
    <w:qFormat/>
    <w:uiPriority w:val="99"/>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ADECB" w:themeFill="accent2" w:themeFillTint="40"/>
      </w:tcPr>
    </w:tblStylePr>
    <w:tblStylePr w:type="band1Horz">
      <w:tcPr>
        <w:shd w:val="clear" w:color="auto" w:fill="FADECB" w:themeFill="accent2" w:themeFillTint="40"/>
      </w:tcPr>
    </w:tblStylePr>
  </w:style>
  <w:style w:type="table" w:customStyle="1" w:styleId="136">
    <w:name w:val="List Table 1 Light - Accent 3"/>
    <w:basedOn w:val="12"/>
    <w:qFormat/>
    <w:uiPriority w:val="99"/>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8E8E8" w:themeFill="accent3" w:themeFillTint="40"/>
      </w:tcPr>
    </w:tblStylePr>
    <w:tblStylePr w:type="band1Horz">
      <w:tcPr>
        <w:shd w:val="clear" w:color="auto" w:fill="E8E8E8" w:themeFill="accent3" w:themeFillTint="40"/>
      </w:tcPr>
    </w:tblStylePr>
  </w:style>
  <w:style w:type="table" w:customStyle="1" w:styleId="137">
    <w:name w:val="List Table 1 Light - Accent 4"/>
    <w:basedOn w:val="12"/>
    <w:qFormat/>
    <w:uiPriority w:val="99"/>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FEFBE" w:themeFill="accent4" w:themeFillTint="40"/>
      </w:tcPr>
    </w:tblStylePr>
    <w:tblStylePr w:type="band1Horz">
      <w:tcPr>
        <w:shd w:val="clear" w:color="auto" w:fill="FFEFBE" w:themeFill="accent4" w:themeFillTint="40"/>
      </w:tcPr>
    </w:tblStylePr>
  </w:style>
  <w:style w:type="table" w:customStyle="1" w:styleId="138">
    <w:name w:val="List Table 1 Light - Accent 5"/>
    <w:basedOn w:val="12"/>
    <w:qFormat/>
    <w:uiPriority w:val="99"/>
    <w:tblStylePr w:type="firstRow">
      <w:rPr>
        <w:b/>
        <w:color w:val="404040"/>
      </w:rPr>
      <w:tcPr>
        <w:tcBorders>
          <w:top w:val="nil"/>
          <w:left w:val="nil"/>
          <w:bottom w:val="single" w:color="5B9BD5" w:themeColor="accent5" w:sz="4" w:space="0"/>
          <w:right w:val="nil"/>
        </w:tcBorders>
      </w:tcPr>
    </w:tblStylePr>
    <w:tblStylePr w:type="lastRow">
      <w:rPr>
        <w:b/>
        <w:color w:val="404040"/>
      </w:r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5E5F4" w:themeFill="accent5" w:themeFillTint="40"/>
      </w:tcPr>
    </w:tblStylePr>
    <w:tblStylePr w:type="band1Horz">
      <w:tcPr>
        <w:shd w:val="clear" w:color="auto" w:fill="D5E5F4" w:themeFill="accent5" w:themeFillTint="40"/>
      </w:tcPr>
    </w:tblStylePr>
  </w:style>
  <w:style w:type="table" w:customStyle="1" w:styleId="139">
    <w:name w:val="List Table 1 Light - Accent 6"/>
    <w:basedOn w:val="12"/>
    <w:qFormat/>
    <w:uiPriority w:val="99"/>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AEBCF" w:themeFill="accent6" w:themeFillTint="40"/>
      </w:tcPr>
    </w:tblStylePr>
    <w:tblStylePr w:type="band1Horz">
      <w:tcPr>
        <w:shd w:val="clear" w:color="auto" w:fill="DAEBCF" w:themeFill="accent6" w:themeFillTint="40"/>
      </w:tcPr>
    </w:tblStylePr>
  </w:style>
  <w:style w:type="table" w:customStyle="1" w:styleId="140">
    <w:name w:val="清单表 21"/>
    <w:basedOn w:val="12"/>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41">
    <w:name w:val="List Table 2 - Accent 1"/>
    <w:basedOn w:val="12"/>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42">
    <w:name w:val="List Table 2 - Accent 2"/>
    <w:basedOn w:val="12"/>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43">
    <w:name w:val="List Table 2 - Accent 3"/>
    <w:basedOn w:val="12"/>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44">
    <w:name w:val="List Table 2 - Accent 4"/>
    <w:basedOn w:val="12"/>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45">
    <w:name w:val="List Table 2 - Accent 5"/>
    <w:basedOn w:val="12"/>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46">
    <w:name w:val="List Table 2 - Accent 6"/>
    <w:basedOn w:val="12"/>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47">
    <w:name w:val="清单表 31"/>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48">
    <w:name w:val="List Table 3 - Accent 1"/>
    <w:basedOn w:val="12"/>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band1Horz">
      <w:rPr>
        <w:rFonts w:ascii="Arial" w:hAnsi="Arial"/>
        <w:color w:val="404040"/>
        <w:sz w:val="22"/>
      </w:rPr>
      <w:tcPr>
        <w:tcBorders>
          <w:top w:val="single" w:color="4472C4" w:themeColor="accent1" w:sz="4" w:space="0"/>
          <w:bottom w:val="single" w:color="4472C4" w:themeColor="accent1" w:sz="4" w:space="0"/>
        </w:tcBorders>
      </w:tcPr>
    </w:tblStylePr>
  </w:style>
  <w:style w:type="table" w:customStyle="1" w:styleId="149">
    <w:name w:val="List Table 3 - Accent 2"/>
    <w:basedOn w:val="12"/>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12"/>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12"/>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12"/>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rFonts w:ascii="Arial" w:hAnsi="Arial"/>
        <w:b/>
        <w:color w:val="FFFFFF"/>
        <w:sz w:val="22"/>
      </w:r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12"/>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54">
    <w:name w:val="清单表 41"/>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55">
    <w:name w:val="List Table 4 - Accent 1"/>
    <w:basedOn w:val="12"/>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56">
    <w:name w:val="List Table 4 - Accent 2"/>
    <w:basedOn w:val="12"/>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57">
    <w:name w:val="List Table 4 - Accent 3"/>
    <w:basedOn w:val="12"/>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58">
    <w:name w:val="List Table 4 - Accent 4"/>
    <w:basedOn w:val="12"/>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59">
    <w:name w:val="List Table 4 - Accent 5"/>
    <w:basedOn w:val="12"/>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rFonts w:ascii="Arial" w:hAnsi="Arial"/>
        <w:b/>
        <w:color w:val="FFFFFF"/>
        <w:sz w:val="22"/>
      </w:r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60">
    <w:name w:val="List Table 4 - Accent 6"/>
    <w:basedOn w:val="12"/>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61">
    <w:name w:val="清单表 5 深色1"/>
    <w:basedOn w:val="12"/>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auto"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7E7E7E" w:themeFill="text1" w:themeFillTint="80"/>
      </w:tcPr>
    </w:tblStylePr>
    <w:tblStylePr w:type="band2Horz">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12"/>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472C4" w:themeColor="accent1" w:sz="32" w:space="0"/>
          <w:right w:val="single" w:color="FFFFFF" w:themeColor="light1" w:sz="4" w:space="0"/>
        </w:tcBorders>
      </w:tcPr>
    </w:tblStylePr>
    <w:tblStylePr w:type="lastCol">
      <w:tcPr>
        <w:tcBorders>
          <w:left w:val="single" w:color="FFFFFF" w:themeColor="light1" w:sz="4" w:space="0"/>
          <w:right w:val="single" w:color="4472C4" w:themeColor="accent1" w:sz="32" w:space="0"/>
        </w:tcBorders>
      </w:tcPr>
    </w:tblStylePr>
    <w:tblStylePr w:type="band1Vert">
      <w:tcPr>
        <w:tcBorders>
          <w:left w:val="single" w:color="FFFFFF" w:themeColor="light1" w:sz="4" w:space="0"/>
          <w:right w:val="single" w:color="FFFFFF" w:themeColor="light1" w:sz="4" w:space="0"/>
        </w:tcBorders>
        <w:shd w:val="clear" w:color="auto" w:fill="4472C4"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4472C4" w:themeFill="accent1"/>
      </w:tcPr>
    </w:tblStylePr>
    <w:tblStylePr w:type="band2Horz">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12"/>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auto"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4B285" w:themeFill="accent2" w:themeFillTint="97"/>
      </w:tcPr>
    </w:tblStylePr>
    <w:tblStylePr w:type="band2Horz">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12"/>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auto"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C9C9C9" w:themeFill="accent3" w:themeFillTint="98"/>
      </w:tcPr>
    </w:tblStylePr>
    <w:tblStylePr w:type="band2Horz">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12"/>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auto"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FD864" w:themeFill="accent4" w:themeFillTint="9A"/>
      </w:tcPr>
    </w:tblStylePr>
    <w:tblStylePr w:type="band2Horz">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12"/>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BC2E5" w:themeColor="accent5" w:themeTint="9A" w:sz="32" w:space="0"/>
          <w:right w:val="single" w:color="FFFFFF" w:themeColor="light1" w:sz="4" w:space="0"/>
        </w:tcBorders>
      </w:tcPr>
    </w:tblStylePr>
    <w:tblStylePr w:type="lastCol">
      <w:tcPr>
        <w:tcBorders>
          <w:left w:val="single" w:color="FFFFFF" w:themeColor="light1" w:sz="4" w:space="0"/>
          <w:right w:val="single" w:color="9BC2E5" w:themeColor="accent5" w:themeTint="9A" w:sz="32" w:space="0"/>
        </w:tcBorders>
      </w:tcPr>
    </w:tblStylePr>
    <w:tblStylePr w:type="band1Vert">
      <w:tcPr>
        <w:tcBorders>
          <w:left w:val="single" w:color="FFFFFF" w:themeColor="light1" w:sz="4" w:space="0"/>
          <w:right w:val="single" w:color="FFFFFF" w:themeColor="light1" w:sz="4" w:space="0"/>
        </w:tcBorders>
        <w:shd w:val="clear" w:color="auto" w:fill="9BC2E5"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9BC2E5" w:themeFill="accent5" w:themeFillTint="9A"/>
      </w:tcPr>
    </w:tblStylePr>
    <w:tblStylePr w:type="band2Horz">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12"/>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uto"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A9D08E" w:themeFill="accent6" w:themeFillTint="98"/>
      </w:tcPr>
    </w:tblStylePr>
    <w:tblStylePr w:type="band2Horz">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清单表 6 彩色1"/>
    <w:basedOn w:val="12"/>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12"/>
    <w:qFormat/>
    <w:uiPriority w:val="99"/>
    <w:tblPr>
      <w:tblBorders>
        <w:top w:val="single" w:color="4472C4" w:themeColor="accent1" w:sz="4" w:space="0"/>
        <w:bottom w:val="single" w:color="4472C4" w:themeColor="accent1" w:sz="4" w:space="0"/>
      </w:tblBorders>
    </w:tblPr>
    <w:tblStylePr w:type="firstRow">
      <w:rPr>
        <w:b/>
        <w:color w:val="254174" w:themeColor="accent1" w:themeShade="94"/>
      </w:rPr>
      <w:tcPr>
        <w:tcBorders>
          <w:bottom w:val="single" w:color="4472C4" w:themeColor="accent1" w:sz="4" w:space="0"/>
        </w:tcBorders>
      </w:tcPr>
    </w:tblStylePr>
    <w:tblStylePr w:type="lastRow">
      <w:rPr>
        <w:b/>
        <w:color w:val="254174" w:themeColor="accent1" w:themeShade="94"/>
      </w:r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12"/>
    <w:qFormat/>
    <w:uiPriority w:val="99"/>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12"/>
    <w:qFormat/>
    <w:uiPriority w:val="99"/>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12"/>
    <w:qFormat/>
    <w:uiPriority w:val="99"/>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12"/>
    <w:qFormat/>
    <w:uiPriority w:val="99"/>
    <w:tblPr>
      <w:tblBorders>
        <w:top w:val="single" w:color="9BC2E5" w:themeColor="accent5" w:themeTint="9A" w:sz="4" w:space="0"/>
        <w:bottom w:val="single" w:color="9BC2E5" w:themeColor="accent5" w:themeTint="9A" w:sz="4" w:space="0"/>
      </w:tblBorders>
    </w:tblPr>
    <w:tblStylePr w:type="firstRow">
      <w:rPr>
        <w:b/>
        <w:color w:val="9DC3E6" w:themeColor="accent5" w:themeTint="99"/>
        <w14:textFill>
          <w14:solidFill>
            <w14:schemeClr w14:val="accent5">
              <w14:lumMod w14:val="60000"/>
              <w14:lumOff w14:val="40000"/>
            </w14:schemeClr>
          </w14:solidFill>
        </w14:textFill>
      </w:r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12"/>
    <w:qFormat/>
    <w:uiPriority w:val="99"/>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清单表 7 彩色1"/>
    <w:basedOn w:val="12"/>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12"/>
    <w:qFormat/>
    <w:uiPriority w:val="99"/>
    <w:tblPr>
      <w:tblBorders>
        <w:right w:val="single" w:color="4472C4" w:themeColor="accent1" w:sz="4" w:space="0"/>
      </w:tblBorders>
    </w:tblPr>
    <w:tblStylePr w:type="firstRow">
      <w:rPr>
        <w:rFonts w:ascii="Arial" w:hAnsi="Arial"/>
        <w:i/>
        <w:color w:val="254174" w:themeColor="accent1" w:themeShade="94"/>
        <w:sz w:val="22"/>
      </w:r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cPr>
        <w:tcBorders>
          <w:top w:val="nil"/>
          <w:left w:val="single" w:color="4472C4" w:themeColor="accent1" w:sz="4" w:space="0"/>
          <w:bottom w:val="nil"/>
          <w:right w:val="nil"/>
        </w:tcBorders>
        <w:shd w:val="clear" w:color="auto" w:fill="FFFFFF"/>
      </w:tc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12"/>
    <w:qFormat/>
    <w:uiPriority w:val="99"/>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12"/>
    <w:qFormat/>
    <w:uiPriority w:val="99"/>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auto" w:fill="FFFFFF"/>
      </w:tc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12"/>
    <w:qFormat/>
    <w:uiPriority w:val="99"/>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12"/>
    <w:qFormat/>
    <w:uiPriority w:val="99"/>
    <w:tblPr>
      <w:tblBorders>
        <w:right w:val="single" w:color="9BC2E5" w:themeColor="accent5" w:themeTint="9A" w:sz="4" w:space="0"/>
      </w:tblBorders>
    </w:tblPr>
    <w:tblStylePr w:type="firstRow">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single" w:color="9BC2E5" w:themeColor="accent5" w:themeTint="9A" w:sz="4" w:space="0"/>
          <w:bottom w:val="nil"/>
          <w:right w:val="nil"/>
        </w:tcBorders>
        <w:shd w:val="clear" w:color="auto" w:fill="FFFFFF"/>
      </w:tc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12"/>
    <w:qFormat/>
    <w:uiPriority w:val="99"/>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auto" w:fill="FFFFFF"/>
      </w:tc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12"/>
    <w:qFormat/>
    <w:uiPriority w:val="99"/>
    <w:rPr>
      <w:color w:val="404040"/>
      <w:lang w:eastAsia="en-US"/>
    </w:r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83">
    <w:name w:val="Lined - Accent 1"/>
    <w:basedOn w:val="12"/>
    <w:qFormat/>
    <w:uiPriority w:val="99"/>
    <w:rPr>
      <w:color w:val="404040"/>
      <w:lang w:eastAsia="en-US"/>
    </w:r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84">
    <w:name w:val="Lined - Accent 2"/>
    <w:basedOn w:val="12"/>
    <w:qFormat/>
    <w:uiPriority w:val="99"/>
    <w:rPr>
      <w:color w:val="404040"/>
      <w:lang w:eastAsia="en-US"/>
    </w:r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85">
    <w:name w:val="Lined - Accent 3"/>
    <w:basedOn w:val="12"/>
    <w:qFormat/>
    <w:uiPriority w:val="99"/>
    <w:rPr>
      <w:color w:val="404040"/>
      <w:lang w:eastAsia="en-US"/>
    </w:r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86">
    <w:name w:val="Lined - Accent 4"/>
    <w:basedOn w:val="12"/>
    <w:qFormat/>
    <w:uiPriority w:val="99"/>
    <w:rPr>
      <w:color w:val="404040"/>
      <w:lang w:eastAsia="en-US"/>
    </w:r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87">
    <w:name w:val="Lined - Accent 5"/>
    <w:basedOn w:val="12"/>
    <w:qFormat/>
    <w:uiPriority w:val="99"/>
    <w:rPr>
      <w:color w:val="404040"/>
      <w:lang w:eastAsia="en-US"/>
    </w:r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88">
    <w:name w:val="Lined - Accent 6"/>
    <w:basedOn w:val="12"/>
    <w:qFormat/>
    <w:uiPriority w:val="99"/>
    <w:rPr>
      <w:color w:val="404040"/>
      <w:lang w:eastAsia="en-US"/>
    </w:r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89">
    <w:name w:val="Bordered &amp; Lined - Accent"/>
    <w:basedOn w:val="12"/>
    <w:qFormat/>
    <w:uiPriority w:val="99"/>
    <w:rPr>
      <w:color w:val="40404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90">
    <w:name w:val="Bordered &amp; Lined - Accent 1"/>
    <w:basedOn w:val="12"/>
    <w:qFormat/>
    <w:uiPriority w:val="99"/>
    <w:rPr>
      <w:color w:val="40404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91">
    <w:name w:val="Bordered &amp; Lined - Accent 2"/>
    <w:basedOn w:val="12"/>
    <w:qFormat/>
    <w:uiPriority w:val="99"/>
    <w:rPr>
      <w:color w:val="40404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92">
    <w:name w:val="Bordered &amp; Lined - Accent 3"/>
    <w:basedOn w:val="12"/>
    <w:qFormat/>
    <w:uiPriority w:val="99"/>
    <w:rPr>
      <w:color w:val="40404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93">
    <w:name w:val="Bordered &amp; Lined - Accent 4"/>
    <w:basedOn w:val="12"/>
    <w:qFormat/>
    <w:uiPriority w:val="99"/>
    <w:rPr>
      <w:color w:val="40404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94">
    <w:name w:val="Bordered &amp; Lined - Accent 5"/>
    <w:basedOn w:val="12"/>
    <w:qFormat/>
    <w:uiPriority w:val="99"/>
    <w:rPr>
      <w:color w:val="40404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95">
    <w:name w:val="Bordered &amp; Lined - Accent 6"/>
    <w:basedOn w:val="12"/>
    <w:qFormat/>
    <w:uiPriority w:val="99"/>
    <w:rPr>
      <w:color w:val="40404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96">
    <w:name w:val="Bordered"/>
    <w:basedOn w:val="12"/>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12"/>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rFonts w:ascii="Arial" w:hAnsi="Arial"/>
        <w:color w:val="404040"/>
        <w:sz w:val="22"/>
      </w:rPr>
      <w:tcPr>
        <w:tcBorders>
          <w:bottom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472C4" w:themeColor="accent1" w:sz="12" w:space="0"/>
        </w:tcBorders>
      </w:tc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12"/>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12"/>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12"/>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12"/>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rFonts w:ascii="Arial" w:hAnsi="Arial"/>
        <w:color w:val="404040"/>
        <w:sz w:val="22"/>
      </w:rPr>
      <w:tcPr>
        <w:tcBorders>
          <w:bottom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BC2E5" w:themeColor="accent5" w:themeTint="9A" w:sz="12" w:space="0"/>
        </w:tcBorders>
      </w:tc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12"/>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27"/>
    <w:qFormat/>
    <w:uiPriority w:val="99"/>
    <w:rPr>
      <w:sz w:val="18"/>
    </w:rPr>
  </w:style>
  <w:style w:type="character" w:customStyle="1" w:styleId="204">
    <w:name w:val="尾注文本 字符"/>
    <w:link w:val="22"/>
    <w:qFormat/>
    <w:uiPriority w:val="99"/>
    <w:rPr>
      <w:sz w:val="20"/>
    </w:rPr>
  </w:style>
  <w:style w:type="paragraph" w:customStyle="1" w:styleId="205">
    <w:name w:val="TOC 标题1"/>
    <w:unhideWhenUsed/>
    <w:qFormat/>
    <w:uiPriority w:val="39"/>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206">
    <w:name w:val="页脚 字符"/>
    <w:link w:val="24"/>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33"/>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32"/>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14"/>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31"/>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2"/>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34"/>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35"/>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25"/>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link w:val="289"/>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styleId="258">
    <w:name w:val="List Paragraph"/>
    <w:basedOn w:val="1"/>
    <w:link w:val="275"/>
    <w:qFormat/>
    <w:uiPriority w:val="34"/>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15"/>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qFormat/>
    <w:uiPriority w:val="0"/>
    <w:pPr>
      <w:numPr>
        <w:ilvl w:val="0"/>
        <w:numId w:val="9"/>
      </w:numPr>
      <w:tabs>
        <w:tab w:val="left" w:pos="1304"/>
      </w:tabs>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line="240" w:lineRule="atLeast"/>
      <w:jc w:val="right"/>
    </w:pPr>
    <w:rPr>
      <w:rFonts w:ascii="Arial" w:hAnsi="Arial" w:eastAsia="宋体" w:cs="Times New Roman"/>
      <w:b/>
      <w:sz w:val="34"/>
      <w:szCs w:val="22"/>
      <w:lang w:val="en-GB" w:eastAsia="en-US" w:bidi="ar-SA"/>
    </w:rPr>
  </w:style>
  <w:style w:type="paragraph" w:customStyle="1" w:styleId="269">
    <w:name w:val="TT"/>
    <w:basedOn w:val="2"/>
    <w:next w:val="1"/>
    <w:qFormat/>
    <w:uiPriority w:val="0"/>
    <w:pPr>
      <w:numPr>
        <w:numId w:val="0"/>
      </w:numPr>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10"/>
      </w:numPr>
    </w:pPr>
    <w:rPr>
      <w:rFonts w:ascii="Times New Roman" w:hAnsi="Times New Roman" w:eastAsia="MS Mincho"/>
      <w:sz w:val="24"/>
      <w:lang w:val="en-US" w:eastAsia="en-GB"/>
    </w:rPr>
  </w:style>
  <w:style w:type="paragraph" w:customStyle="1" w:styleId="272">
    <w:name w:val="Comment Subject1"/>
    <w:basedOn w:val="17"/>
    <w:next w:val="17"/>
    <w:semiHidden/>
    <w:qFormat/>
    <w:uiPriority w:val="0"/>
    <w:pPr>
      <w:numPr>
        <w:ilvl w:val="0"/>
        <w:numId w:val="11"/>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17"/>
    <w:qFormat/>
    <w:uiPriority w:val="99"/>
    <w:rPr>
      <w:rFonts w:ascii="Arial" w:hAnsi="Arial"/>
      <w:lang w:val="en-GB"/>
    </w:rPr>
  </w:style>
  <w:style w:type="paragraph" w:customStyle="1" w:styleId="274">
    <w:name w:val="text intend 1"/>
    <w:basedOn w:val="1"/>
    <w:qFormat/>
    <w:uiPriority w:val="0"/>
    <w:pPr>
      <w:numPr>
        <w:ilvl w:val="0"/>
        <w:numId w:val="12"/>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220"/>
    <w:qFormat/>
    <w:uiPriority w:val="99"/>
    <w:pPr>
      <w:numPr>
        <w:ilvl w:val="0"/>
        <w:numId w:val="13"/>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styleId="279">
    <w:name w:val="Placeholder Text"/>
    <w:basedOn w:val="11"/>
    <w:unhideWhenUsed/>
    <w:qFormat/>
    <w:uiPriority w:val="99"/>
    <w:rPr>
      <w:color w:val="808080"/>
    </w:rPr>
  </w:style>
  <w:style w:type="character" w:customStyle="1" w:styleId="280">
    <w:name w:val="标题 2 字符"/>
    <w:basedOn w:val="11"/>
    <w:link w:val="3"/>
    <w:qFormat/>
    <w:uiPriority w:val="0"/>
    <w:rPr>
      <w:rFonts w:ascii="Arial" w:hAnsi="Arial"/>
      <w:sz w:val="32"/>
      <w:szCs w:val="32"/>
      <w:lang w:val="en-GB"/>
    </w:rPr>
  </w:style>
  <w:style w:type="character" w:customStyle="1" w:styleId="281">
    <w:name w:val="标题 3 字符"/>
    <w:basedOn w:val="11"/>
    <w:link w:val="4"/>
    <w:qFormat/>
    <w:uiPriority w:val="0"/>
    <w:rPr>
      <w:rFonts w:ascii="Arial" w:hAnsi="Arial"/>
      <w:sz w:val="28"/>
      <w:szCs w:val="28"/>
      <w:lang w:val="en-GB"/>
    </w:rPr>
  </w:style>
  <w:style w:type="paragraph" w:customStyle="1" w:styleId="282">
    <w:name w:val="修订1"/>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Comments"/>
    <w:basedOn w:val="1"/>
    <w:link w:val="286"/>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86">
    <w:name w:val="Comments Char"/>
    <w:link w:val="285"/>
    <w:qFormat/>
    <w:uiPriority w:val="0"/>
    <w:rPr>
      <w:rFonts w:ascii="Arial" w:hAnsi="Arial" w:eastAsia="MS Mincho"/>
      <w:i/>
      <w:sz w:val="18"/>
      <w:szCs w:val="24"/>
      <w:lang w:val="en-GB" w:eastAsia="en-GB"/>
    </w:rPr>
  </w:style>
  <w:style w:type="character" w:customStyle="1" w:styleId="287">
    <w:name w:val="NO Zchn"/>
    <w:qFormat/>
    <w:uiPriority w:val="0"/>
    <w:rPr>
      <w:lang w:eastAsia="en-US"/>
    </w:rPr>
  </w:style>
  <w:style w:type="paragraph" w:customStyle="1" w:styleId="288">
    <w:name w:val="DECISION"/>
    <w:basedOn w:val="1"/>
    <w:qFormat/>
    <w:uiPriority w:val="0"/>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before="120"/>
    </w:pPr>
    <w:rPr>
      <w:rFonts w:eastAsia="Batang"/>
      <w:b/>
      <w:color w:val="0000FF"/>
      <w:szCs w:val="20"/>
      <w:u w:val="single"/>
      <w:lang w:eastAsia="en-US"/>
    </w:rPr>
  </w:style>
  <w:style w:type="character" w:customStyle="1" w:styleId="289">
    <w:name w:val="EX Char"/>
    <w:link w:val="255"/>
    <w:qFormat/>
    <w:locked/>
    <w:uiPriority w:val="0"/>
    <w:rPr>
      <w:rFonts w:ascii="Arial" w:hAnsi="Arial"/>
      <w:lang w:val="en-GB" w:eastAsia="en-US"/>
    </w:rPr>
  </w:style>
  <w:style w:type="table" w:customStyle="1" w:styleId="290">
    <w:name w:val="网格表 5 深色 - 着色 31"/>
    <w:basedOn w:val="12"/>
    <w:qFormat/>
    <w:uiPriority w:val="50"/>
    <w:rPr>
      <w:lang w:eastAsia="ko-K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4112-A202-4A3F-894A-669B3217E02D}">
  <ds:schemaRefs/>
</ds:datastoreItem>
</file>

<file path=docProps/app.xml><?xml version="1.0" encoding="utf-8"?>
<Properties xmlns="http://schemas.openxmlformats.org/officeDocument/2006/extended-properties" xmlns:vt="http://schemas.openxmlformats.org/officeDocument/2006/docPropsVTypes">
  <Template>Normal</Template>
  <Pages>3</Pages>
  <Words>1140</Words>
  <Characters>6498</Characters>
  <Lines>54</Lines>
  <Paragraphs>15</Paragraphs>
  <TotalTime>13</TotalTime>
  <ScaleCrop>false</ScaleCrop>
  <LinksUpToDate>false</LinksUpToDate>
  <CharactersWithSpaces>7623</CharactersWithSpaces>
  <Application>WPS Office_12.2.0.13193_F1E327BC-269C-435d-A152-05C5408002CA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2023-08-31T09:58:00Z</dcterms:created>
  <dc:creator>Zhe Fu</dc:creator>
  <cp:keywords>3GPP; OPPO; TDoc, CTPClassification=CTP_NT</cp:keywords>
  <cp:lastModifiedBy>OPPO</cp:lastModifiedBy>
  <dcterms:modified xsi:type="dcterms:W3CDTF">2023-09-01T08:05:33Z</dcterms:modified>
  <dc:title>OPPO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1033-12.2.0.13193</vt:lpwstr>
  </property>
  <property fmtid="{D5CDD505-2E9C-101B-9397-08002B2CF9AE}" pid="4" name="ICV">
    <vt:lpwstr>8B88ADD476EB4F5FBCF7983EA0EA025F_13</vt:lpwstr>
  </property>
</Properties>
</file>