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4224</w:t>
      </w:r>
    </w:p>
    <w:p>
      <w:pPr>
        <w:pStyle w:val="129"/>
        <w:outlineLvl w:val="0"/>
        <w:rPr>
          <w:b/>
          <w:sz w:val="24"/>
        </w:rPr>
      </w:pPr>
      <w:r>
        <w:rPr>
          <w:b/>
          <w:sz w:val="24"/>
        </w:rPr>
        <w:t>Maastricht, Netherlands, 19-23 August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24.526</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0281</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18.7.0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1" w:name="_Hlt497126619"/>
            <w:r>
              <w:rPr>
                <w:rStyle w:val="92"/>
                <w:rFonts w:cs="Arial"/>
                <w:b/>
                <w:i/>
                <w:color w:val="FF0000"/>
              </w:rPr>
              <w:t>L</w:t>
            </w:r>
            <w:bookmarkEnd w:id="1"/>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hint="eastAsia"/>
                <w:b/>
                <w:caps/>
                <w:lang w:eastAsia="zh-CN"/>
              </w:rPr>
            </w:pPr>
            <w:r>
              <w:rPr>
                <w:rFonts w:hint="eastAsia"/>
                <w:b/>
                <w:caps/>
                <w:lang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hint="eastAsia"/>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fldChar w:fldCharType="begin"/>
            </w:r>
            <w:r>
              <w:instrText xml:space="preserve"> DOCPROPERTY  CrTitle  \* MERGEFORMAT </w:instrText>
            </w:r>
            <w:r>
              <w:fldChar w:fldCharType="separate"/>
            </w:r>
            <w:r>
              <w:t>Remove the NOTE</w:t>
            </w:r>
            <w:r>
              <w:rPr>
                <w:lang w:eastAsia="zh-CN"/>
              </w:rPr>
              <w:t xml:space="preserve"> in an inappropriate place</w:t>
            </w:r>
            <w:r>
              <w:fldChar w:fldCharType="end"/>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fldChar w:fldCharType="begin"/>
            </w:r>
            <w:r>
              <w:instrText xml:space="preserve"> DOCPROPERTY  RelatedWis  \* MERGEFORMAT </w:instrText>
            </w:r>
            <w:r>
              <w:fldChar w:fldCharType="separate"/>
            </w:r>
            <w:r>
              <w:t>5GProtoc19</w:t>
            </w:r>
            <w:r>
              <w:fldChar w:fldCharType="end"/>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lang w:eastAsia="zh-CN"/>
              </w:rPr>
              <w:t>In t</w:t>
            </w:r>
            <w:r>
              <w:t xml:space="preserve">able 5.2.1, </w:t>
            </w:r>
            <w:r>
              <w:rPr>
                <w:rFonts w:hint="eastAsia"/>
                <w:lang w:eastAsia="zh-CN"/>
              </w:rPr>
              <w:t>"</w:t>
            </w:r>
            <w:r>
              <w:t>NOTE</w:t>
            </w:r>
            <w:r>
              <w:rPr>
                <w:lang w:val="en-US"/>
              </w:rPr>
              <w:t> 17:</w:t>
            </w:r>
            <w:r>
              <w:tab/>
            </w:r>
            <w:r>
              <w:t xml:space="preserve">This connection capability identifier can be used for either </w:t>
            </w:r>
            <w:r>
              <w:rPr>
                <w:lang w:val="en-US"/>
              </w:rPr>
              <w:t xml:space="preserve">a network connection with certain capabilities or a </w:t>
            </w:r>
            <w:r>
              <w:t>traffic category specified in GSMA PRD NG.135 [26]</w:t>
            </w:r>
            <w:r>
              <w:rPr>
                <w:lang w:eastAsia="zh-CN"/>
              </w:rPr>
              <w:t>" is introduced by C1-237787 to clarify related usage for "</w:t>
            </w:r>
            <w:r>
              <w:rPr>
                <w:rFonts w:ascii="Times New Roman" w:hAnsi="Times New Roman"/>
                <w:i/>
              </w:rPr>
              <w:t>IMS</w:t>
            </w:r>
            <w:r>
              <w:rPr>
                <w:lang w:eastAsia="zh-CN"/>
              </w:rPr>
              <w:t>"</w:t>
            </w:r>
            <w:r>
              <w:t xml:space="preserve"> and </w:t>
            </w:r>
            <w:r>
              <w:rPr>
                <w:lang w:eastAsia="zh-CN"/>
              </w:rPr>
              <w:t>"</w:t>
            </w:r>
            <w:r>
              <w:rPr>
                <w:rFonts w:ascii="Times New Roman" w:hAnsi="Times New Roman"/>
                <w:i/>
              </w:rPr>
              <w:t>Internet</w:t>
            </w:r>
            <w:r>
              <w:rPr>
                <w:lang w:eastAsia="zh-CN"/>
              </w:rPr>
              <w:t>".</w:t>
            </w:r>
          </w:p>
          <w:p>
            <w:pPr>
              <w:pStyle w:val="129"/>
              <w:spacing w:after="0"/>
              <w:ind w:left="100"/>
              <w:rPr>
                <w:lang w:eastAsia="zh-CN"/>
              </w:rPr>
            </w:pPr>
            <w:r>
              <w:rPr>
                <w:lang w:eastAsia="zh-CN"/>
              </w:rPr>
              <w:t>Therefore, the NOTE</w:t>
            </w:r>
            <w:r>
              <w:rPr>
                <w:lang w:val="en-US" w:eastAsia="zh-CN"/>
              </w:rPr>
              <w:t> </w:t>
            </w:r>
            <w:r>
              <w:rPr>
                <w:lang w:eastAsia="zh-CN"/>
              </w:rPr>
              <w:t xml:space="preserve">17 placed as follows in </w:t>
            </w:r>
            <w:r>
              <w:rPr>
                <w:rFonts w:hint="eastAsia"/>
                <w:lang w:val="en-US" w:eastAsia="zh-CN"/>
              </w:rPr>
              <w:t>table</w:t>
            </w:r>
            <w:bookmarkStart w:id="10" w:name="_GoBack"/>
            <w:bookmarkEnd w:id="10"/>
            <w:r>
              <w:rPr>
                <w:lang w:val="en-US" w:eastAsia="zh-CN"/>
              </w:rPr>
              <w:t> </w:t>
            </w:r>
            <w:r>
              <w:rPr>
                <w:lang w:eastAsia="zh-CN"/>
              </w:rPr>
              <w:t>5.2.1 may be interpreted as NOTE</w:t>
            </w:r>
            <w:r>
              <w:rPr>
                <w:rFonts w:ascii="Times New Roman" w:hAnsi="Times New Roman" w:eastAsia="Times New Roman"/>
                <w:lang w:val="en-US" w:eastAsia="zh-CN"/>
              </w:rPr>
              <w:t> </w:t>
            </w:r>
            <w:r>
              <w:rPr>
                <w:lang w:eastAsia="zh-CN"/>
              </w:rPr>
              <w:t>17 applied for all the connection capability, which is not true. Therefore, this NOTE</w:t>
            </w:r>
            <w:r>
              <w:rPr>
                <w:lang w:val="en-US" w:eastAsia="zh-CN"/>
              </w:rPr>
              <w:t> </w:t>
            </w:r>
            <w:r>
              <w:rPr>
                <w:lang w:eastAsia="zh-CN"/>
              </w:rPr>
              <w:t>17 should be removed.</w:t>
            </w:r>
          </w:p>
          <w:p>
            <w:pPr>
              <w:pStyle w:val="129"/>
              <w:spacing w:after="0"/>
              <w:ind w:left="100"/>
              <w:rPr>
                <w:rFonts w:hint="eastAsia"/>
                <w:lang w:eastAsia="zh-CN"/>
              </w:rPr>
            </w:pPr>
            <w:r>
              <w:rPr>
                <w:lang w:eastAsia="zh-CN"/>
              </w:rPr>
              <w:t>"</w:t>
            </w:r>
            <w:r>
              <w:rPr>
                <w:i/>
              </w:rPr>
              <w:t>For "connection capabilities type”, the traffic descriptor component value field shall be encoded as a sequence of one octet for number of connection capabilities followed by one or more octets, each containing a connection capability identifier encoded as follows</w:t>
            </w:r>
            <w:r>
              <w:rPr>
                <w:b/>
                <w:i/>
              </w:rPr>
              <w:t xml:space="preserve"> (NOTE 17)</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eastAsia"/>
                <w:lang w:eastAsia="zh-CN"/>
              </w:rPr>
            </w:pPr>
            <w:r>
              <w:rPr>
                <w:rFonts w:hint="eastAsia"/>
                <w:lang w:eastAsia="zh-CN"/>
              </w:rPr>
              <w:t>R</w:t>
            </w:r>
            <w:r>
              <w:rPr>
                <w:lang w:eastAsia="zh-CN"/>
              </w:rPr>
              <w:t>emove "NOTE</w:t>
            </w:r>
            <w:r>
              <w:rPr>
                <w:lang w:val="en-US" w:eastAsia="zh-CN"/>
              </w:rPr>
              <w:t> </w:t>
            </w:r>
            <w:r>
              <w:rPr>
                <w:lang w:eastAsia="zh-CN"/>
              </w:rPr>
              <w:t>17" from the statement mentioned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eastAsia"/>
                <w:lang w:eastAsia="zh-CN"/>
              </w:rPr>
            </w:pPr>
            <w:r>
              <w:rPr>
                <w:lang w:eastAsia="zh-CN"/>
              </w:rPr>
              <w:t>A NOTE in an inappropriate place may be misleading.</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eastAsia"/>
                <w:lang w:eastAsia="zh-CN"/>
              </w:rPr>
            </w:pPr>
            <w:r>
              <w:rPr>
                <w:rFonts w:hint="eastAsia"/>
                <w:lang w:eastAsia="zh-CN"/>
              </w:rPr>
              <w:t>5</w:t>
            </w:r>
            <w:r>
              <w:rPr>
                <w:lang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b/>
                <w:caps/>
                <w:lang w:eastAsia="zh-CN"/>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4"/>
        <w:rPr>
          <w:lang w:eastAsia="zh-CN"/>
        </w:rPr>
      </w:pPr>
      <w:bookmarkStart w:id="2" w:name="_Toc171689976"/>
      <w:bookmarkStart w:id="3" w:name="_Toc45212735"/>
      <w:bookmarkStart w:id="4" w:name="_Toc36113477"/>
      <w:bookmarkStart w:id="5" w:name="_Toc20209078"/>
      <w:bookmarkStart w:id="6" w:name="_Toc27581326"/>
      <w:bookmarkStart w:id="7" w:name="_Toc51932248"/>
      <w:r>
        <w:rPr>
          <w:lang w:eastAsia="zh-CN"/>
        </w:rPr>
        <w:t>5</w:t>
      </w:r>
      <w:r>
        <w:rPr>
          <w:rFonts w:hint="eastAsia"/>
          <w:lang w:eastAsia="zh-CN"/>
        </w:rPr>
        <w:t>.2</w:t>
      </w:r>
      <w:r>
        <w:rPr>
          <w:lang w:eastAsia="zh-CN"/>
        </w:rPr>
        <w:tab/>
      </w:r>
      <w:r>
        <w:rPr>
          <w:lang w:eastAsia="zh-CN"/>
        </w:rPr>
        <w:t>Encoding of UE policy part type URSP</w:t>
      </w:r>
      <w:bookmarkEnd w:id="2"/>
      <w:bookmarkEnd w:id="3"/>
      <w:bookmarkEnd w:id="4"/>
      <w:bookmarkEnd w:id="5"/>
      <w:bookmarkEnd w:id="6"/>
      <w:bookmarkEnd w:id="7"/>
    </w:p>
    <w:p>
      <w:r>
        <w:t>The UE policy part type URSP contains one or more URSP rules which may be included in the UE policy part contents as defined in annex D.6.2 of 3GPP TS 24.501 [11].</w:t>
      </w:r>
    </w:p>
    <w:p>
      <w:r>
        <w:t>If the UE policy part contents includes one or more URSP rules (i.e. the UE policy part type field is set to "URSP"), the UE policy part contents including URSP rules is encoded as shown in figures 5.2.1 to 5.2.4A and table 5.2.1.</w:t>
      </w: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134"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p>
          <w:p>
            <w:pPr>
              <w:pStyle w:val="100"/>
            </w:pPr>
          </w:p>
          <w:p>
            <w:pPr>
              <w:pStyle w:val="100"/>
            </w:pPr>
            <w:r>
              <w:t>URSP rule 1</w:t>
            </w:r>
          </w:p>
        </w:tc>
        <w:tc>
          <w:tcPr>
            <w:tcW w:w="1134" w:type="dxa"/>
          </w:tcPr>
          <w:p>
            <w:pPr>
              <w:pStyle w:val="101"/>
            </w:pPr>
            <w:r>
              <w:t>octet q+3</w:t>
            </w:r>
          </w:p>
          <w:p>
            <w:pPr>
              <w:pStyle w:val="101"/>
            </w:pPr>
          </w:p>
          <w:p>
            <w:pPr>
              <w:pStyle w:val="101"/>
            </w:pPr>
          </w:p>
          <w:p>
            <w:pPr>
              <w:pStyle w:val="101"/>
            </w:pPr>
          </w:p>
          <w:p>
            <w:pPr>
              <w:pStyle w:val="101"/>
            </w:pPr>
          </w:p>
          <w:p>
            <w:pPr>
              <w:pStyle w:val="101"/>
            </w:pPr>
          </w:p>
          <w:p>
            <w:pPr>
              <w:pStyle w:val="101"/>
            </w:pPr>
            <w:r>
              <w:t>octet s</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p>
          <w:p>
            <w:pPr>
              <w:pStyle w:val="100"/>
            </w:pPr>
          </w:p>
          <w:p>
            <w:pPr>
              <w:pStyle w:val="100"/>
            </w:pPr>
            <w:r>
              <w:t>URSP rule 2</w:t>
            </w:r>
          </w:p>
        </w:tc>
        <w:tc>
          <w:tcPr>
            <w:tcW w:w="1134" w:type="dxa"/>
            <w:tcBorders>
              <w:top w:val="nil"/>
              <w:left w:val="single" w:color="auto" w:sz="6" w:space="0"/>
              <w:bottom w:val="nil"/>
              <w:right w:val="nil"/>
            </w:tcBorders>
          </w:tcPr>
          <w:p>
            <w:pPr>
              <w:pStyle w:val="101"/>
            </w:pPr>
            <w:r>
              <w:t>octet (s+1)*</w:t>
            </w:r>
          </w:p>
          <w:p>
            <w:pPr>
              <w:pStyle w:val="101"/>
            </w:pPr>
          </w:p>
          <w:p>
            <w:pPr>
              <w:pStyle w:val="101"/>
            </w:pPr>
          </w:p>
          <w:p>
            <w:pPr>
              <w:pStyle w:val="101"/>
            </w:pPr>
          </w:p>
          <w:p>
            <w:pPr>
              <w:pStyle w:val="101"/>
            </w:pPr>
          </w:p>
          <w:p>
            <w:pPr>
              <w:pStyle w:val="101"/>
            </w:pPr>
          </w:p>
          <w:p>
            <w:pPr>
              <w:pStyle w:val="101"/>
            </w:pPr>
            <w:r>
              <w:t>octet t*</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134" w:type="dxa"/>
            <w:tcBorders>
              <w:top w:val="nil"/>
              <w:left w:val="single" w:color="auto" w:sz="6" w:space="0"/>
              <w:bottom w:val="nil"/>
              <w:right w:val="nil"/>
            </w:tcBorders>
          </w:tcPr>
          <w:p>
            <w:pPr>
              <w:pStyle w:val="101"/>
            </w:pPr>
            <w:r>
              <w:t>octet (t+1)*</w:t>
            </w:r>
          </w:p>
          <w:p>
            <w:pPr>
              <w:pStyle w:val="101"/>
            </w:pPr>
          </w:p>
          <w:p>
            <w:pPr>
              <w:pStyle w:val="101"/>
            </w:pPr>
            <w:r>
              <w:t>octet u*</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p>
          <w:p>
            <w:pPr>
              <w:pStyle w:val="100"/>
            </w:pPr>
          </w:p>
          <w:p>
            <w:pPr>
              <w:pStyle w:val="100"/>
            </w:pPr>
            <w:r>
              <w:t>URSP rule n</w:t>
            </w:r>
          </w:p>
        </w:tc>
        <w:tc>
          <w:tcPr>
            <w:tcW w:w="1134" w:type="dxa"/>
            <w:tcBorders>
              <w:top w:val="nil"/>
              <w:left w:val="single" w:color="auto" w:sz="6" w:space="0"/>
              <w:bottom w:val="nil"/>
              <w:right w:val="nil"/>
            </w:tcBorders>
          </w:tcPr>
          <w:p>
            <w:pPr>
              <w:pStyle w:val="101"/>
            </w:pPr>
            <w:r>
              <w:t>octet (u+1)*</w:t>
            </w:r>
          </w:p>
          <w:p>
            <w:pPr>
              <w:pStyle w:val="101"/>
            </w:pPr>
          </w:p>
          <w:p>
            <w:pPr>
              <w:pStyle w:val="101"/>
            </w:pPr>
          </w:p>
          <w:p>
            <w:pPr>
              <w:pStyle w:val="101"/>
            </w:pPr>
          </w:p>
          <w:p>
            <w:pPr>
              <w:pStyle w:val="101"/>
            </w:pPr>
          </w:p>
          <w:p>
            <w:pPr>
              <w:pStyle w:val="101"/>
            </w:pPr>
          </w:p>
          <w:p>
            <w:pPr>
              <w:pStyle w:val="101"/>
            </w:pPr>
            <w:r>
              <w:t>octet r*</w:t>
            </w:r>
          </w:p>
        </w:tc>
      </w:tr>
    </w:tbl>
    <w:p>
      <w:pPr>
        <w:pStyle w:val="102"/>
      </w:pPr>
      <w:r>
        <w:t>Figure 5.2.1: UE policy part contents including one or more URSP rules</w:t>
      </w: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126"/>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134" w:type="dxa"/>
            <w:gridSpan w:val="2"/>
          </w:tcPr>
          <w:p>
            <w:pPr>
              <w:pStyle w:val="101"/>
            </w:pPr>
          </w:p>
        </w:tc>
      </w:tr>
      <w:tr>
        <w:tblPrEx>
          <w:tblCellMar>
            <w:top w:w="0" w:type="dxa"/>
            <w:left w:w="28" w:type="dxa"/>
            <w:bottom w:w="0" w:type="dxa"/>
            <w:right w:w="56" w:type="dxa"/>
          </w:tblCellMar>
        </w:tblPrEx>
        <w:trPr>
          <w:gridAfter w:val="1"/>
          <w:wAfter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URSP rule</w:t>
            </w:r>
          </w:p>
          <w:p>
            <w:pPr>
              <w:pStyle w:val="100"/>
            </w:pPr>
          </w:p>
        </w:tc>
        <w:tc>
          <w:tcPr>
            <w:tcW w:w="1134" w:type="dxa"/>
            <w:gridSpan w:val="2"/>
          </w:tcPr>
          <w:p>
            <w:pPr>
              <w:pStyle w:val="101"/>
            </w:pPr>
            <w:r>
              <w:t>octet v</w:t>
            </w:r>
          </w:p>
          <w:p>
            <w:pPr>
              <w:pStyle w:val="101"/>
            </w:pPr>
          </w:p>
          <w:p>
            <w:pPr>
              <w:pStyle w:val="101"/>
            </w:pPr>
            <w:r>
              <w:t>octet v+1</w:t>
            </w:r>
          </w:p>
        </w:tc>
      </w:tr>
      <w:tr>
        <w:tblPrEx>
          <w:tblCellMar>
            <w:top w:w="0" w:type="dxa"/>
            <w:left w:w="28" w:type="dxa"/>
            <w:bottom w:w="0" w:type="dxa"/>
            <w:right w:w="56" w:type="dxa"/>
          </w:tblCellMar>
        </w:tblPrEx>
        <w:trPr>
          <w:gridAfter w:val="1"/>
          <w:wAfter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r>
              <w:t>Precedence value of URSP rule</w:t>
            </w:r>
          </w:p>
        </w:tc>
        <w:tc>
          <w:tcPr>
            <w:tcW w:w="1134" w:type="dxa"/>
            <w:gridSpan w:val="2"/>
          </w:tcPr>
          <w:p>
            <w:pPr>
              <w:pStyle w:val="101"/>
            </w:pPr>
            <w:r>
              <w:t>octet v+2</w:t>
            </w:r>
          </w:p>
        </w:tc>
      </w:tr>
      <w:tr>
        <w:tblPrEx>
          <w:tblCellMar>
            <w:top w:w="0" w:type="dxa"/>
            <w:left w:w="28" w:type="dxa"/>
            <w:bottom w:w="0" w:type="dxa"/>
            <w:right w:w="56" w:type="dxa"/>
          </w:tblCellMar>
        </w:tblPrEx>
        <w:trPr>
          <w:gridAfter w:val="1"/>
          <w:wAfter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traffic descriptor</w:t>
            </w:r>
          </w:p>
          <w:p>
            <w:pPr>
              <w:pStyle w:val="100"/>
            </w:pPr>
          </w:p>
        </w:tc>
        <w:tc>
          <w:tcPr>
            <w:tcW w:w="1134" w:type="dxa"/>
            <w:gridSpan w:val="2"/>
          </w:tcPr>
          <w:p>
            <w:pPr>
              <w:pStyle w:val="101"/>
            </w:pPr>
            <w:r>
              <w:t>octet v+3</w:t>
            </w:r>
          </w:p>
          <w:p>
            <w:pPr>
              <w:pStyle w:val="101"/>
            </w:pPr>
          </w:p>
          <w:p>
            <w:pPr>
              <w:pStyle w:val="101"/>
            </w:pPr>
            <w:r>
              <w:t>octet v+4</w:t>
            </w:r>
          </w:p>
        </w:tc>
      </w:tr>
      <w:tr>
        <w:tblPrEx>
          <w:tblCellMar>
            <w:top w:w="0" w:type="dxa"/>
            <w:left w:w="28" w:type="dxa"/>
            <w:bottom w:w="0" w:type="dxa"/>
            <w:right w:w="56" w:type="dxa"/>
          </w:tblCellMar>
        </w:tblPrEx>
        <w:trPr>
          <w:gridAfter w:val="1"/>
          <w:wAfter w:w="8" w:type="dxa"/>
          <w:jc w:val="center"/>
        </w:trPr>
        <w:tc>
          <w:tcPr>
            <w:tcW w:w="5671" w:type="dxa"/>
            <w:gridSpan w:val="9"/>
            <w:tcBorders>
              <w:left w:val="single" w:color="auto" w:sz="6" w:space="0"/>
              <w:bottom w:val="single" w:color="auto" w:sz="6" w:space="0"/>
              <w:right w:val="single" w:color="auto" w:sz="6" w:space="0"/>
            </w:tcBorders>
          </w:tcPr>
          <w:p>
            <w:pPr>
              <w:pStyle w:val="100"/>
            </w:pPr>
          </w:p>
          <w:p>
            <w:pPr>
              <w:pStyle w:val="100"/>
            </w:pPr>
          </w:p>
          <w:p>
            <w:pPr>
              <w:pStyle w:val="100"/>
            </w:pPr>
            <w:r>
              <w:t>Traffic descriptor</w:t>
            </w:r>
          </w:p>
        </w:tc>
        <w:tc>
          <w:tcPr>
            <w:tcW w:w="1134" w:type="dxa"/>
            <w:gridSpan w:val="2"/>
          </w:tcPr>
          <w:p>
            <w:pPr>
              <w:pStyle w:val="101"/>
            </w:pPr>
            <w:r>
              <w:t>octet v+5</w:t>
            </w:r>
          </w:p>
          <w:p>
            <w:pPr>
              <w:pStyle w:val="101"/>
            </w:pPr>
          </w:p>
          <w:p>
            <w:pPr>
              <w:pStyle w:val="101"/>
            </w:pPr>
          </w:p>
          <w:p>
            <w:pPr>
              <w:pStyle w:val="101"/>
            </w:pPr>
          </w:p>
          <w:p>
            <w:pPr>
              <w:pStyle w:val="101"/>
            </w:pPr>
            <w:r>
              <w:t>octet w</w:t>
            </w:r>
          </w:p>
        </w:tc>
      </w:tr>
      <w:tr>
        <w:tblPrEx>
          <w:tblCellMar>
            <w:top w:w="0" w:type="dxa"/>
            <w:left w:w="28" w:type="dxa"/>
            <w:bottom w:w="0" w:type="dxa"/>
            <w:right w:w="56" w:type="dxa"/>
          </w:tblCellMar>
        </w:tblPrEx>
        <w:trPr>
          <w:gridAfter w:val="1"/>
          <w:wAfter w:w="8" w:type="dxa"/>
          <w:jc w:val="center"/>
        </w:trPr>
        <w:tc>
          <w:tcPr>
            <w:tcW w:w="5671" w:type="dxa"/>
            <w:gridSpan w:val="9"/>
            <w:tcBorders>
              <w:left w:val="single" w:color="auto" w:sz="6" w:space="0"/>
              <w:bottom w:val="single" w:color="auto" w:sz="6" w:space="0"/>
              <w:right w:val="single" w:color="auto" w:sz="6" w:space="0"/>
            </w:tcBorders>
          </w:tcPr>
          <w:p>
            <w:pPr>
              <w:pStyle w:val="100"/>
            </w:pPr>
          </w:p>
          <w:p>
            <w:pPr>
              <w:pStyle w:val="100"/>
            </w:pPr>
            <w:r>
              <w:t>Length of route selection descriptor list</w:t>
            </w:r>
          </w:p>
          <w:p>
            <w:pPr>
              <w:pStyle w:val="100"/>
            </w:pPr>
          </w:p>
        </w:tc>
        <w:tc>
          <w:tcPr>
            <w:tcW w:w="1134" w:type="dxa"/>
            <w:gridSpan w:val="2"/>
          </w:tcPr>
          <w:p>
            <w:pPr>
              <w:pStyle w:val="101"/>
            </w:pPr>
            <w:r>
              <w:t>octet w+1</w:t>
            </w:r>
          </w:p>
          <w:p>
            <w:pPr>
              <w:pStyle w:val="101"/>
            </w:pPr>
          </w:p>
          <w:p>
            <w:pPr>
              <w:pStyle w:val="101"/>
            </w:pPr>
            <w:r>
              <w:t>octet w+2</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gridAfter w:val="1"/>
          <w:wAfter w:w="8" w:type="dxa"/>
          <w:trHeight w:val="641"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p>
          <w:p>
            <w:pPr>
              <w:pStyle w:val="100"/>
            </w:pPr>
            <w:r>
              <w:t>Route selection descriptor list</w:t>
            </w:r>
          </w:p>
        </w:tc>
        <w:tc>
          <w:tcPr>
            <w:tcW w:w="1134" w:type="dxa"/>
            <w:gridSpan w:val="2"/>
            <w:tcBorders>
              <w:top w:val="nil"/>
              <w:left w:val="single" w:color="auto" w:sz="6" w:space="0"/>
              <w:bottom w:val="nil"/>
              <w:right w:val="nil"/>
            </w:tcBorders>
          </w:tcPr>
          <w:p>
            <w:pPr>
              <w:pStyle w:val="101"/>
            </w:pPr>
            <w:r>
              <w:t>octet w+3</w:t>
            </w:r>
          </w:p>
          <w:p>
            <w:pPr>
              <w:pStyle w:val="101"/>
            </w:pPr>
          </w:p>
          <w:p>
            <w:pPr>
              <w:pStyle w:val="101"/>
            </w:pPr>
          </w:p>
          <w:p>
            <w:pPr>
              <w:pStyle w:val="101"/>
            </w:pPr>
          </w:p>
          <w:p>
            <w:pPr>
              <w:pStyle w:val="101"/>
            </w:pPr>
            <w:r>
              <w:t>octet x</w:t>
            </w: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r>
              <w:t>Additional indications</w:t>
            </w:r>
          </w:p>
        </w:tc>
        <w:tc>
          <w:tcPr>
            <w:tcW w:w="1134" w:type="dxa"/>
            <w:gridSpan w:val="2"/>
          </w:tcPr>
          <w:p>
            <w:pPr>
              <w:pStyle w:val="101"/>
            </w:pPr>
            <w:r>
              <w:rPr>
                <w:lang w:eastAsia="zh-CN"/>
              </w:rPr>
              <w:t>octet (x+1)*</w:t>
            </w:r>
          </w:p>
        </w:tc>
      </w:tr>
    </w:tbl>
    <w:p>
      <w:pPr>
        <w:pStyle w:val="102"/>
      </w:pPr>
      <w:r>
        <w:t>Figure 5.2.2: URSP rule</w:t>
      </w: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134"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Route selection descriptor 1</w:t>
            </w:r>
          </w:p>
        </w:tc>
        <w:tc>
          <w:tcPr>
            <w:tcW w:w="1134" w:type="dxa"/>
          </w:tcPr>
          <w:p>
            <w:pPr>
              <w:pStyle w:val="101"/>
            </w:pPr>
            <w:r>
              <w:t>octet w+3</w:t>
            </w:r>
          </w:p>
          <w:p>
            <w:pPr>
              <w:pStyle w:val="101"/>
            </w:pPr>
          </w:p>
          <w:p>
            <w:pPr>
              <w:pStyle w:val="101"/>
            </w:pPr>
            <w:r>
              <w:t>octet y</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Route selection descriptor 2</w:t>
            </w:r>
          </w:p>
        </w:tc>
        <w:tc>
          <w:tcPr>
            <w:tcW w:w="1134" w:type="dxa"/>
            <w:tcBorders>
              <w:top w:val="nil"/>
              <w:left w:val="single" w:color="auto" w:sz="6" w:space="0"/>
              <w:bottom w:val="nil"/>
              <w:right w:val="nil"/>
            </w:tcBorders>
          </w:tcPr>
          <w:p>
            <w:pPr>
              <w:pStyle w:val="101"/>
            </w:pPr>
            <w:r>
              <w:t>octet (y+1)*</w:t>
            </w:r>
          </w:p>
          <w:p>
            <w:pPr>
              <w:pStyle w:val="101"/>
            </w:pPr>
          </w:p>
          <w:p>
            <w:pPr>
              <w:pStyle w:val="101"/>
            </w:pPr>
            <w:r>
              <w:t>octet z*</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134" w:type="dxa"/>
            <w:tcBorders>
              <w:top w:val="nil"/>
              <w:left w:val="single" w:color="auto" w:sz="6" w:space="0"/>
              <w:bottom w:val="nil"/>
              <w:right w:val="nil"/>
            </w:tcBorders>
          </w:tcPr>
          <w:p>
            <w:pPr>
              <w:pStyle w:val="101"/>
            </w:pPr>
            <w:r>
              <w:t>octet (z+1)*</w:t>
            </w:r>
          </w:p>
          <w:p>
            <w:pPr>
              <w:pStyle w:val="101"/>
            </w:pPr>
          </w:p>
          <w:p>
            <w:pPr>
              <w:pStyle w:val="101"/>
            </w:pPr>
            <w:r>
              <w:t>octet a*</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Route selection descriptor m</w:t>
            </w:r>
          </w:p>
        </w:tc>
        <w:tc>
          <w:tcPr>
            <w:tcW w:w="1134" w:type="dxa"/>
            <w:tcBorders>
              <w:top w:val="nil"/>
              <w:left w:val="single" w:color="auto" w:sz="6" w:space="0"/>
              <w:bottom w:val="nil"/>
              <w:right w:val="nil"/>
            </w:tcBorders>
          </w:tcPr>
          <w:p>
            <w:pPr>
              <w:pStyle w:val="101"/>
            </w:pPr>
            <w:r>
              <w:t>octet (a+1)*</w:t>
            </w:r>
          </w:p>
          <w:p>
            <w:pPr>
              <w:pStyle w:val="101"/>
            </w:pPr>
          </w:p>
          <w:p>
            <w:pPr>
              <w:pStyle w:val="101"/>
            </w:pPr>
            <w:r>
              <w:t>octet x*</w:t>
            </w:r>
          </w:p>
        </w:tc>
      </w:tr>
    </w:tbl>
    <w:p>
      <w:pPr>
        <w:pStyle w:val="102"/>
      </w:pPr>
      <w:r>
        <w:t>Figure 5.2.3: Route selection descriptor list</w:t>
      </w: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134"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route selection descriptor</w:t>
            </w:r>
          </w:p>
          <w:p>
            <w:pPr>
              <w:pStyle w:val="100"/>
            </w:pPr>
          </w:p>
        </w:tc>
        <w:tc>
          <w:tcPr>
            <w:tcW w:w="1134" w:type="dxa"/>
          </w:tcPr>
          <w:p>
            <w:pPr>
              <w:pStyle w:val="101"/>
            </w:pPr>
            <w:r>
              <w:t>octet b</w:t>
            </w:r>
          </w:p>
          <w:p>
            <w:pPr>
              <w:pStyle w:val="101"/>
            </w:pPr>
          </w:p>
          <w:p>
            <w:pPr>
              <w:pStyle w:val="101"/>
            </w:pPr>
            <w:r>
              <w:t>octet b+1</w:t>
            </w: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r>
              <w:t>Precedence value of route selection descriptor</w:t>
            </w:r>
          </w:p>
        </w:tc>
        <w:tc>
          <w:tcPr>
            <w:tcW w:w="1134" w:type="dxa"/>
          </w:tcPr>
          <w:p>
            <w:pPr>
              <w:pStyle w:val="101"/>
            </w:pPr>
            <w:r>
              <w:t>octet b+2</w:t>
            </w: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route selection descriptor contents</w:t>
            </w:r>
          </w:p>
          <w:p>
            <w:pPr>
              <w:pStyle w:val="100"/>
            </w:pPr>
          </w:p>
        </w:tc>
        <w:tc>
          <w:tcPr>
            <w:tcW w:w="1134" w:type="dxa"/>
          </w:tcPr>
          <w:p>
            <w:pPr>
              <w:pStyle w:val="101"/>
            </w:pPr>
            <w:r>
              <w:t>octet b+3</w:t>
            </w:r>
          </w:p>
          <w:p>
            <w:pPr>
              <w:pStyle w:val="101"/>
            </w:pPr>
          </w:p>
          <w:p>
            <w:pPr>
              <w:pStyle w:val="101"/>
            </w:pPr>
            <w:r>
              <w:t>octet b+4</w:t>
            </w: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Route selection descriptor contents</w:t>
            </w:r>
          </w:p>
        </w:tc>
        <w:tc>
          <w:tcPr>
            <w:tcW w:w="1134" w:type="dxa"/>
          </w:tcPr>
          <w:p>
            <w:pPr>
              <w:pStyle w:val="101"/>
            </w:pPr>
            <w:r>
              <w:t>octet b+5</w:t>
            </w:r>
          </w:p>
          <w:p>
            <w:pPr>
              <w:pStyle w:val="101"/>
            </w:pPr>
          </w:p>
          <w:p>
            <w:pPr>
              <w:pStyle w:val="101"/>
            </w:pPr>
            <w:r>
              <w:t>octet c</w:t>
            </w:r>
          </w:p>
        </w:tc>
      </w:tr>
    </w:tbl>
    <w:p>
      <w:pPr>
        <w:pStyle w:val="102"/>
      </w:pPr>
      <w:r>
        <w:t>Figure 5.2.4: Route selection descriptor</w:t>
      </w: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gridSpan w:val="2"/>
          </w:tcPr>
          <w:p>
            <w:pPr>
              <w:pStyle w:val="100"/>
            </w:pPr>
            <w:r>
              <w:t>7</w:t>
            </w:r>
          </w:p>
        </w:tc>
        <w:tc>
          <w:tcPr>
            <w:tcW w:w="709" w:type="dxa"/>
            <w:gridSpan w:val="2"/>
          </w:tcPr>
          <w:p>
            <w:pPr>
              <w:pStyle w:val="100"/>
            </w:pPr>
            <w:r>
              <w:t>6</w:t>
            </w:r>
          </w:p>
        </w:tc>
        <w:tc>
          <w:tcPr>
            <w:tcW w:w="709" w:type="dxa"/>
            <w:gridSpan w:val="2"/>
          </w:tcPr>
          <w:p>
            <w:pPr>
              <w:pStyle w:val="100"/>
            </w:pPr>
            <w:r>
              <w:t>5</w:t>
            </w:r>
          </w:p>
        </w:tc>
        <w:tc>
          <w:tcPr>
            <w:tcW w:w="709" w:type="dxa"/>
            <w:gridSpan w:val="2"/>
          </w:tcPr>
          <w:p>
            <w:pPr>
              <w:pStyle w:val="100"/>
            </w:pPr>
            <w:r>
              <w:t>4</w:t>
            </w:r>
          </w:p>
        </w:tc>
        <w:tc>
          <w:tcPr>
            <w:tcW w:w="709" w:type="dxa"/>
            <w:gridSpan w:val="2"/>
          </w:tcPr>
          <w:p>
            <w:pPr>
              <w:pStyle w:val="100"/>
            </w:pPr>
            <w:r>
              <w:t>3</w:t>
            </w:r>
          </w:p>
        </w:tc>
        <w:tc>
          <w:tcPr>
            <w:tcW w:w="709" w:type="dxa"/>
            <w:gridSpan w:val="2"/>
          </w:tcPr>
          <w:p>
            <w:pPr>
              <w:pStyle w:val="100"/>
            </w:pPr>
            <w:r>
              <w:t>2</w:t>
            </w:r>
          </w:p>
        </w:tc>
        <w:tc>
          <w:tcPr>
            <w:tcW w:w="709" w:type="dxa"/>
            <w:gridSpan w:val="2"/>
          </w:tcPr>
          <w:p>
            <w:pPr>
              <w:pStyle w:val="100"/>
            </w:pPr>
            <w:r>
              <w:t>1</w:t>
            </w:r>
          </w:p>
        </w:tc>
        <w:tc>
          <w:tcPr>
            <w:tcW w:w="1134"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rPr>
                <w:lang w:eastAsia="zh-CN"/>
              </w:rPr>
              <w:t>URERI</w:t>
            </w:r>
          </w:p>
        </w:tc>
        <w:tc>
          <w:tcPr>
            <w:tcW w:w="1134" w:type="dxa"/>
            <w:gridSpan w:val="2"/>
          </w:tcPr>
          <w:p>
            <w:pPr>
              <w:pStyle w:val="101"/>
            </w:pPr>
            <w:r>
              <w:t>octet x+1</w:t>
            </w:r>
          </w:p>
        </w:tc>
      </w:tr>
    </w:tbl>
    <w:p>
      <w:pPr>
        <w:pStyle w:val="102"/>
      </w:pPr>
      <w:r>
        <w:t>Figure 5.2.4A: Additional indications</w:t>
      </w:r>
    </w:p>
    <w:p>
      <w:pPr>
        <w:pStyle w:val="102"/>
      </w:pPr>
      <w:r>
        <w:t>Table 5.2.1: UE policy part contents including a URSP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3"/>
        <w:gridCol w:w="253"/>
        <w:gridCol w:w="287"/>
        <w:gridCol w:w="283"/>
        <w:gridCol w:w="283"/>
        <w:gridCol w:w="284"/>
        <w:gridCol w:w="284"/>
        <w:gridCol w:w="284"/>
        <w:gridCol w:w="284"/>
        <w:gridCol w:w="709"/>
        <w:gridCol w:w="4108"/>
        <w:gridCol w:w="22"/>
        <w:gridCol w:w="6"/>
        <w:gridCol w:w="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Precedence value of URSP rule (octet v+2)</w:t>
            </w:r>
          </w:p>
          <w:p>
            <w:pPr>
              <w:pStyle w:val="101"/>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 (NOTE 10).</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Traffic descriptor (octets v+5 to w)</w:t>
            </w:r>
          </w:p>
          <w:p>
            <w:pPr>
              <w:pStyle w:val="101"/>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Traffic descriptor component type identifier</w:t>
            </w:r>
          </w:p>
          <w:p>
            <w:pPr>
              <w:pStyle w:val="101"/>
            </w:pPr>
            <w:r>
              <w:t>Bits</w:t>
            </w:r>
            <w:r>
              <w:br w:type="textWrapping"/>
            </w:r>
            <w:r>
              <w:t>8 7 6 5 4 3 2 1</w:t>
            </w:r>
          </w:p>
          <w:p>
            <w:pPr>
              <w:pStyle w:val="101"/>
            </w:pPr>
            <w:r>
              <w:t>0 0 0 0 0 0 0 1</w:t>
            </w:r>
            <w:r>
              <w:tab/>
            </w:r>
            <w:r>
              <w:t>Match-all type</w:t>
            </w:r>
            <w:r>
              <w:br w:type="textWrapping"/>
            </w:r>
            <w:r>
              <w:t>0 0 0 0 1 0 0 0</w:t>
            </w:r>
            <w:r>
              <w:tab/>
            </w:r>
            <w:r>
              <w:t>OS Id + OS App Id type (NOTE 1)(NOTE 3)</w:t>
            </w:r>
            <w:r>
              <w:br w:type="textWrapping"/>
            </w:r>
            <w:r>
              <w:t>0 0 0 1 0 0 0 0</w:t>
            </w:r>
            <w:r>
              <w:tab/>
            </w:r>
            <w:r>
              <w:t>IPv4 remote address type</w:t>
            </w:r>
            <w:r>
              <w:br w:type="textWrapping"/>
            </w:r>
            <w:r>
              <w:t>0 0 1 0 0 0 0 1</w:t>
            </w:r>
            <w:r>
              <w:tab/>
            </w:r>
            <w:r>
              <w:t>IPv6 remote address/prefix length type</w:t>
            </w:r>
            <w:r>
              <w:br w:type="textWrapping"/>
            </w:r>
            <w:r>
              <w:t>0 0 1 1 0 0 0 0</w:t>
            </w:r>
            <w:r>
              <w:tab/>
            </w:r>
            <w:r>
              <w:t>Protocol identifier/next header type</w:t>
            </w:r>
            <w:r>
              <w:br w:type="textWrapping"/>
            </w:r>
            <w:r>
              <w:t>0 1 0 1 0 0 0 0</w:t>
            </w:r>
            <w:r>
              <w:tab/>
            </w:r>
            <w:r>
              <w:t>Single remote port type (NOTE 6)</w:t>
            </w:r>
            <w:r>
              <w:br w:type="textWrapping"/>
            </w:r>
            <w:r>
              <w:t>0 1 0 1 0 0 0 1</w:t>
            </w:r>
            <w:r>
              <w:tab/>
            </w:r>
            <w:r>
              <w:t>Remote port range type (NOTE 6)</w:t>
            </w:r>
            <w:r>
              <w:br w:type="textWrapping"/>
            </w:r>
            <w:r>
              <w:t>0 1 0 1 0 0 1 0</w:t>
            </w:r>
            <w:r>
              <w:tab/>
            </w:r>
            <w:r>
              <w:t>IP 3 tuple type</w:t>
            </w:r>
            <w:r>
              <w:br w:type="textWrapping"/>
            </w:r>
            <w:r>
              <w:t>0 1 1 0 0 0 0 0</w:t>
            </w:r>
            <w:r>
              <w:tab/>
            </w:r>
            <w:r>
              <w:t>Security parameter index type</w:t>
            </w:r>
            <w:r>
              <w:br w:type="textWrapping"/>
            </w:r>
            <w:r>
              <w:t>0 1 1 1 0 0 0 0</w:t>
            </w:r>
            <w:r>
              <w:tab/>
            </w:r>
            <w:r>
              <w:t>Type of service/traffic class type</w:t>
            </w:r>
            <w:r>
              <w:br w:type="textWrapping"/>
            </w:r>
            <w:r>
              <w:t>1 0 0 0 0 0 0 0</w:t>
            </w:r>
            <w:r>
              <w:tab/>
            </w:r>
            <w:r>
              <w:t>Flow label type</w:t>
            </w:r>
          </w:p>
          <w:p>
            <w:pPr>
              <w:pStyle w:val="101"/>
            </w:pPr>
            <w:r>
              <w:t>1 0 0 0 0 0 0 1</w:t>
            </w:r>
            <w:r>
              <w:tab/>
            </w:r>
            <w:r>
              <w:t>Destination MAC address type (NOTE 7)</w:t>
            </w:r>
            <w:r>
              <w:br w:type="textWrapping"/>
            </w:r>
            <w:r>
              <w:t>1 0 0 0 0 0 1 1</w:t>
            </w:r>
            <w:r>
              <w:tab/>
            </w:r>
            <w:r>
              <w:t>802.1Q C-TAG VID type (NOTE 4)</w:t>
            </w:r>
            <w:r>
              <w:br w:type="textWrapping"/>
            </w:r>
            <w:r>
              <w:t>1 0 0 0 0 1 0 0</w:t>
            </w:r>
            <w:r>
              <w:tab/>
            </w:r>
            <w:r>
              <w:t>802.1Q S-TAG VID type (NOTE 4)</w:t>
            </w:r>
            <w:r>
              <w:br w:type="textWrapping"/>
            </w:r>
            <w:r>
              <w:t>1 0 0 0 0 1 0 1</w:t>
            </w:r>
            <w:r>
              <w:tab/>
            </w:r>
            <w:r>
              <w:t>802.1Q C-TAG PCP/DEI type (NOTE 4)</w:t>
            </w:r>
            <w:r>
              <w:br w:type="textWrapping"/>
            </w:r>
            <w:r>
              <w:t>1 0 0 0 0 1 1 0</w:t>
            </w:r>
            <w:r>
              <w:tab/>
            </w:r>
            <w:r>
              <w:t>802.1Q S-TAG PCP/DEI type (NOTE 4)</w:t>
            </w:r>
            <w:r>
              <w:br w:type="textWrapping"/>
            </w:r>
            <w:r>
              <w:t>1 0 0 0 0 1 1 1</w:t>
            </w:r>
            <w:r>
              <w:tab/>
            </w:r>
            <w:r>
              <w:t>Ethertype type</w:t>
            </w:r>
          </w:p>
          <w:p>
            <w:pPr>
              <w:pStyle w:val="101"/>
            </w:pPr>
            <w:r>
              <w:t>1 0 0 0 1 0 0 0</w:t>
            </w:r>
            <w:r>
              <w:tab/>
            </w:r>
            <w:r>
              <w:t>DNN type (NOTE 3)</w:t>
            </w:r>
            <w:r>
              <w:br w:type="textWrapping"/>
            </w:r>
            <w:r>
              <w:t>1 0 0 1 0 0 0 0</w:t>
            </w:r>
            <w:r>
              <w:tab/>
            </w:r>
            <w:r>
              <w:t>Connection capabilities type (NOTE 3)</w:t>
            </w:r>
            <w:r>
              <w:br w:type="textWrapping"/>
            </w:r>
            <w:r>
              <w:t>1 0 0 1 0 0 0 1</w:t>
            </w:r>
            <w:r>
              <w:tab/>
            </w:r>
            <w:r>
              <w:t>Destination FQDN type</w:t>
            </w:r>
          </w:p>
          <w:p>
            <w:pPr>
              <w:pStyle w:val="101"/>
            </w:pPr>
            <w:r>
              <w:t>1 0 0 1 0 0 1 0</w:t>
            </w:r>
            <w:r>
              <w:tab/>
            </w:r>
            <w:r>
              <w:t>Regular expression type</w:t>
            </w:r>
            <w:r>
              <w:br w:type="textWrapping"/>
            </w:r>
            <w:r>
              <w:t>1 0 1 0 0 0 0 0</w:t>
            </w:r>
            <w:r>
              <w:tab/>
            </w:r>
            <w:r>
              <w:t>OS App Id type (NOTE 3)</w:t>
            </w:r>
          </w:p>
          <w:p>
            <w:pPr>
              <w:pStyle w:val="101"/>
            </w:pPr>
            <w:r>
              <w:t>1 0 1 0 0 0 0 1</w:t>
            </w:r>
            <w:r>
              <w:tab/>
            </w:r>
            <w:r>
              <w:t>Destination MAC address range type (NOTE 7)</w:t>
            </w:r>
          </w:p>
          <w:p>
            <w:pPr>
              <w:pStyle w:val="101"/>
              <w:rPr>
                <w:lang w:val="en-US"/>
              </w:rPr>
            </w:pPr>
            <w:r>
              <w:t>1 0 1 0 0 0 1 0</w:t>
            </w:r>
            <w:r>
              <w:tab/>
            </w:r>
            <w:r>
              <w:t>PIN ID type (NOTE</w:t>
            </w:r>
            <w:r>
              <w:rPr>
                <w:lang w:val="en-US"/>
              </w:rPr>
              <w:t> 8)</w:t>
            </w:r>
          </w:p>
          <w:p>
            <w:pPr>
              <w:pStyle w:val="101"/>
            </w:pPr>
            <w:r>
              <w:t>1 0 1 0 0 0 1 1</w:t>
            </w:r>
            <w:r>
              <w:tab/>
            </w:r>
            <w:r>
              <w:t>Connectivity group ID type (NOTE 13)</w:t>
            </w:r>
            <w:r>
              <w:br w:type="textWrapping"/>
            </w:r>
            <w:r>
              <w:t>All other values are spare. If received they shall be interpreted as unknown.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IDentifier (UUID) as specified in IETF RFC 4122 [16].</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"IPv4 remote address type", the traffic descriptor component value field shall be encoded as a sequence of a four octet IPv4 address field and a four octet IPv4 address mask field. The IPv4 address field shall be transmitted first.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"IPv6 remote address/prefix length type", the traffic descriptor component value field shall be encoded as a sequence of a sixteen octet IPv6 address field and one octet prefix length field. The IPv6 address field shall be transmitted first.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"protocol identifier/next header type", the traffic descriptor component value field shall be encoded as one octet which specifies the IPv4 protocol identifier or IPv6 next header.</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"single remote port type", the traffic descriptor component value field shall be encoded as two octets which specify a port number.</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"remote port range type", the traffic descriptor component value field shall be encoded as a sequence of a two octet port range low limit field and a two octet port range high limit field. The port range low limit field shall be transmitted first.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gridAfter w:val="1"/>
          <w:wBefore w:w="33" w:type="dxa"/>
          <w:wAfter w:w="27" w:type="dxa"/>
          <w:cantSplit/>
          <w:jc w:val="center"/>
        </w:trPr>
        <w:tc>
          <w:tcPr>
            <w:tcW w:w="7087" w:type="dxa"/>
            <w:gridSpan w:val="12"/>
          </w:tcPr>
          <w:p>
            <w:pPr>
              <w:pStyle w:val="101"/>
            </w:pPr>
            <w:r>
              <w:t>For "IP 3 tuple type", the traffic descriptor component value field shall be encoded as a sequence of a one octet IP 3 tuple information bitmap field where:</w:t>
            </w:r>
          </w:p>
          <w:p>
            <w:pPr>
              <w:pStyle w:val="101"/>
            </w:pPr>
            <w:r>
              <w:t xml:space="preserve">- bit 1 set to zero indicates that the IPv4 address field is absent; </w:t>
            </w:r>
          </w:p>
          <w:p>
            <w:pPr>
              <w:pStyle w:val="101"/>
            </w:pPr>
            <w:r>
              <w:t>- bit 1 set to one indicates that the IPv4 address field is present;</w:t>
            </w:r>
          </w:p>
          <w:p>
            <w:pPr>
              <w:pStyle w:val="101"/>
            </w:pPr>
            <w:r>
              <w:t xml:space="preserve">- bit 2 set to zero indicates that the IPv6 remote address/prefix length field is absent; </w:t>
            </w:r>
          </w:p>
          <w:p>
            <w:pPr>
              <w:pStyle w:val="101"/>
            </w:pPr>
            <w:r>
              <w:t>- bit 2 set to one indicates that the IPv6 remote address/prefix length field is present;</w:t>
            </w:r>
          </w:p>
          <w:p>
            <w:pPr>
              <w:pStyle w:val="101"/>
            </w:pPr>
            <w:r>
              <w:t xml:space="preserve">- bit 3 set to zero indicates that the protocol identifier/next header field is absent; </w:t>
            </w:r>
          </w:p>
          <w:p>
            <w:pPr>
              <w:pStyle w:val="101"/>
            </w:pPr>
            <w:r>
              <w:t>- bit 3 set to one indicates that the protocol identifier/next header field is present;</w:t>
            </w:r>
          </w:p>
          <w:p>
            <w:pPr>
              <w:pStyle w:val="101"/>
            </w:pPr>
            <w:r>
              <w:t xml:space="preserve">- bit 4 set to zero indicates that the single remote port field is absent; </w:t>
            </w:r>
          </w:p>
          <w:p>
            <w:pPr>
              <w:pStyle w:val="101"/>
            </w:pPr>
            <w:r>
              <w:t>- bit 4 set to one indicates that the single remote port field is present;</w:t>
            </w:r>
          </w:p>
          <w:p>
            <w:pPr>
              <w:pStyle w:val="101"/>
            </w:pPr>
            <w:r>
              <w:t xml:space="preserve">- bit 5 set to zero indicates that the remote port range field is absent; </w:t>
            </w:r>
          </w:p>
          <w:p>
            <w:pPr>
              <w:pStyle w:val="101"/>
            </w:pPr>
            <w:r>
              <w:t>- bit 5 set to one indicates that the remote port range field is present; and</w:t>
            </w:r>
          </w:p>
          <w:p>
            <w:pPr>
              <w:pStyle w:val="101"/>
            </w:pPr>
            <w:r>
              <w:t>- bits 6,7, and 8 are spare bits;</w:t>
            </w:r>
          </w:p>
          <w:p>
            <w:pPr>
              <w:pStyle w:val="101"/>
            </w:pPr>
            <w:r>
              <w:t>followed by a four octet IPv4 address field and a four octet IPv4 address mask field, if the IPv4 address field is present;</w:t>
            </w:r>
          </w:p>
          <w:p>
            <w:pPr>
              <w:pStyle w:val="101"/>
            </w:pPr>
            <w:r>
              <w:t>followed by a sixteen octet IPv6 address field and one octet prefix length field, if the IPv6 remote address/prefix length field is present;</w:t>
            </w:r>
          </w:p>
          <w:p>
            <w:pPr>
              <w:pStyle w:val="101"/>
            </w:pPr>
            <w:r>
              <w:t>followed by one octet which specifies the IPv4 protocol identifier or IPv6 next header, if the protocol identifier/next header field is present;</w:t>
            </w:r>
          </w:p>
          <w:p>
            <w:pPr>
              <w:pStyle w:val="101"/>
            </w:pPr>
            <w:r>
              <w:t>followed by two octets which specify a port number, if the single remote port field is present;</w:t>
            </w:r>
          </w:p>
          <w:p>
            <w:pPr>
              <w:pStyle w:val="101"/>
            </w:pPr>
            <w:r>
              <w:t>followed by a two octet port range low limit field and a two octet port range high limit field, if the remote port range field is present.</w:t>
            </w:r>
          </w:p>
          <w:p>
            <w:pPr>
              <w:pStyle w:val="101"/>
            </w:pPr>
            <w:r>
              <w:t>The IP 3 tuple information bitmap field shall be transmitted first.</w:t>
            </w:r>
          </w:p>
          <w:p>
            <w:pPr>
              <w:pStyle w:val="101"/>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pPr>
              <w:pStyle w:val="101"/>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pPr>
              <w:pStyle w:val="101"/>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"security parameter index type", the traffic descriptor component value field shall be encoded as four octets which specify the IPsec security parameter index.</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"flow label type", the traffic descriptor component value field shall be encoded as three octets which specify the IPv6 flow label. The bits 8 through 5 of the first octet shall be spare whereas the remaining 20 bits shall contain the IPv6 flow label.</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"destination MAC address type", the traffic descriptor component value field shall be encoded as 6 octets which specify a MAC address.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"802.1Q C-TAG VID type", the traffic descriptor component value field shall be encoded as two octets which specify the VID of the customer-VLAN tag (C-TAG) as specified in IEEE Std 802.1Q [20]. The bits 8 through 5 of the first octet shall be spare whereas the remaining 12 bits shall contain the VID.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"802.1Q S-TAG VID type", the traffic descriptor component value field shall be encoded as two octets which specify the VID of the service-VLAN tag (S-TAG) as specified in IEEE Std 802.1Q [20]. The bits 8 through 5 of the first octet shall be spare whereas the remaining 12 bits shall contain the VID.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"802.1Q C-TAG PCP/DEI type", the traffic descriptor component value field shall be encoded as one octet which specifies the 802.1Q C-TAG PCP and DEI as specified in IEEE Std 802.1Q [20]. The bits 8 through 5 of the octet shall be spare, and the bits 4 through 2 contain the PCP and bit 1 contains the DEI.</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"802.1Q S-TAG PCP/DEI type", the traffic descriptor component value field shall be encoded as one octet which specifies the 802.1Q S-TAG PCP as specified in IEEE Std 802.1Q [20]. The bits 8 through 5 of the octet shall be spare, and the bits 4 through 2 contain the PCP and bit 1 contains the DEI.</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"ethertype type", the traffic descriptor component value field shall be encoded as two octets which specify an ethertype.</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"DNN type", the traffic descriptor component value field shall be encoded as a sequence of a one octet DNN length field and a DNN value field of a variable size. The DNN value contains an APN as defined in 3GPP TS 23.003 [4].</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Borders>
              <w:top w:val="nil"/>
              <w:left w:val="single" w:color="auto" w:sz="4" w:space="0"/>
              <w:bottom w:val="nil"/>
              <w:right w:val="single" w:color="auto" w:sz="4" w:space="0"/>
            </w:tcBorders>
          </w:tcPr>
          <w:p>
            <w:pPr>
              <w:pStyle w:val="101"/>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del w:id="0" w:author="ZHOU" w:date="2024-08-11T21:28:00Z">
              <w:r>
                <w:rPr/>
                <w:delText xml:space="preserve"> (NOTE 17)</w:delText>
              </w:r>
            </w:del>
            <w: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7092" w:type="dxa"/>
            <w:gridSpan w:val="11"/>
          </w:tcPr>
          <w:p>
            <w:pPr>
              <w:pStyle w:val="101"/>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99"/>
            </w:pPr>
            <w:r>
              <w:t>8</w:t>
            </w:r>
          </w:p>
        </w:tc>
        <w:tc>
          <w:tcPr>
            <w:tcW w:w="287" w:type="dxa"/>
          </w:tcPr>
          <w:p>
            <w:pPr>
              <w:pStyle w:val="99"/>
            </w:pPr>
            <w:r>
              <w:t>7</w:t>
            </w:r>
          </w:p>
        </w:tc>
        <w:tc>
          <w:tcPr>
            <w:tcW w:w="283" w:type="dxa"/>
          </w:tcPr>
          <w:p>
            <w:pPr>
              <w:pStyle w:val="99"/>
            </w:pPr>
            <w:r>
              <w:t>6</w:t>
            </w:r>
          </w:p>
        </w:tc>
        <w:tc>
          <w:tcPr>
            <w:tcW w:w="283" w:type="dxa"/>
          </w:tcPr>
          <w:p>
            <w:pPr>
              <w:pStyle w:val="99"/>
            </w:pPr>
            <w:r>
              <w:t>5</w:t>
            </w:r>
          </w:p>
        </w:tc>
        <w:tc>
          <w:tcPr>
            <w:tcW w:w="284" w:type="dxa"/>
          </w:tcPr>
          <w:p>
            <w:pPr>
              <w:pStyle w:val="99"/>
            </w:pPr>
            <w:r>
              <w:t>4</w:t>
            </w:r>
          </w:p>
        </w:tc>
        <w:tc>
          <w:tcPr>
            <w:tcW w:w="284" w:type="dxa"/>
          </w:tcPr>
          <w:p>
            <w:pPr>
              <w:pStyle w:val="99"/>
            </w:pPr>
            <w:r>
              <w:t>3</w:t>
            </w:r>
          </w:p>
        </w:tc>
        <w:tc>
          <w:tcPr>
            <w:tcW w:w="284" w:type="dxa"/>
          </w:tcPr>
          <w:p>
            <w:pPr>
              <w:pStyle w:val="99"/>
            </w:pPr>
            <w:r>
              <w:t>2</w:t>
            </w:r>
          </w:p>
        </w:tc>
        <w:tc>
          <w:tcPr>
            <w:tcW w:w="284" w:type="dxa"/>
          </w:tcPr>
          <w:p>
            <w:pPr>
              <w:pStyle w:val="99"/>
            </w:pPr>
            <w:r>
              <w:t>1</w:t>
            </w:r>
          </w:p>
        </w:tc>
        <w:tc>
          <w:tcPr>
            <w:tcW w:w="709" w:type="dxa"/>
          </w:tcPr>
          <w:p>
            <w:pPr>
              <w:pStyle w:val="101"/>
            </w:pPr>
          </w:p>
        </w:tc>
        <w:tc>
          <w:tcPr>
            <w:tcW w:w="4108"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0</w:t>
            </w:r>
          </w:p>
        </w:tc>
        <w:tc>
          <w:tcPr>
            <w:tcW w:w="287" w:type="dxa"/>
          </w:tcPr>
          <w:p>
            <w:pPr>
              <w:pStyle w:val="100"/>
            </w:pPr>
            <w:r>
              <w:t>0</w:t>
            </w:r>
          </w:p>
        </w:tc>
        <w:tc>
          <w:tcPr>
            <w:tcW w:w="283" w:type="dxa"/>
          </w:tcPr>
          <w:p>
            <w:pPr>
              <w:pStyle w:val="100"/>
            </w:pPr>
            <w:r>
              <w:t>0</w:t>
            </w:r>
          </w:p>
        </w:tc>
        <w:tc>
          <w:tcPr>
            <w:tcW w:w="283"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1</w:t>
            </w:r>
          </w:p>
        </w:tc>
        <w:tc>
          <w:tcPr>
            <w:tcW w:w="709" w:type="dxa"/>
          </w:tcPr>
          <w:p>
            <w:pPr>
              <w:pStyle w:val="101"/>
            </w:pPr>
          </w:p>
        </w:tc>
        <w:tc>
          <w:tcPr>
            <w:tcW w:w="4108" w:type="dxa"/>
          </w:tcPr>
          <w:p>
            <w:pPr>
              <w:pStyle w:val="101"/>
            </w:pPr>
            <w:r>
              <w:t>IMS (NOTE 17)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0</w:t>
            </w:r>
          </w:p>
        </w:tc>
        <w:tc>
          <w:tcPr>
            <w:tcW w:w="287" w:type="dxa"/>
          </w:tcPr>
          <w:p>
            <w:pPr>
              <w:pStyle w:val="100"/>
            </w:pPr>
            <w:r>
              <w:t>0</w:t>
            </w:r>
          </w:p>
        </w:tc>
        <w:tc>
          <w:tcPr>
            <w:tcW w:w="283" w:type="dxa"/>
          </w:tcPr>
          <w:p>
            <w:pPr>
              <w:pStyle w:val="100"/>
            </w:pPr>
            <w:r>
              <w:t>0</w:t>
            </w:r>
          </w:p>
        </w:tc>
        <w:tc>
          <w:tcPr>
            <w:tcW w:w="283"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1</w:t>
            </w:r>
          </w:p>
        </w:tc>
        <w:tc>
          <w:tcPr>
            <w:tcW w:w="284" w:type="dxa"/>
          </w:tcPr>
          <w:p>
            <w:pPr>
              <w:pStyle w:val="100"/>
            </w:pPr>
            <w:r>
              <w:t>0</w:t>
            </w:r>
          </w:p>
        </w:tc>
        <w:tc>
          <w:tcPr>
            <w:tcW w:w="709" w:type="dxa"/>
          </w:tcPr>
          <w:p>
            <w:pPr>
              <w:pStyle w:val="101"/>
            </w:pPr>
          </w:p>
        </w:tc>
        <w:tc>
          <w:tcPr>
            <w:tcW w:w="4108" w:type="dxa"/>
          </w:tcPr>
          <w:p>
            <w:pPr>
              <w:pStyle w:val="101"/>
            </w:pPr>
            <w:r>
              <w:t>MMS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0</w:t>
            </w:r>
          </w:p>
        </w:tc>
        <w:tc>
          <w:tcPr>
            <w:tcW w:w="287" w:type="dxa"/>
          </w:tcPr>
          <w:p>
            <w:pPr>
              <w:pStyle w:val="100"/>
            </w:pPr>
            <w:r>
              <w:t>0</w:t>
            </w:r>
          </w:p>
        </w:tc>
        <w:tc>
          <w:tcPr>
            <w:tcW w:w="283" w:type="dxa"/>
          </w:tcPr>
          <w:p>
            <w:pPr>
              <w:pStyle w:val="100"/>
            </w:pPr>
            <w:r>
              <w:t>0</w:t>
            </w:r>
          </w:p>
        </w:tc>
        <w:tc>
          <w:tcPr>
            <w:tcW w:w="283" w:type="dxa"/>
          </w:tcPr>
          <w:p>
            <w:pPr>
              <w:pStyle w:val="100"/>
            </w:pPr>
            <w:r>
              <w:t>0</w:t>
            </w:r>
          </w:p>
        </w:tc>
        <w:tc>
          <w:tcPr>
            <w:tcW w:w="284" w:type="dxa"/>
          </w:tcPr>
          <w:p>
            <w:pPr>
              <w:pStyle w:val="100"/>
            </w:pPr>
            <w:r>
              <w:t>0</w:t>
            </w:r>
          </w:p>
        </w:tc>
        <w:tc>
          <w:tcPr>
            <w:tcW w:w="284" w:type="dxa"/>
          </w:tcPr>
          <w:p>
            <w:pPr>
              <w:pStyle w:val="100"/>
            </w:pPr>
            <w:r>
              <w:t>1</w:t>
            </w:r>
          </w:p>
        </w:tc>
        <w:tc>
          <w:tcPr>
            <w:tcW w:w="284" w:type="dxa"/>
          </w:tcPr>
          <w:p>
            <w:pPr>
              <w:pStyle w:val="100"/>
            </w:pPr>
            <w:r>
              <w:t>0</w:t>
            </w:r>
          </w:p>
        </w:tc>
        <w:tc>
          <w:tcPr>
            <w:tcW w:w="284" w:type="dxa"/>
          </w:tcPr>
          <w:p>
            <w:pPr>
              <w:pStyle w:val="100"/>
            </w:pPr>
            <w:r>
              <w:t>0</w:t>
            </w:r>
          </w:p>
        </w:tc>
        <w:tc>
          <w:tcPr>
            <w:tcW w:w="709" w:type="dxa"/>
          </w:tcPr>
          <w:p>
            <w:pPr>
              <w:pStyle w:val="101"/>
            </w:pPr>
          </w:p>
        </w:tc>
        <w:tc>
          <w:tcPr>
            <w:tcW w:w="4108" w:type="dxa"/>
          </w:tcPr>
          <w:p>
            <w:pPr>
              <w:pStyle w:val="101"/>
            </w:pPr>
            <w:r>
              <w:t>SUPL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0</w:t>
            </w:r>
          </w:p>
        </w:tc>
        <w:tc>
          <w:tcPr>
            <w:tcW w:w="287" w:type="dxa"/>
          </w:tcPr>
          <w:p>
            <w:pPr>
              <w:pStyle w:val="100"/>
            </w:pPr>
            <w:r>
              <w:t>0</w:t>
            </w:r>
          </w:p>
        </w:tc>
        <w:tc>
          <w:tcPr>
            <w:tcW w:w="283" w:type="dxa"/>
          </w:tcPr>
          <w:p>
            <w:pPr>
              <w:pStyle w:val="100"/>
            </w:pPr>
            <w:r>
              <w:t>0</w:t>
            </w:r>
          </w:p>
        </w:tc>
        <w:tc>
          <w:tcPr>
            <w:tcW w:w="283" w:type="dxa"/>
          </w:tcPr>
          <w:p>
            <w:pPr>
              <w:pStyle w:val="100"/>
            </w:pPr>
            <w:r>
              <w:t>0</w:t>
            </w:r>
          </w:p>
        </w:tc>
        <w:tc>
          <w:tcPr>
            <w:tcW w:w="284" w:type="dxa"/>
          </w:tcPr>
          <w:p>
            <w:pPr>
              <w:pStyle w:val="100"/>
            </w:pPr>
            <w:r>
              <w:t>1</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709" w:type="dxa"/>
          </w:tcPr>
          <w:p>
            <w:pPr>
              <w:pStyle w:val="101"/>
            </w:pPr>
          </w:p>
        </w:tc>
        <w:tc>
          <w:tcPr>
            <w:tcW w:w="4108" w:type="dxa"/>
          </w:tcPr>
          <w:p>
            <w:pPr>
              <w:pStyle w:val="101"/>
            </w:pPr>
            <w:r>
              <w:rPr>
                <w:lang w:val="fr-FR"/>
              </w:rPr>
              <w:t xml:space="preserve">Internet </w:t>
            </w:r>
            <w:r>
              <w:t>(NOTE 17)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2"/>
          <w:wAfter w:w="33" w:type="dxa"/>
          <w:jc w:val="center"/>
        </w:trPr>
        <w:tc>
          <w:tcPr>
            <w:tcW w:w="286" w:type="dxa"/>
            <w:gridSpan w:val="2"/>
          </w:tcPr>
          <w:p>
            <w:pPr>
              <w:pStyle w:val="100"/>
            </w:pPr>
            <w:r>
              <w:t>0</w:t>
            </w:r>
          </w:p>
        </w:tc>
        <w:tc>
          <w:tcPr>
            <w:tcW w:w="287" w:type="dxa"/>
          </w:tcPr>
          <w:p>
            <w:pPr>
              <w:pStyle w:val="100"/>
            </w:pPr>
            <w:r>
              <w:t>0</w:t>
            </w:r>
          </w:p>
        </w:tc>
        <w:tc>
          <w:tcPr>
            <w:tcW w:w="283" w:type="dxa"/>
          </w:tcPr>
          <w:p>
            <w:pPr>
              <w:pStyle w:val="100"/>
            </w:pPr>
            <w:r>
              <w:t>0</w:t>
            </w:r>
          </w:p>
        </w:tc>
        <w:tc>
          <w:tcPr>
            <w:tcW w:w="283" w:type="dxa"/>
          </w:tcPr>
          <w:p>
            <w:pPr>
              <w:pStyle w:val="100"/>
            </w:pPr>
            <w:r>
              <w:t>1</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709" w:type="dxa"/>
          </w:tcPr>
          <w:p>
            <w:pPr>
              <w:pStyle w:val="101"/>
            </w:pPr>
          </w:p>
        </w:tc>
        <w:tc>
          <w:tcPr>
            <w:tcW w:w="4130" w:type="dxa"/>
            <w:gridSpan w:val="2"/>
          </w:tcPr>
          <w:p>
            <w:pPr>
              <w:pStyle w:val="101"/>
            </w:pPr>
            <w:r>
              <w:t>LCS user plane positioning (NOTE 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0</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709" w:type="dxa"/>
          </w:tcPr>
          <w:p>
            <w:pPr>
              <w:pStyle w:val="101"/>
            </w:pPr>
          </w:p>
        </w:tc>
        <w:tc>
          <w:tcPr>
            <w:tcW w:w="4108"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275" w:type="dxa"/>
            <w:gridSpan w:val="9"/>
          </w:tcPr>
          <w:p>
            <w:pPr>
              <w:pStyle w:val="100"/>
            </w:pPr>
            <w:r>
              <w:t>to</w:t>
            </w:r>
          </w:p>
        </w:tc>
        <w:tc>
          <w:tcPr>
            <w:tcW w:w="709" w:type="dxa"/>
          </w:tcPr>
          <w:p>
            <w:pPr>
              <w:pStyle w:val="101"/>
            </w:pPr>
          </w:p>
        </w:tc>
        <w:tc>
          <w:tcPr>
            <w:tcW w:w="4108" w:type="dxa"/>
          </w:tcPr>
          <w:p>
            <w:pPr>
              <w:pStyle w:val="101"/>
            </w:pPr>
            <w:r>
              <w:t>Operator specific connection capabilities (NOTE 15)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709" w:type="dxa"/>
          </w:tcPr>
          <w:p>
            <w:pPr>
              <w:pStyle w:val="101"/>
            </w:pPr>
          </w:p>
        </w:tc>
        <w:tc>
          <w:tcPr>
            <w:tcW w:w="4108"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1</w:t>
            </w:r>
          </w:p>
        </w:tc>
        <w:tc>
          <w:tcPr>
            <w:tcW w:w="709" w:type="dxa"/>
          </w:tcPr>
          <w:p>
            <w:pPr>
              <w:pStyle w:val="101"/>
            </w:pPr>
          </w:p>
        </w:tc>
        <w:tc>
          <w:tcPr>
            <w:tcW w:w="4108" w:type="dxa"/>
          </w:tcPr>
          <w:p>
            <w:pPr>
              <w:pStyle w:val="101"/>
            </w:pPr>
            <w:r>
              <w:t>IoT delay-tolerant (NOTE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1</w:t>
            </w:r>
          </w:p>
        </w:tc>
        <w:tc>
          <w:tcPr>
            <w:tcW w:w="284" w:type="dxa"/>
          </w:tcPr>
          <w:p>
            <w:pPr>
              <w:pStyle w:val="100"/>
            </w:pPr>
            <w:r>
              <w:t>0</w:t>
            </w:r>
          </w:p>
        </w:tc>
        <w:tc>
          <w:tcPr>
            <w:tcW w:w="709" w:type="dxa"/>
          </w:tcPr>
          <w:p>
            <w:pPr>
              <w:pStyle w:val="101"/>
            </w:pPr>
          </w:p>
        </w:tc>
        <w:tc>
          <w:tcPr>
            <w:tcW w:w="4108" w:type="dxa"/>
          </w:tcPr>
          <w:p>
            <w:pPr>
              <w:pStyle w:val="101"/>
            </w:pPr>
            <w:r>
              <w:t>IoT non-delay-tolerant (NOTE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0</w:t>
            </w:r>
          </w:p>
        </w:tc>
        <w:tc>
          <w:tcPr>
            <w:tcW w:w="284" w:type="dxa"/>
          </w:tcPr>
          <w:p>
            <w:pPr>
              <w:pStyle w:val="100"/>
            </w:pPr>
            <w:r>
              <w:t>0</w:t>
            </w:r>
          </w:p>
        </w:tc>
        <w:tc>
          <w:tcPr>
            <w:tcW w:w="284" w:type="dxa"/>
          </w:tcPr>
          <w:p>
            <w:pPr>
              <w:pStyle w:val="100"/>
            </w:pPr>
            <w:r>
              <w:t>1</w:t>
            </w:r>
          </w:p>
        </w:tc>
        <w:tc>
          <w:tcPr>
            <w:tcW w:w="284" w:type="dxa"/>
          </w:tcPr>
          <w:p>
            <w:pPr>
              <w:pStyle w:val="100"/>
            </w:pPr>
            <w:r>
              <w:t>1</w:t>
            </w:r>
          </w:p>
        </w:tc>
        <w:tc>
          <w:tcPr>
            <w:tcW w:w="709" w:type="dxa"/>
          </w:tcPr>
          <w:p>
            <w:pPr>
              <w:pStyle w:val="101"/>
            </w:pPr>
          </w:p>
        </w:tc>
        <w:tc>
          <w:tcPr>
            <w:tcW w:w="4108" w:type="dxa"/>
          </w:tcPr>
          <w:p>
            <w:pPr>
              <w:pStyle w:val="101"/>
            </w:pPr>
            <w:r>
              <w:rPr>
                <w:lang w:val="fr-FR"/>
              </w:rPr>
              <w:t xml:space="preserve">Downlink streaming </w:t>
            </w:r>
            <w:r>
              <w:t>(NOTE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0</w:t>
            </w:r>
          </w:p>
        </w:tc>
        <w:tc>
          <w:tcPr>
            <w:tcW w:w="284" w:type="dxa"/>
          </w:tcPr>
          <w:p>
            <w:pPr>
              <w:pStyle w:val="100"/>
            </w:pPr>
            <w:r>
              <w:t>1</w:t>
            </w:r>
          </w:p>
        </w:tc>
        <w:tc>
          <w:tcPr>
            <w:tcW w:w="284" w:type="dxa"/>
          </w:tcPr>
          <w:p>
            <w:pPr>
              <w:pStyle w:val="100"/>
            </w:pPr>
            <w:r>
              <w:t>0</w:t>
            </w:r>
          </w:p>
        </w:tc>
        <w:tc>
          <w:tcPr>
            <w:tcW w:w="284" w:type="dxa"/>
          </w:tcPr>
          <w:p>
            <w:pPr>
              <w:pStyle w:val="100"/>
            </w:pPr>
            <w:r>
              <w:t>0</w:t>
            </w:r>
          </w:p>
        </w:tc>
        <w:tc>
          <w:tcPr>
            <w:tcW w:w="709" w:type="dxa"/>
          </w:tcPr>
          <w:p>
            <w:pPr>
              <w:pStyle w:val="101"/>
            </w:pPr>
          </w:p>
        </w:tc>
        <w:tc>
          <w:tcPr>
            <w:tcW w:w="4108" w:type="dxa"/>
          </w:tcPr>
          <w:p>
            <w:pPr>
              <w:pStyle w:val="101"/>
            </w:pPr>
            <w:r>
              <w:rPr>
                <w:lang w:val="fr-FR"/>
              </w:rPr>
              <w:t xml:space="preserve">Uplink streaming </w:t>
            </w:r>
            <w:r>
              <w:t>(NOTE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0</w:t>
            </w:r>
          </w:p>
        </w:tc>
        <w:tc>
          <w:tcPr>
            <w:tcW w:w="284" w:type="dxa"/>
          </w:tcPr>
          <w:p>
            <w:pPr>
              <w:pStyle w:val="100"/>
            </w:pPr>
            <w:r>
              <w:t>1</w:t>
            </w:r>
          </w:p>
        </w:tc>
        <w:tc>
          <w:tcPr>
            <w:tcW w:w="284" w:type="dxa"/>
          </w:tcPr>
          <w:p>
            <w:pPr>
              <w:pStyle w:val="100"/>
            </w:pPr>
            <w:r>
              <w:t>0</w:t>
            </w:r>
          </w:p>
        </w:tc>
        <w:tc>
          <w:tcPr>
            <w:tcW w:w="284" w:type="dxa"/>
          </w:tcPr>
          <w:p>
            <w:pPr>
              <w:pStyle w:val="100"/>
            </w:pPr>
            <w:r>
              <w:t>1</w:t>
            </w:r>
          </w:p>
        </w:tc>
        <w:tc>
          <w:tcPr>
            <w:tcW w:w="709" w:type="dxa"/>
          </w:tcPr>
          <w:p>
            <w:pPr>
              <w:pStyle w:val="101"/>
            </w:pPr>
          </w:p>
        </w:tc>
        <w:tc>
          <w:tcPr>
            <w:tcW w:w="4108" w:type="dxa"/>
          </w:tcPr>
          <w:p>
            <w:pPr>
              <w:pStyle w:val="101"/>
            </w:pPr>
            <w:r>
              <w:rPr>
                <w:lang w:val="fr-FR"/>
              </w:rPr>
              <w:t xml:space="preserve">Vehicular communications </w:t>
            </w:r>
            <w:r>
              <w:t>(NOTE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0</w:t>
            </w:r>
          </w:p>
        </w:tc>
        <w:tc>
          <w:tcPr>
            <w:tcW w:w="284" w:type="dxa"/>
          </w:tcPr>
          <w:p>
            <w:pPr>
              <w:pStyle w:val="100"/>
            </w:pPr>
            <w:r>
              <w:t>1</w:t>
            </w:r>
          </w:p>
        </w:tc>
        <w:tc>
          <w:tcPr>
            <w:tcW w:w="284" w:type="dxa"/>
          </w:tcPr>
          <w:p>
            <w:pPr>
              <w:pStyle w:val="100"/>
            </w:pPr>
            <w:r>
              <w:t>1</w:t>
            </w:r>
          </w:p>
        </w:tc>
        <w:tc>
          <w:tcPr>
            <w:tcW w:w="284" w:type="dxa"/>
          </w:tcPr>
          <w:p>
            <w:pPr>
              <w:pStyle w:val="100"/>
            </w:pPr>
            <w:r>
              <w:t>0</w:t>
            </w:r>
          </w:p>
        </w:tc>
        <w:tc>
          <w:tcPr>
            <w:tcW w:w="709" w:type="dxa"/>
          </w:tcPr>
          <w:p>
            <w:pPr>
              <w:pStyle w:val="101"/>
            </w:pPr>
          </w:p>
        </w:tc>
        <w:tc>
          <w:tcPr>
            <w:tcW w:w="4108" w:type="dxa"/>
          </w:tcPr>
          <w:p>
            <w:pPr>
              <w:pStyle w:val="101"/>
            </w:pPr>
            <w:r>
              <w:rPr>
                <w:lang w:val="fr-FR"/>
              </w:rPr>
              <w:t xml:space="preserve">Real time interactive </w:t>
            </w:r>
            <w:r>
              <w:t>(NOTE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0</w:t>
            </w:r>
          </w:p>
        </w:tc>
        <w:tc>
          <w:tcPr>
            <w:tcW w:w="284" w:type="dxa"/>
          </w:tcPr>
          <w:p>
            <w:pPr>
              <w:pStyle w:val="100"/>
            </w:pPr>
            <w:r>
              <w:t>1</w:t>
            </w:r>
          </w:p>
        </w:tc>
        <w:tc>
          <w:tcPr>
            <w:tcW w:w="284" w:type="dxa"/>
          </w:tcPr>
          <w:p>
            <w:pPr>
              <w:pStyle w:val="100"/>
            </w:pPr>
            <w:r>
              <w:t>1</w:t>
            </w:r>
          </w:p>
        </w:tc>
        <w:tc>
          <w:tcPr>
            <w:tcW w:w="284" w:type="dxa"/>
          </w:tcPr>
          <w:p>
            <w:pPr>
              <w:pStyle w:val="100"/>
            </w:pPr>
            <w:r>
              <w:t>1</w:t>
            </w:r>
          </w:p>
        </w:tc>
        <w:tc>
          <w:tcPr>
            <w:tcW w:w="709" w:type="dxa"/>
          </w:tcPr>
          <w:p>
            <w:pPr>
              <w:pStyle w:val="101"/>
            </w:pPr>
          </w:p>
        </w:tc>
        <w:tc>
          <w:tcPr>
            <w:tcW w:w="4108" w:type="dxa"/>
          </w:tcPr>
          <w:p>
            <w:pPr>
              <w:pStyle w:val="101"/>
            </w:pPr>
            <w:r>
              <w:rPr>
                <w:lang w:val="fr-FR"/>
              </w:rPr>
              <w:t xml:space="preserve">Unified communications </w:t>
            </w:r>
            <w:r>
              <w:t>(NOTE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1</w:t>
            </w:r>
          </w:p>
        </w:tc>
        <w:tc>
          <w:tcPr>
            <w:tcW w:w="284" w:type="dxa"/>
          </w:tcPr>
          <w:p>
            <w:pPr>
              <w:pStyle w:val="100"/>
            </w:pPr>
            <w:r>
              <w:t>0</w:t>
            </w:r>
          </w:p>
        </w:tc>
        <w:tc>
          <w:tcPr>
            <w:tcW w:w="284" w:type="dxa"/>
          </w:tcPr>
          <w:p>
            <w:pPr>
              <w:pStyle w:val="100"/>
            </w:pPr>
            <w:r>
              <w:t>0</w:t>
            </w:r>
          </w:p>
        </w:tc>
        <w:tc>
          <w:tcPr>
            <w:tcW w:w="284" w:type="dxa"/>
          </w:tcPr>
          <w:p>
            <w:pPr>
              <w:pStyle w:val="100"/>
            </w:pPr>
            <w:r>
              <w:t>0</w:t>
            </w:r>
          </w:p>
        </w:tc>
        <w:tc>
          <w:tcPr>
            <w:tcW w:w="709" w:type="dxa"/>
          </w:tcPr>
          <w:p>
            <w:pPr>
              <w:pStyle w:val="101"/>
            </w:pPr>
          </w:p>
        </w:tc>
        <w:tc>
          <w:tcPr>
            <w:tcW w:w="4108" w:type="dxa"/>
          </w:tcPr>
          <w:p>
            <w:pPr>
              <w:pStyle w:val="101"/>
            </w:pPr>
            <w:r>
              <w:rPr>
                <w:lang w:val="fr-FR"/>
              </w:rPr>
              <w:t>Background (NOTE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1</w:t>
            </w:r>
          </w:p>
        </w:tc>
        <w:tc>
          <w:tcPr>
            <w:tcW w:w="284" w:type="dxa"/>
          </w:tcPr>
          <w:p>
            <w:pPr>
              <w:pStyle w:val="100"/>
            </w:pPr>
            <w:r>
              <w:t>0</w:t>
            </w:r>
          </w:p>
        </w:tc>
        <w:tc>
          <w:tcPr>
            <w:tcW w:w="284" w:type="dxa"/>
          </w:tcPr>
          <w:p>
            <w:pPr>
              <w:pStyle w:val="100"/>
            </w:pPr>
            <w:r>
              <w:t>0</w:t>
            </w:r>
          </w:p>
        </w:tc>
        <w:tc>
          <w:tcPr>
            <w:tcW w:w="284" w:type="dxa"/>
          </w:tcPr>
          <w:p>
            <w:pPr>
              <w:pStyle w:val="100"/>
            </w:pPr>
            <w:r>
              <w:t>1</w:t>
            </w:r>
          </w:p>
        </w:tc>
        <w:tc>
          <w:tcPr>
            <w:tcW w:w="709" w:type="dxa"/>
          </w:tcPr>
          <w:p>
            <w:pPr>
              <w:pStyle w:val="101"/>
            </w:pPr>
          </w:p>
        </w:tc>
        <w:tc>
          <w:tcPr>
            <w:tcW w:w="4108" w:type="dxa"/>
          </w:tcPr>
          <w:p>
            <w:pPr>
              <w:pStyle w:val="101"/>
            </w:pPr>
            <w:r>
              <w:rPr>
                <w:lang w:val="fr-FR"/>
              </w:rPr>
              <w:t xml:space="preserve">Mission critical communications </w:t>
            </w:r>
            <w:r>
              <w:t>(NOTE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1</w:t>
            </w:r>
          </w:p>
        </w:tc>
        <w:tc>
          <w:tcPr>
            <w:tcW w:w="284" w:type="dxa"/>
          </w:tcPr>
          <w:p>
            <w:pPr>
              <w:pStyle w:val="100"/>
            </w:pPr>
            <w:r>
              <w:t>0</w:t>
            </w:r>
          </w:p>
        </w:tc>
        <w:tc>
          <w:tcPr>
            <w:tcW w:w="284" w:type="dxa"/>
          </w:tcPr>
          <w:p>
            <w:pPr>
              <w:pStyle w:val="100"/>
            </w:pPr>
            <w:r>
              <w:t>1</w:t>
            </w:r>
          </w:p>
        </w:tc>
        <w:tc>
          <w:tcPr>
            <w:tcW w:w="284" w:type="dxa"/>
          </w:tcPr>
          <w:p>
            <w:pPr>
              <w:pStyle w:val="100"/>
            </w:pPr>
            <w:r>
              <w:t>0</w:t>
            </w:r>
          </w:p>
        </w:tc>
        <w:tc>
          <w:tcPr>
            <w:tcW w:w="709" w:type="dxa"/>
          </w:tcPr>
          <w:p>
            <w:pPr>
              <w:pStyle w:val="101"/>
            </w:pPr>
          </w:p>
        </w:tc>
        <w:tc>
          <w:tcPr>
            <w:tcW w:w="4108" w:type="dxa"/>
          </w:tcPr>
          <w:p>
            <w:pPr>
              <w:pStyle w:val="101"/>
            </w:pPr>
            <w:r>
              <w:rPr>
                <w:lang w:val="fr-FR"/>
              </w:rPr>
              <w:t xml:space="preserve">Time critical communications </w:t>
            </w:r>
            <w:r>
              <w:t>(NOTE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jc w:val="center"/>
        </w:trPr>
        <w:tc>
          <w:tcPr>
            <w:tcW w:w="286" w:type="dxa"/>
            <w:gridSpan w:val="2"/>
          </w:tcPr>
          <w:p>
            <w:pPr>
              <w:pStyle w:val="100"/>
            </w:pPr>
            <w:r>
              <w:t>1</w:t>
            </w:r>
          </w:p>
        </w:tc>
        <w:tc>
          <w:tcPr>
            <w:tcW w:w="287" w:type="dxa"/>
          </w:tcPr>
          <w:p>
            <w:pPr>
              <w:pStyle w:val="100"/>
            </w:pPr>
            <w:r>
              <w:t>0</w:t>
            </w:r>
          </w:p>
        </w:tc>
        <w:tc>
          <w:tcPr>
            <w:tcW w:w="283" w:type="dxa"/>
          </w:tcPr>
          <w:p>
            <w:pPr>
              <w:pStyle w:val="100"/>
            </w:pPr>
            <w:r>
              <w:t>1</w:t>
            </w:r>
          </w:p>
        </w:tc>
        <w:tc>
          <w:tcPr>
            <w:tcW w:w="283" w:type="dxa"/>
          </w:tcPr>
          <w:p>
            <w:pPr>
              <w:pStyle w:val="100"/>
            </w:pPr>
            <w:r>
              <w:t>0</w:t>
            </w:r>
          </w:p>
        </w:tc>
        <w:tc>
          <w:tcPr>
            <w:tcW w:w="284" w:type="dxa"/>
          </w:tcPr>
          <w:p>
            <w:pPr>
              <w:pStyle w:val="100"/>
            </w:pPr>
            <w:r>
              <w:t>1</w:t>
            </w:r>
          </w:p>
        </w:tc>
        <w:tc>
          <w:tcPr>
            <w:tcW w:w="284" w:type="dxa"/>
          </w:tcPr>
          <w:p>
            <w:pPr>
              <w:pStyle w:val="100"/>
            </w:pPr>
            <w:r>
              <w:t>0</w:t>
            </w:r>
          </w:p>
        </w:tc>
        <w:tc>
          <w:tcPr>
            <w:tcW w:w="284" w:type="dxa"/>
          </w:tcPr>
          <w:p>
            <w:pPr>
              <w:pStyle w:val="100"/>
            </w:pPr>
            <w:r>
              <w:t>1</w:t>
            </w:r>
          </w:p>
        </w:tc>
        <w:tc>
          <w:tcPr>
            <w:tcW w:w="284" w:type="dxa"/>
          </w:tcPr>
          <w:p>
            <w:pPr>
              <w:pStyle w:val="100"/>
            </w:pPr>
            <w:r>
              <w:t>1</w:t>
            </w:r>
          </w:p>
        </w:tc>
        <w:tc>
          <w:tcPr>
            <w:tcW w:w="709" w:type="dxa"/>
          </w:tcPr>
          <w:p>
            <w:pPr>
              <w:pStyle w:val="101"/>
            </w:pPr>
          </w:p>
        </w:tc>
        <w:tc>
          <w:tcPr>
            <w:tcW w:w="4108" w:type="dxa"/>
          </w:tcPr>
          <w:p>
            <w:pPr>
              <w:pStyle w:val="101"/>
            </w:pPr>
            <w:r>
              <w:t>Low latency loss tolerant communications in un-acknowledged mode (NOTE 14)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Borders>
              <w:top w:val="nil"/>
              <w:left w:val="single" w:color="auto" w:sz="4" w:space="0"/>
              <w:bottom w:val="nil"/>
              <w:right w:val="single" w:color="auto" w:sz="4" w:space="0"/>
            </w:tcBorders>
          </w:tcPr>
          <w:p>
            <w:pPr>
              <w:pStyle w:val="101"/>
            </w:pPr>
            <w:r>
              <w:t>All other values are spare. If received, they shall be interpreted as unknown.</w:t>
            </w:r>
          </w:p>
          <w:p>
            <w:pPr>
              <w:pStyle w:val="101"/>
              <w:spacing w:after="4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Borders>
              <w:top w:val="nil"/>
              <w:left w:val="single" w:color="auto" w:sz="4" w:space="0"/>
              <w:bottom w:val="nil"/>
              <w:right w:val="single" w:color="auto" w:sz="4" w:space="0"/>
            </w:tcBorders>
          </w:tcPr>
          <w:p>
            <w:pPr>
              <w:pStyle w:val="101"/>
              <w:spacing w:after="4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"destination FQDN type”, the traffic descriptor component value field shall be encoded as a sequence of one octet destination FQDN length field and a destination FQDN value of variable size. The destination FQDN value field shall be encoded as defined in clause </w:t>
            </w:r>
            <w:r>
              <w:rPr>
                <w:rFonts w:hint="eastAsia"/>
                <w:lang w:val="en-US" w:eastAsia="zh-CN"/>
              </w:rPr>
              <w:t>28.3.2.1</w:t>
            </w:r>
            <w:r>
              <w:t xml:space="preserve"> in 3GPP TS 23.003 [4]. </w:t>
            </w:r>
          </w:p>
          <w:p>
            <w:pPr>
              <w:pStyle w:val="101"/>
            </w:pPr>
          </w:p>
          <w:p>
            <w:pPr>
              <w:pStyle w:val="101"/>
            </w:pPr>
            <w: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 [19].</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Borders>
              <w:top w:val="nil"/>
              <w:left w:val="single" w:color="auto" w:sz="4" w:space="0"/>
              <w:bottom w:val="nil"/>
              <w:right w:val="single" w:color="auto" w:sz="4" w:space="0"/>
            </w:tcBorders>
          </w:tcPr>
          <w:p>
            <w:pPr>
              <w:pStyle w:val="101"/>
              <w:spacing w:after="40"/>
            </w:pPr>
            <w:r>
              <w:t>For "OS App Id type", the traffic descriptor component value field shall be encoded as a one octet OS App Id length field and an OS App Id field.</w:t>
            </w:r>
          </w:p>
          <w:p>
            <w:pPr>
              <w:pStyle w:val="101"/>
              <w:spacing w:after="40"/>
            </w:pPr>
          </w:p>
          <w:p>
            <w:pPr>
              <w:pStyle w:val="101"/>
            </w:pPr>
            <w: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pPr>
              <w:pStyle w:val="101"/>
            </w:pPr>
          </w:p>
          <w:p>
            <w:pPr>
              <w:pStyle w:val="101"/>
            </w:pPr>
            <w:r>
              <w:t>For "PIN ID type", the traffic descriptor component value field shall be encoded as a sequence of a one octet PIN ID value length field and a PIN ID value field of a variable size octet string.</w:t>
            </w:r>
          </w:p>
          <w:p>
            <w:pPr>
              <w:pStyle w:val="101"/>
            </w:pPr>
          </w:p>
          <w:p>
            <w:pPr>
              <w:pStyle w:val="101"/>
            </w:pPr>
            <w: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pPr>
              <w:pStyle w:val="101"/>
            </w:pPr>
          </w:p>
          <w:p>
            <w:pPr>
              <w:pStyle w:val="101"/>
              <w:spacing w:after="4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Precedence value of route selection descriptor (octet b+2)</w:t>
            </w:r>
          </w:p>
          <w:p>
            <w:pPr>
              <w:pStyle w:val="101"/>
            </w:pPr>
            <w: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Route selection descriptor contents (octets b+5 to c)</w:t>
            </w:r>
          </w:p>
          <w:p>
            <w:pPr>
              <w:pStyle w:val="101"/>
            </w:pPr>
            <w: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Route selection descriptor component type identifier</w:t>
            </w:r>
          </w:p>
          <w:p>
            <w:pPr>
              <w:pStyle w:val="101"/>
            </w:pPr>
            <w:r>
              <w:t>Bits</w:t>
            </w:r>
            <w:r>
              <w:br w:type="textWrapping"/>
            </w:r>
            <w:r>
              <w:t>8 7 6 5 4 3 2 1</w:t>
            </w:r>
          </w:p>
          <w:p>
            <w:pPr>
              <w:pStyle w:val="101"/>
            </w:pPr>
            <w:r>
              <w:t>0 0 0 0 0 0 0 1</w:t>
            </w:r>
            <w:r>
              <w:tab/>
            </w:r>
            <w:r>
              <w:t>SSC mode type</w:t>
            </w:r>
            <w:r>
              <w:br w:type="textWrapping"/>
            </w:r>
            <w:r>
              <w:t>0 0 0 0 0 0 1 0</w:t>
            </w:r>
            <w:r>
              <w:tab/>
            </w:r>
            <w:r>
              <w:t>S-NSSAI type</w:t>
            </w:r>
            <w:r>
              <w:br w:type="textWrapping"/>
            </w:r>
            <w:r>
              <w:t>0 0 0 0 0 1 0 0</w:t>
            </w:r>
            <w:r>
              <w:tab/>
            </w:r>
            <w:r>
              <w:t>DNN type</w:t>
            </w:r>
            <w:r>
              <w:br w:type="textWrapping"/>
            </w:r>
            <w:r>
              <w:t>0 0 0 0 1 0 0 0</w:t>
            </w:r>
            <w:r>
              <w:tab/>
            </w:r>
            <w:r>
              <w:t>PDU session type type</w:t>
            </w:r>
            <w:r>
              <w:br w:type="textWrapping"/>
            </w:r>
            <w:r>
              <w:t>0 0 0 1 0 0 0 0</w:t>
            </w:r>
            <w:r>
              <w:tab/>
            </w:r>
            <w:r>
              <w:t>Preferred access type type (NOTE 2)</w:t>
            </w:r>
            <w:r>
              <w:br w:type="textWrapping"/>
            </w:r>
            <w:r>
              <w:t>0 0 0 1 0 0 0 1</w:t>
            </w:r>
            <w:r>
              <w:tab/>
            </w:r>
            <w:r>
              <w:rPr>
                <w:lang w:eastAsia="ko-KR"/>
              </w:rPr>
              <w:t>Multi-access preference type</w:t>
            </w:r>
            <w:r>
              <w:t xml:space="preserve"> (NOTE 2)</w:t>
            </w:r>
            <w:r>
              <w:rPr>
                <w:lang w:eastAsia="ko-KR"/>
              </w:rPr>
              <w:br w:type="textWrapping"/>
            </w:r>
            <w:r>
              <w:t>0 0 1 0 0 0 0 0</w:t>
            </w:r>
            <w:r>
              <w:tab/>
            </w:r>
            <w:r>
              <w:t>Non-seamless non-3GPP offload indication type (NOTE 9)</w:t>
            </w:r>
            <w:r>
              <w:br w:type="textWrapping"/>
            </w:r>
            <w:r>
              <w:rPr>
                <w:lang w:eastAsia="ko-KR"/>
              </w:rPr>
              <w:t>0 1 0 0 0 0 0 0</w:t>
            </w:r>
            <w:r>
              <w:rPr>
                <w:lang w:eastAsia="ko-KR"/>
              </w:rPr>
              <w:tab/>
            </w:r>
            <w:r>
              <w:rPr>
                <w:lang w:eastAsia="ko-KR"/>
              </w:rPr>
              <w:t>Location criteria type</w:t>
            </w:r>
            <w:r>
              <w:br w:type="textWrapping"/>
            </w:r>
            <w:r>
              <w:rPr>
                <w:lang w:eastAsia="ko-KR"/>
              </w:rPr>
              <w:t>1 0 0 0 0 0 0 0</w:t>
            </w:r>
            <w:r>
              <w:rPr>
                <w:lang w:eastAsia="ko-KR"/>
              </w:rPr>
              <w:tab/>
            </w:r>
            <w:r>
              <w:rPr>
                <w:lang w:eastAsia="ko-KR"/>
              </w:rPr>
              <w:t>Time window type</w:t>
            </w:r>
            <w:r>
              <w:rPr>
                <w:lang w:eastAsia="ko-KR"/>
              </w:rPr>
              <w:br w:type="textWrapping"/>
            </w:r>
            <w:r>
              <w:t>1 0 0 0 0 0 0 1</w:t>
            </w:r>
            <w:r>
              <w:tab/>
            </w:r>
            <w:r>
              <w:t>5G ProSe layer-3 UE-to-network relay offload indication type (NOTE 9)</w:t>
            </w:r>
          </w:p>
          <w:p>
            <w:pPr>
              <w:pStyle w:val="101"/>
              <w:rPr>
                <w:lang w:val="fr-FR"/>
              </w:rPr>
            </w:pPr>
            <w:r>
              <w:rPr>
                <w:lang w:val="fr-FR"/>
              </w:rPr>
              <w:t>1 0 0 0 0 0 1 0</w:t>
            </w:r>
            <w:r>
              <w:rPr>
                <w:lang w:val="fr-FR"/>
              </w:rPr>
              <w:tab/>
            </w:r>
            <w:r>
              <w:rPr>
                <w:lang w:val="fr-FR"/>
              </w:rPr>
              <w:t>PDU session pair ID type (NOTE 5, NOTE 9)</w:t>
            </w:r>
          </w:p>
          <w:p>
            <w:pPr>
              <w:pStyle w:val="101"/>
            </w:pPr>
            <w:r>
              <w:t>1 0 0 0 0 0 1 1</w:t>
            </w:r>
            <w:r>
              <w:tab/>
            </w:r>
            <w:r>
              <w:t>RSN type (NOTE</w:t>
            </w:r>
            <w:r>
              <w:rPr>
                <w:rFonts w:ascii="Cambria" w:hAnsi="Cambria" w:eastAsia="Cambria"/>
              </w:rPr>
              <w:t> </w:t>
            </w:r>
            <w:r>
              <w:t>5, NOTE 9)</w:t>
            </w:r>
          </w:p>
          <w:p>
            <w:pPr>
              <w:pStyle w:val="101"/>
            </w:pPr>
            <w:r>
              <w:t>1 0 0 0 0 1 0 0</w:t>
            </w:r>
            <w:r>
              <w:tab/>
            </w:r>
            <w:r>
              <w:t>5G ProSe multi-path preference type (NOTE 9)</w:t>
            </w:r>
            <w:r>
              <w:br w:type="textWrapping"/>
            </w:r>
            <w:r>
              <w:t>All other values are spare. If received they shall be interpreted as unknown.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rPr>
                <w:lang w:val="en-US" w:eastAsia="ko-KR"/>
              </w:rPr>
            </w:pPr>
            <w:r>
              <w:rPr>
                <w:rFonts w:hint="eastAsia"/>
                <w:lang w:eastAsia="ko-KR"/>
              </w:rPr>
              <w:t xml:space="preserve">For </w:t>
            </w:r>
            <w:r>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Pr>
                <w:lang w:val="en-US" w:eastAsia="ko-KR"/>
              </w:rPr>
              <w:t xml:space="preserve"> of 3GPP TS 24.501 [11], without the </w:t>
            </w:r>
            <w:r>
              <w:t>mapped HPLMN SST field and without the mapped HPLMN SD field</w:t>
            </w:r>
            <w:r>
              <w:rPr>
                <w:lang w:val="en-US" w:eastAsia="ko-KR"/>
              </w:rP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rPr>
                <w:lang w:val="en-US" w:eastAsia="ko-KR"/>
              </w:rPr>
            </w:pPr>
            <w:r>
              <w:rPr>
                <w:rFonts w:hint="eastAsia"/>
                <w:lang w:eastAsia="ko-KR"/>
              </w:rPr>
              <w:t xml:space="preserve">For </w:t>
            </w:r>
            <w:r>
              <w:rPr>
                <w:lang w:eastAsia="ko-KR"/>
              </w:rPr>
              <w:t xml:space="preserve">"DNN type", the route selection descriptor component value field shall be encoded as a sequence of a one octet DNN length field and a DNN value field of a variable size. </w:t>
            </w:r>
            <w:r>
              <w:t>The DNN value contains an APN as defined in 3GPP TS 23.003 [4].</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rPr>
                <w:lang w:eastAsia="ko-KR"/>
              </w:rPr>
              <w:t>For "PDU session type type", the route selection descriptor component value field shall be encoded as a one</w:t>
            </w:r>
            <w:r>
              <w:t xml:space="preserve"> octet PDU session type field. The bits 8 through 4 of the octet shall be spare, and the bits 3 through 1 shall be encoded as the value part of the PDU session type information element defined in clause 9.11.4.11 of 3GPP TS 24.501 [11]. The "PDU session type type" route selection descriptor component shall not appear more than once in the route selection descriptor.</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rPr>
                <w:lang w:val="en-US" w:eastAsia="ko-KR"/>
              </w:rPr>
            </w:pPr>
            <w:r>
              <w:rPr>
                <w:lang w:eastAsia="ko-KR"/>
              </w:rPr>
              <w:t>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Pr>
                <w:lang w:val="en-US" w:eastAsia="ko-KR"/>
              </w:rPr>
              <w:t xml:space="preserve"> of 3GPP TS 24.501 [11]. The "preferred access type type" route selection descriptor component shall not appear more than once in the route selection descriptor.</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rPr>
                <w:lang w:eastAsia="ko-KR"/>
              </w:rPr>
            </w:pPr>
            <w:r>
              <w:rPr>
                <w:lang w:eastAsia="ko-KR"/>
              </w:rPr>
              <w:t xml:space="preserve">For "multi-access preference type", the route selection descriptor component value field shall be of zero length. </w:t>
            </w:r>
            <w:r>
              <w:rPr>
                <w:lang w:val="en-US" w:eastAsia="ko-KR"/>
              </w:rPr>
              <w:t>The "</w:t>
            </w:r>
            <w:r>
              <w:rPr>
                <w:lang w:eastAsia="ko-KR"/>
              </w:rPr>
              <w:t>multi-access preference type</w:t>
            </w:r>
            <w:r>
              <w:rPr>
                <w:lang w:val="en-US" w:eastAsia="ko-KR"/>
              </w:rPr>
              <w:t xml:space="preserve">" route selection descriptor component shall not appear more than once in the route selection descriptor. </w:t>
            </w:r>
            <w:r>
              <w:t xml:space="preserve">The </w:t>
            </w:r>
            <w:r>
              <w:rPr>
                <w:lang w:eastAsia="ko-KR"/>
              </w:rPr>
              <w:t xml:space="preserve">"multi-access preference type" route selection descriptor component in </w:t>
            </w:r>
            <w:r>
              <w:rPr>
                <w:lang w:val="en-US" w:eastAsia="ko-KR"/>
              </w:rPr>
              <w:t xml:space="preserve">the route selection descriptor indicates </w:t>
            </w:r>
            <w:r>
              <w:rPr>
                <w:lang w:eastAsia="ko-KR"/>
              </w:rPr>
              <w:t>the multi-access preference.</w:t>
            </w:r>
          </w:p>
          <w:p>
            <w:pPr>
              <w:pStyle w:val="101"/>
              <w:rPr>
                <w:lang w:eastAsia="ko-K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pPr>
            <w:r>
              <w:rPr>
                <w:lang w:val="en-US" w:eastAsia="ko-KR"/>
              </w:rPr>
              <w:t xml:space="preserve">For "non-seamless non-3GPP offload indication type", </w:t>
            </w:r>
            <w:r>
              <w:t>the route selection descriptor component shall not include the route selection descriptor component value field. The "</w:t>
            </w:r>
            <w:r>
              <w:rPr>
                <w:lang w:val="en-US" w:eastAsia="ko-KR"/>
              </w:rPr>
              <w:t>non-seamless non-3GPP offload indication type</w:t>
            </w:r>
            <w:r>
              <w:t>" route selection descriptor component shall not appear more than once in the route selection descriptor. If the "</w:t>
            </w:r>
            <w:r>
              <w:rPr>
                <w:lang w:val="en-US" w:eastAsia="ko-KR"/>
              </w:rPr>
              <w:t>non-seamless non-3GPP offload indication type</w:t>
            </w:r>
            <w:r>
              <w:t>" route selection descriptor component is included in a route selection descriptor, there shall be no route selection descriptor component with a type other than "</w:t>
            </w:r>
            <w:r>
              <w:rPr>
                <w:lang w:val="en-US" w:eastAsia="ko-KR"/>
              </w:rPr>
              <w:t>non-seamless non-3GPP offload indication type</w:t>
            </w:r>
            <w:r>
              <w:t>" in the route selection descriptor.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01"/>
              <w:rPr>
                <w:lang w:val="en-US" w:eastAsia="ko-K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gridAfter w:val="1"/>
          <w:wBefore w:w="33" w:type="dxa"/>
          <w:wAfter w:w="27" w:type="dxa"/>
          <w:cantSplit/>
          <w:jc w:val="center"/>
        </w:trPr>
        <w:tc>
          <w:tcPr>
            <w:tcW w:w="7087" w:type="dxa"/>
            <w:gridSpan w:val="12"/>
          </w:tcPr>
          <w:p>
            <w:pPr>
              <w:pStyle w:val="101"/>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pPr>
              <w:pStyle w:val="101"/>
              <w:rPr>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gridAfter w:val="1"/>
          <w:wBefore w:w="33" w:type="dxa"/>
          <w:wAfter w:w="27" w:type="dxa"/>
          <w:cantSplit/>
          <w:jc w:val="center"/>
        </w:trPr>
        <w:tc>
          <w:tcPr>
            <w:tcW w:w="7087" w:type="dxa"/>
            <w:gridSpan w:val="12"/>
          </w:tcPr>
          <w:p>
            <w:pPr>
              <w:pStyle w:val="101"/>
              <w:rPr>
                <w:lang w:val="en-US"/>
              </w:rPr>
            </w:pPr>
            <w:r>
              <w:rPr>
                <w:lang w:val="en-US" w:eastAsia="ko-KR"/>
              </w:rPr>
              <w:t xml:space="preserve">For "time window type", the route selection descriptor component value field </w:t>
            </w:r>
            <w:r>
              <w:rPr>
                <w:lang w:eastAsia="ko-KR"/>
              </w:rPr>
              <w:t>shall be encoded as a sequence of a Starttime field and a Stoptime field</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gridAfter w:val="1"/>
          <w:wBefore w:w="33" w:type="dxa"/>
          <w:wAfter w:w="27" w:type="dxa"/>
          <w:cantSplit/>
          <w:jc w:val="center"/>
        </w:trPr>
        <w:tc>
          <w:tcPr>
            <w:tcW w:w="7087" w:type="dxa"/>
            <w:gridSpan w:val="12"/>
          </w:tcPr>
          <w:p>
            <w:pPr>
              <w:pStyle w:val="101"/>
              <w:rPr>
                <w:lang w:val="en-US" w:eastAsia="ko-K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gridAfter w:val="1"/>
          <w:wBefore w:w="33" w:type="dxa"/>
          <w:wAfter w:w="27" w:type="dxa"/>
          <w:cantSplit/>
          <w:jc w:val="center"/>
        </w:trPr>
        <w:tc>
          <w:tcPr>
            <w:tcW w:w="7087" w:type="dxa"/>
            <w:gridSpan w:val="12"/>
          </w:tcPr>
          <w:p>
            <w:pPr>
              <w:pStyle w:val="101"/>
              <w:rPr>
                <w:lang w:val="en-US" w:eastAsia="ko-KR"/>
              </w:rPr>
            </w:pPr>
            <w:r>
              <w:rPr>
                <w:lang w:val="en-US" w:eastAsia="ko-KR"/>
              </w:rPr>
              <w:t xml:space="preserve">For "5G ProSe layer-3 UE-to-network relay offload </w:t>
            </w:r>
            <w:r>
              <w:rPr>
                <w:lang w:eastAsia="ko-KR"/>
              </w:rPr>
              <w:t>indication type</w:t>
            </w:r>
            <w:r>
              <w:rPr>
                <w:lang w:val="en-US" w:eastAsia="ko-KR"/>
              </w:rPr>
              <w:t xml:space="preserve">", </w:t>
            </w:r>
            <w:r>
              <w:rPr>
                <w:lang w:eastAsia="ko-KR"/>
              </w:rPr>
              <w:t>the route selection descriptor component shall not include the route selection descriptor component value field. The "</w:t>
            </w:r>
            <w:r>
              <w:rPr>
                <w:lang w:val="en-US" w:eastAsia="ko-KR"/>
              </w:rPr>
              <w:t xml:space="preserve">5G ProSe layer-3 UE-to-network relay offload </w:t>
            </w:r>
            <w:r>
              <w:rPr>
                <w:lang w:eastAsia="ko-KR"/>
              </w:rPr>
              <w:t>indication type" route selection descriptor component shall not appear more than once in the route selection descriptor. If the "</w:t>
            </w:r>
            <w:r>
              <w:rPr>
                <w:lang w:val="en-US" w:eastAsia="ko-KR"/>
              </w:rPr>
              <w:t xml:space="preserve">5G ProSe layer-3 UE-to-network relay offload </w:t>
            </w:r>
            <w:r>
              <w:rPr>
                <w:lang w:eastAsia="ko-KR"/>
              </w:rPr>
              <w:t>indication type" route selection descriptor component is included in a route selection descriptor, there shall be no route selection descriptor component with a type other than "</w:t>
            </w:r>
            <w:r>
              <w:rPr>
                <w:lang w:val="en-US" w:eastAsia="ko-KR"/>
              </w:rPr>
              <w:t xml:space="preserve">5G ProSe layer-3 UE-to-network relay offload </w:t>
            </w:r>
            <w:r>
              <w:rPr>
                <w:lang w:eastAsia="ko-KR"/>
              </w:rPr>
              <w:t xml:space="preserve">indication type" in the route selection descriptor. </w:t>
            </w:r>
            <w:r>
              <w:rPr>
                <w:lang w:val="en-US" w:eastAsia="ko-KR"/>
              </w:rPr>
              <w:t xml:space="preserve">If neither "5G ProSe layer-3 UE-to-network relay offload </w:t>
            </w:r>
            <w:r>
              <w:rPr>
                <w:lang w:eastAsia="ko-KR"/>
              </w:rPr>
              <w:t>indication type</w:t>
            </w:r>
            <w:r>
              <w:rPr>
                <w:lang w:val="en-US" w:eastAsia="ko-KR"/>
              </w:rPr>
              <w:t xml:space="preserve">" nor </w:t>
            </w:r>
            <w:r>
              <w:rPr>
                <w:lang w:eastAsia="ko-KR"/>
              </w:rPr>
              <w:t>"</w:t>
            </w:r>
            <w:r>
              <w:rPr>
                <w:lang w:val="en-US" w:eastAsia="ko-KR"/>
              </w:rPr>
              <w:t>5G ProSe multi-path preference” is present, the traffic shall not be routed via a 5G ProSe layer-3 UE-to-network relay outside of a PDU Session.</w:t>
            </w:r>
          </w:p>
          <w:p>
            <w:pPr>
              <w:pStyle w:val="101"/>
              <w:rPr>
                <w:lang w:val="en-US" w:eastAsia="ko-K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33" w:type="dxa"/>
          <w:cantSplit/>
          <w:jc w:val="center"/>
        </w:trPr>
        <w:tc>
          <w:tcPr>
            <w:tcW w:w="7114" w:type="dxa"/>
            <w:gridSpan w:val="13"/>
          </w:tcPr>
          <w:p>
            <w:pPr>
              <w:pStyle w:val="101"/>
              <w:rPr>
                <w:lang w:val="en-US" w:eastAsia="ko-KR"/>
              </w:rPr>
            </w:pPr>
            <w:r>
              <w:rPr>
                <w:lang w:val="en-US" w:eastAsia="ko-KR"/>
              </w:rPr>
              <w:t>For "PDU session pair ID type",</w:t>
            </w:r>
            <w:r>
              <w:t xml:space="preserve"> </w:t>
            </w:r>
            <w:r>
              <w:rPr>
                <w:lang w:val="en-US" w:eastAsia="ko-KR"/>
              </w:rPr>
              <w:t xml:space="preserve">the route selection descriptor component value field shall be encoded as a one octet PDU session pair ID field. The PDU session pair ID value shall be encoded as defined in </w:t>
            </w:r>
            <w:r>
              <w:t>clause 9.11.4.32 of 3GPP </w:t>
            </w:r>
            <w:r>
              <w:rPr>
                <w:lang w:val="en-US" w:eastAsia="ko-KR"/>
              </w:rPr>
              <w:t>TS</w:t>
            </w:r>
            <w:r>
              <w:rPr>
                <w:rFonts w:ascii="PMingLiU" w:hAnsi="PMingLiU"/>
                <w:lang w:val="en-US" w:eastAsia="ko-KR"/>
              </w:rPr>
              <w:t> </w:t>
            </w:r>
            <w:r>
              <w:rPr>
                <w:lang w:val="en-US" w:eastAsia="ko-KR"/>
              </w:rPr>
              <w:t>24.501 [11].</w:t>
            </w:r>
          </w:p>
          <w:p>
            <w:pPr>
              <w:pStyle w:val="101"/>
              <w:rPr>
                <w:lang w:val="en-US" w:eastAsia="ko-K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33" w:type="dxa"/>
          <w:cantSplit/>
          <w:jc w:val="center"/>
        </w:trPr>
        <w:tc>
          <w:tcPr>
            <w:tcW w:w="7114" w:type="dxa"/>
            <w:gridSpan w:val="13"/>
          </w:tcPr>
          <w:p>
            <w:pPr>
              <w:pStyle w:val="101"/>
              <w:rPr>
                <w:lang w:val="en-US" w:eastAsia="ko-KR"/>
              </w:rPr>
            </w:pPr>
            <w:r>
              <w:rPr>
                <w:lang w:val="en-US" w:eastAsia="ko-KR"/>
              </w:rPr>
              <w:t>For "RSN type", the route selection descriptor component value field shall be encoded as a one octet RSN field. The RSN value shall be encoded as the value part of the RSN information element defined in clause</w:t>
            </w:r>
            <w:r>
              <w:t> 9.11.4.33 of 3GPP </w:t>
            </w:r>
            <w:r>
              <w:rPr>
                <w:lang w:val="en-US" w:eastAsia="ko-KR"/>
              </w:rPr>
              <w:t>TS</w:t>
            </w:r>
            <w:r>
              <w:rPr>
                <w:rFonts w:ascii="PMingLiU" w:hAnsi="PMingLiU"/>
                <w:lang w:val="en-US" w:eastAsia="ko-KR"/>
              </w:rPr>
              <w:t> </w:t>
            </w:r>
            <w:r>
              <w:rPr>
                <w:lang w:val="en-US" w:eastAsia="ko-KR"/>
              </w:rPr>
              <w:t>24.501 [11].</w:t>
            </w:r>
          </w:p>
          <w:p>
            <w:pPr>
              <w:pStyle w:val="101"/>
              <w:rPr>
                <w:lang w:val="en-US" w:eastAsia="ko-KR"/>
              </w:rPr>
            </w:pPr>
          </w:p>
          <w:p>
            <w:pPr>
              <w:pStyle w:val="101"/>
              <w:rPr>
                <w:lang w:eastAsia="ko-KR"/>
              </w:rPr>
            </w:pPr>
            <w:r>
              <w:rPr>
                <w:lang w:val="en-US" w:eastAsia="ko-KR"/>
              </w:rPr>
              <w:t>For "</w:t>
            </w:r>
            <w:r>
              <w:t>5G ProSe multi-path preference type</w:t>
            </w:r>
            <w:r>
              <w:rPr>
                <w:lang w:val="en-US" w:eastAsia="ko-KR"/>
              </w:rPr>
              <w:t xml:space="preserve">", </w:t>
            </w:r>
            <w:r>
              <w:rPr>
                <w:lang w:eastAsia="ko-KR"/>
              </w:rPr>
              <w:t>the route selection descriptor component shall not include the route selection descriptor component value field. The "</w:t>
            </w:r>
            <w:r>
              <w:t>5G ProSe multi-path preference</w:t>
            </w:r>
            <w:r>
              <w:rPr>
                <w:lang w:eastAsia="ko-KR"/>
              </w:rPr>
              <w:t>" route selection descriptor component shall not appear more than once in the route selection descriptor. If the "</w:t>
            </w:r>
            <w:r>
              <w:t>5G ProSe multi-path preference</w:t>
            </w:r>
            <w:r>
              <w:rPr>
                <w:lang w:eastAsia="ko-KR"/>
              </w:rPr>
              <w:t>" route selection descriptor component is included in a route selection descriptor, there shall be no route selection descriptor component with type "</w:t>
            </w:r>
            <w:r>
              <w:rPr>
                <w:lang w:val="en-US" w:eastAsia="ko-KR"/>
              </w:rPr>
              <w:t xml:space="preserve">5G ProSe layer-3 UE-to-network relay offload </w:t>
            </w:r>
            <w:r>
              <w:rPr>
                <w:lang w:eastAsia="ko-KR"/>
              </w:rPr>
              <w:t>indication type" in the route selection descriptor. If neither "5G ProSe layer-3 UE-to-network relay offload indication type" nor "5G ProSe multi-path preference type” is present, the traffic shall not be routed via a 5G ProSe layer-3 UE-to-network relay outside of a PDU Session.</w:t>
            </w:r>
          </w:p>
          <w:p>
            <w:pPr>
              <w:pStyle w:val="101"/>
              <w:rPr>
                <w:lang w:eastAsia="ko-KR"/>
              </w:rPr>
            </w:pPr>
          </w:p>
          <w:p>
            <w:pPr>
              <w:pStyle w:val="101"/>
            </w:pPr>
            <w:r>
              <w:t>Additional indications (octet x+1) (NOTE 11)</w:t>
            </w:r>
          </w:p>
          <w:p>
            <w:pPr>
              <w:pStyle w:val="101"/>
              <w:rPr>
                <w:lang w:val="en-US" w:eastAsia="zh-CN"/>
              </w:rPr>
            </w:pPr>
            <w:r>
              <w:t xml:space="preserve">Additional indications field is used to indicate additional indications related to the URSP rule, and is </w:t>
            </w:r>
            <w:r>
              <w:rPr>
                <w:lang w:val="en-US" w:eastAsia="zh-CN"/>
              </w:rPr>
              <w:t>encoded as shown in Figure 5.2.4A.</w:t>
            </w:r>
          </w:p>
          <w:p>
            <w:pPr>
              <w:pStyle w:val="101"/>
            </w:pPr>
            <w:r>
              <w:t>.</w:t>
            </w:r>
          </w:p>
          <w:p>
            <w:pPr>
              <w:pStyle w:val="101"/>
              <w:rPr>
                <w:lang w:eastAsia="zh-CN"/>
              </w:rPr>
            </w:pPr>
          </w:p>
          <w:p>
            <w:pPr>
              <w:pStyle w:val="101"/>
              <w:rPr>
                <w:lang w:eastAsia="zh-CN"/>
              </w:rPr>
            </w:pPr>
            <w:r>
              <w:rPr>
                <w:lang w:eastAsia="zh-CN"/>
              </w:rPr>
              <w:t>URSP rule enforcement report indication (URERI) (bit 1 of octet x+1)</w:t>
            </w:r>
          </w:p>
          <w:p>
            <w:pPr>
              <w:pStyle w:val="101"/>
              <w:rPr>
                <w:lang w:eastAsia="zh-CN"/>
              </w:rPr>
            </w:pPr>
            <w:r>
              <w:rPr>
                <w:lang w:eastAsia="zh-CN"/>
              </w:rPr>
              <w:t xml:space="preserve">URSP rule enforcement report indication indicates whether to </w:t>
            </w:r>
            <w:r>
              <w:t xml:space="preserve">report the URSP rule enforcement for the associated URSP rule according to clause 4.2.4 </w:t>
            </w:r>
            <w:r>
              <w:rPr>
                <w:lang w:val="en-US" w:eastAsia="ko-KR"/>
              </w:rPr>
              <w:t>(NOTE</w:t>
            </w:r>
            <w:r>
              <w:t> 12</w:t>
            </w:r>
            <w:r>
              <w:rPr>
                <w:lang w:val="en-US" w:eastAsia="ko-KR"/>
              </w:rPr>
              <w:t>)</w:t>
            </w:r>
            <w:r>
              <w:t>.</w:t>
            </w:r>
          </w:p>
          <w:p>
            <w:pPr>
              <w:pStyle w:val="101"/>
              <w:rPr>
                <w:lang w:eastAsia="zh-CN"/>
              </w:rPr>
            </w:pPr>
            <w:r>
              <w:rPr>
                <w:lang w:eastAsia="zh-CN"/>
              </w:rPr>
              <w:t>Bit</w:t>
            </w:r>
          </w:p>
          <w:p>
            <w:pPr>
              <w:pStyle w:val="101"/>
              <w:rPr>
                <w:lang w:eastAsia="zh-CN"/>
              </w:rPr>
            </w:pPr>
            <w:r>
              <w:rPr>
                <w:b/>
                <w:bCs/>
                <w:lang w:eastAsia="zh-CN"/>
              </w:rPr>
              <w:t>1</w:t>
            </w:r>
          </w:p>
          <w:p>
            <w:pPr>
              <w:pStyle w:val="101"/>
            </w:pPr>
            <w:r>
              <w:t>0 URSP rule enforcement report is not required</w:t>
            </w:r>
          </w:p>
          <w:p>
            <w:pPr>
              <w:pStyle w:val="101"/>
            </w:pPr>
            <w:r>
              <w:t>1 URSP rule enforcement report is required</w:t>
            </w:r>
          </w:p>
          <w:p>
            <w:pPr>
              <w:pStyle w:val="101"/>
            </w:pPr>
          </w:p>
          <w:p>
            <w:pPr>
              <w:pStyle w:val="101"/>
              <w:rPr>
                <w:lang w:val="en-US" w:eastAsia="ko-KR"/>
              </w:rPr>
            </w:pPr>
            <w:r>
              <w:t>Bits 2 to 8 of octet x+1 are spare and shall be encoded as zero. I</w:t>
            </w:r>
            <w:r>
              <w:rPr>
                <w:rFonts w:hint="eastAsia"/>
                <w:lang w:eastAsia="zh-CN"/>
              </w:rPr>
              <w:t>f</w:t>
            </w:r>
            <w:r>
              <w:t xml:space="preserve"> received they shall be interpreted as unknown.</w:t>
            </w:r>
          </w:p>
          <w:p>
            <w:pPr>
              <w:pStyle w:val="101"/>
              <w:rPr>
                <w:lang w:val="en-US" w:eastAsia="ko-K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3"/>
          <w:wAfter w:w="55" w:type="dxa"/>
          <w:cantSplit/>
          <w:jc w:val="center"/>
        </w:trPr>
        <w:tc>
          <w:tcPr>
            <w:tcW w:w="7092" w:type="dxa"/>
            <w:gridSpan w:val="11"/>
          </w:tcPr>
          <w:p>
            <w:pPr>
              <w:pStyle w:val="114"/>
            </w:pPr>
            <w:r>
              <w:t>NOTE 1:</w:t>
            </w:r>
            <w:r>
              <w:tab/>
            </w:r>
            <w:r>
              <w:t>For "OS Id + OS App Id type", the traffic descriptor component value field does not specify the OS version number or the version number of the application.</w:t>
            </w:r>
          </w:p>
          <w:p>
            <w:pPr>
              <w:pStyle w:val="114"/>
            </w:pPr>
            <w:r>
              <w:rPr>
                <w:lang w:val="en-US" w:eastAsia="ko-KR"/>
              </w:rPr>
              <w:t>NOTE</w:t>
            </w:r>
            <w:r>
              <w:t> 2:</w:t>
            </w:r>
            <w:r>
              <w:tab/>
            </w:r>
            <w:r>
              <w:t xml:space="preserve">The PCF does not include both the </w:t>
            </w:r>
            <w:r>
              <w:rPr>
                <w:lang w:eastAsia="ko-KR"/>
              </w:rPr>
              <w:t xml:space="preserve">"preferred access type type" and the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If there are both </w:t>
            </w:r>
            <w:r>
              <w:rPr>
                <w:lang w:eastAsia="ko-KR"/>
              </w:rPr>
              <w:t xml:space="preserve">"preferred access type type" and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the UE ignores the </w:t>
            </w:r>
            <w:r>
              <w:rPr>
                <w:lang w:eastAsia="ko-KR"/>
              </w:rPr>
              <w:t xml:space="preserve">"preferred access type type" </w:t>
            </w:r>
            <w:r>
              <w:t>route selection descriptor component.</w:t>
            </w:r>
          </w:p>
          <w:p>
            <w:pPr>
              <w:pStyle w:val="114"/>
            </w:pPr>
            <w:r>
              <w:t>NOTE 3:</w:t>
            </w:r>
            <w:r>
              <w:tab/>
            </w:r>
            <w:r>
              <w:rPr>
                <w:lang w:eastAsia="zh-CN"/>
              </w:rPr>
              <w:t xml:space="preserve">The </w:t>
            </w:r>
            <w:r>
              <w:t xml:space="preserve">W-AGF acting on behalf of the FN-RG shall interpret the value as unknown. </w:t>
            </w:r>
          </w:p>
          <w:p>
            <w:pPr>
              <w:pStyle w:val="114"/>
            </w:pPr>
            <w:r>
              <w:t>NOTE 4:</w:t>
            </w:r>
            <w:r>
              <w:tab/>
            </w:r>
            <w:r>
              <w:t>The traffic descriptor of a URSP rule cannot include more than one instance of this traffic component type.</w:t>
            </w:r>
          </w:p>
          <w:p>
            <w:pPr>
              <w:pStyle w:val="114"/>
              <w:rPr>
                <w:lang w:eastAsia="ko-KR"/>
              </w:rPr>
            </w:pPr>
            <w:r>
              <w:rPr>
                <w:lang w:val="en-US" w:eastAsia="ko-KR"/>
              </w:rPr>
              <w:t>NOTE</w:t>
            </w:r>
            <w:r>
              <w:t> 5:</w:t>
            </w:r>
            <w:r>
              <w:tab/>
            </w:r>
            <w:r>
              <w:t xml:space="preserve">Redundant PDU session is not applicable over non-3GPP access. </w:t>
            </w:r>
            <w:r>
              <w:rPr>
                <w:rFonts w:hint="eastAsia"/>
                <w:lang w:eastAsia="zh-TW"/>
              </w:rPr>
              <w:t>T</w:t>
            </w:r>
            <w:r>
              <w:t xml:space="preserve">he UE ignores any route selection descriptor which includes </w:t>
            </w:r>
            <w:r>
              <w:rPr>
                <w:lang w:eastAsia="ko-KR"/>
              </w:rPr>
              <w:t xml:space="preserve">"PDU session pair ID type" or </w:t>
            </w:r>
            <w:r>
              <w:rPr>
                <w:lang w:val="en-US" w:eastAsia="ko-KR"/>
              </w:rPr>
              <w:t xml:space="preserve">"RSN type" </w:t>
            </w:r>
            <w:r>
              <w:t xml:space="preserve">route selection descriptor component and also includes a </w:t>
            </w:r>
            <w:r>
              <w:rPr>
                <w:lang w:eastAsia="ko-KR"/>
              </w:rPr>
              <w:t xml:space="preserve">"preferred access type type" </w:t>
            </w:r>
            <w:r>
              <w:t xml:space="preserve">route selection descriptor component set to </w:t>
            </w:r>
            <w:r>
              <w:rPr>
                <w:lang w:eastAsia="ko-KR"/>
              </w:rPr>
              <w:t>"</w:t>
            </w:r>
            <w:r>
              <w:t>non-3GPP access</w:t>
            </w:r>
            <w:r>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"multi-access preference type" </w:t>
            </w:r>
            <w:r>
              <w:t>route selection descriptor component</w:t>
            </w:r>
            <w:r>
              <w:rPr>
                <w:lang w:eastAsia="ko-KR"/>
              </w:rPr>
              <w:t>.</w:t>
            </w:r>
          </w:p>
          <w:p>
            <w:pPr>
              <w:pStyle w:val="114"/>
            </w:pPr>
            <w:r>
              <w:rPr>
                <w:lang w:val="en-US" w:eastAsia="ko-KR"/>
              </w:rPr>
              <w:t>NOTE</w:t>
            </w:r>
            <w:r>
              <w:t> 6:</w:t>
            </w:r>
            <w:r>
              <w:tab/>
            </w:r>
            <w:r>
              <w:t>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pPr>
              <w:pStyle w:val="114"/>
            </w:pPr>
            <w:r>
              <w:rPr>
                <w:lang w:val="en-US" w:eastAsia="ko-KR"/>
              </w:rPr>
              <w:t>NOTE</w:t>
            </w:r>
            <w:r>
              <w:t> 7:</w:t>
            </w:r>
            <w:r>
              <w:tab/>
            </w:r>
            <w:r>
              <w:t>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pPr>
              <w:pStyle w:val="114"/>
              <w:rPr>
                <w:lang w:val="en-US"/>
              </w:rPr>
            </w:pPr>
            <w:r>
              <w:t>NOTE</w:t>
            </w:r>
            <w:r>
              <w:rPr>
                <w:lang w:val="en-US"/>
              </w:rPr>
              <w:t> 8:</w:t>
            </w:r>
            <w:r>
              <w:tab/>
            </w:r>
            <w:r>
              <w:rPr>
                <w:lang w:val="en-US"/>
              </w:rPr>
              <w:t>The traffic descriptor component type "PIN ID type" shall be mutually exclusive to the other traffic descriptor components,</w:t>
            </w:r>
            <w:bookmarkStart w:id="8" w:name="_Hlk132723141"/>
            <w:r>
              <w:rPr>
                <w:lang w:val="en-US"/>
              </w:rPr>
              <w:t xml:space="preserve"> i.e., if the traffic descriptor of the URSP rule contains both PIN ID and the other traffic descriptor components, the UE shall ignore the other traffic descriptor component and shall use the PIN ID.</w:t>
            </w:r>
            <w:bookmarkEnd w:id="8"/>
            <w:r>
              <w:rPr>
                <w:lang w:val="en-US"/>
              </w:rPr>
              <w:t xml:space="preserve"> The </w:t>
            </w:r>
            <w:r>
              <w:t xml:space="preserve">PIN </w:t>
            </w:r>
            <w:r>
              <w:rPr>
                <w:lang w:eastAsia="zh-CN"/>
              </w:rPr>
              <w:t xml:space="preserve">ID uniquely identifies a PIN in the PLMN. </w:t>
            </w:r>
            <w:bookmarkStart w:id="9" w:name="OLE_LINK1"/>
            <w:r>
              <w:rPr>
                <w:lang w:eastAsia="zh-CN"/>
              </w:rPr>
              <w:t>The PIN ID is only applicable for the traffic of a PINE</w:t>
            </w:r>
            <w:bookmarkEnd w:id="9"/>
            <w:r>
              <w:rPr>
                <w:lang w:eastAsia="zh-CN"/>
              </w:rPr>
              <w:t>.</w:t>
            </w:r>
          </w:p>
          <w:p>
            <w:pPr>
              <w:pStyle w:val="114"/>
              <w:rPr>
                <w:lang w:val="en-US"/>
              </w:rPr>
            </w:pPr>
            <w:r>
              <w:t>NOTE</w:t>
            </w:r>
            <w:r>
              <w:rPr>
                <w:lang w:val="en-US"/>
              </w:rPr>
              <w:t> 9:</w:t>
            </w:r>
            <w:r>
              <w:tab/>
            </w:r>
            <w:r>
              <w:rPr>
                <w:szCs w:val="18"/>
              </w:rPr>
              <w:t>Not applicable for PIN traffic</w:t>
            </w:r>
            <w:r>
              <w:rPr>
                <w:lang w:val="en-US"/>
              </w:rPr>
              <w:t>.</w:t>
            </w:r>
          </w:p>
          <w:p>
            <w:pPr>
              <w:pStyle w:val="114"/>
            </w:pPr>
            <w:r>
              <w:rPr>
                <w:lang w:eastAsia="ko-KR"/>
              </w:rPr>
              <w:t>NOTE 10:</w:t>
            </w:r>
            <w:r>
              <w:tab/>
            </w:r>
            <w:r>
              <w:t>The precedence value of a URSP rule in a UE policy section associated with network descriptor entry type "one or more VPLMNs" in VPS URSP configuration should be lower than the precedence value of a URSP rule in a UE policy section associated with network descriptor entry type "one or more MCCs" or "any VPLMN" in VPS URSP configuration.</w:t>
            </w:r>
          </w:p>
          <w:p>
            <w:pPr>
              <w:pStyle w:val="114"/>
            </w:pPr>
            <w:r>
              <w:t>NOTE 11:</w:t>
            </w:r>
            <w:r>
              <w:tab/>
            </w:r>
            <w:r>
              <w:t>Additional indications field is included when the URSP rule includes an octet following octet x.</w:t>
            </w:r>
          </w:p>
          <w:p>
            <w:pPr>
              <w:pStyle w:val="114"/>
              <w:rPr>
                <w:bCs/>
                <w:szCs w:val="18"/>
              </w:rPr>
            </w:pPr>
            <w:r>
              <w:rPr>
                <w:szCs w:val="18"/>
              </w:rPr>
              <w:t>NOTE</w:t>
            </w:r>
            <w:r>
              <w:rPr>
                <w:lang w:val="en-US"/>
              </w:rPr>
              <w:t> 12</w:t>
            </w:r>
            <w:r>
              <w:rPr>
                <w:szCs w:val="18"/>
              </w:rPr>
              <w:t>:</w:t>
            </w:r>
            <w:r>
              <w:tab/>
            </w:r>
            <w:r>
              <w:rPr>
                <w:szCs w:val="18"/>
              </w:rPr>
              <w:t>A URSP rule can contain this indication only if the URSP rule include</w:t>
            </w:r>
            <w:r>
              <w:rPr>
                <w:szCs w:val="18"/>
                <w:lang w:val="hu-HU"/>
              </w:rPr>
              <w:t>s one or more c</w:t>
            </w:r>
            <w:r>
              <w:t>onnection capabilities</w:t>
            </w:r>
            <w:r>
              <w:rPr>
                <w:bCs/>
                <w:szCs w:val="18"/>
              </w:rPr>
              <w:t xml:space="preserve"> in traffic descriptor component.</w:t>
            </w:r>
          </w:p>
          <w:p>
            <w:pPr>
              <w:pStyle w:val="114"/>
              <w:rPr>
                <w:lang w:val="en-US"/>
              </w:rPr>
            </w:pPr>
            <w:r>
              <w:t>NOTE</w:t>
            </w:r>
            <w:r>
              <w:rPr>
                <w:lang w:val="en-US"/>
              </w:rPr>
              <w:t> 13:</w:t>
            </w:r>
            <w:r>
              <w:tab/>
            </w:r>
            <w:r>
              <w:rPr>
                <w:lang w:val="en-US"/>
              </w:rPr>
              <w:t>The traffic descriptor component type "</w:t>
            </w:r>
            <w:r>
              <w:t>connectivity group ID</w:t>
            </w:r>
            <w:r>
              <w:rPr>
                <w:lang w:val="en-US"/>
              </w:rPr>
              <w:t xml:space="preserve">" </w:t>
            </w:r>
            <w:r>
              <w:rPr>
                <w:szCs w:val="18"/>
              </w:rPr>
              <w:t>can only be combined with IP descriptors, non-IP descriptors</w:t>
            </w:r>
            <w:r>
              <w:rPr>
                <w:lang w:val="en-US"/>
              </w:rPr>
              <w:t xml:space="preserve">, or both, </w:t>
            </w:r>
            <w:r>
              <w:rPr>
                <w:szCs w:val="18"/>
              </w:rPr>
              <w:t>in the same URSP rule</w:t>
            </w:r>
            <w:r>
              <w:rPr>
                <w:lang w:val="en-US"/>
              </w:rPr>
              <w:t xml:space="preserve">. if 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pPr>
              <w:pStyle w:val="114"/>
            </w:pPr>
            <w:r>
              <w:t>NOTE</w:t>
            </w:r>
            <w:r>
              <w:rPr>
                <w:lang w:val="en-US"/>
              </w:rPr>
              <w:t> 14:</w:t>
            </w:r>
            <w:r>
              <w:tab/>
            </w:r>
            <w:r>
              <w:t>These connection capabilities are traffic categories specified in GSMA PRD NG.135 [26].</w:t>
            </w:r>
          </w:p>
          <w:p>
            <w:pPr>
              <w:pStyle w:val="114"/>
            </w:pPr>
            <w:r>
              <w:t>NOTE</w:t>
            </w:r>
            <w:r>
              <w:rPr>
                <w:lang w:val="en-US"/>
              </w:rPr>
              <w:t> 15:</w:t>
            </w:r>
            <w:r>
              <w:tab/>
            </w:r>
            <w:r>
              <w:t>The operator specific connection capability identifier can match against a operator specific traffic category as specified in 3GPP TS 23.503 [2].</w:t>
            </w:r>
          </w:p>
          <w:p>
            <w:pPr>
              <w:pStyle w:val="114"/>
            </w:pPr>
            <w:r>
              <w:t>NOTE</w:t>
            </w:r>
            <w:r>
              <w:rPr>
                <w:lang w:val="en-US"/>
              </w:rPr>
              <w:t> 16:</w:t>
            </w:r>
            <w:r>
              <w:tab/>
            </w:r>
            <w:r>
              <w:t>This indication is included in the connection capability as specified in 3GPP TS 23.273 [27].</w:t>
            </w:r>
          </w:p>
          <w:p>
            <w:pPr>
              <w:pStyle w:val="114"/>
            </w:pPr>
            <w:r>
              <w:t>NOTE</w:t>
            </w:r>
            <w:r>
              <w:rPr>
                <w:lang w:val="en-US"/>
              </w:rPr>
              <w:t> 17:</w:t>
            </w:r>
            <w:r>
              <w:tab/>
            </w:r>
            <w:r>
              <w:t xml:space="preserve">This connection capability identifier can be used for either </w:t>
            </w:r>
            <w:r>
              <w:rPr>
                <w:lang w:val="en-US"/>
              </w:rPr>
              <w:t xml:space="preserve">a network connection with certain capabilities or a </w:t>
            </w:r>
            <w:r>
              <w:t>traffic category specified in GSMA PRD NG.135 [26].</w:t>
            </w:r>
          </w:p>
        </w:tc>
      </w:tr>
    </w:tbl>
    <w:p>
      <w:pPr>
        <w:pStyle w:val="122"/>
        <w:ind w:left="0" w:firstLine="0"/>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9DC"/>
    <w:rsid w:val="000A6394"/>
    <w:rsid w:val="000B7FED"/>
    <w:rsid w:val="000C038A"/>
    <w:rsid w:val="000C6598"/>
    <w:rsid w:val="000D44B3"/>
    <w:rsid w:val="00145D43"/>
    <w:rsid w:val="001710B6"/>
    <w:rsid w:val="00192C46"/>
    <w:rsid w:val="001A08B3"/>
    <w:rsid w:val="001A7B60"/>
    <w:rsid w:val="001B52F0"/>
    <w:rsid w:val="001B7A65"/>
    <w:rsid w:val="001C25FB"/>
    <w:rsid w:val="001E41F3"/>
    <w:rsid w:val="002014EA"/>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36C4"/>
    <w:rsid w:val="003E1A36"/>
    <w:rsid w:val="003F2D3F"/>
    <w:rsid w:val="00410371"/>
    <w:rsid w:val="00416780"/>
    <w:rsid w:val="004242F1"/>
    <w:rsid w:val="0042640D"/>
    <w:rsid w:val="0044224B"/>
    <w:rsid w:val="00453F3E"/>
    <w:rsid w:val="004B75B7"/>
    <w:rsid w:val="00512AB0"/>
    <w:rsid w:val="005141D9"/>
    <w:rsid w:val="0051580D"/>
    <w:rsid w:val="00520CA3"/>
    <w:rsid w:val="00547111"/>
    <w:rsid w:val="005625CB"/>
    <w:rsid w:val="0057152C"/>
    <w:rsid w:val="00592D74"/>
    <w:rsid w:val="005E2C44"/>
    <w:rsid w:val="00621188"/>
    <w:rsid w:val="006257ED"/>
    <w:rsid w:val="00632A03"/>
    <w:rsid w:val="00653DE4"/>
    <w:rsid w:val="00665C47"/>
    <w:rsid w:val="00695808"/>
    <w:rsid w:val="006B46FB"/>
    <w:rsid w:val="006C1409"/>
    <w:rsid w:val="006E21FB"/>
    <w:rsid w:val="006F7EDC"/>
    <w:rsid w:val="00714F28"/>
    <w:rsid w:val="0076572B"/>
    <w:rsid w:val="00792342"/>
    <w:rsid w:val="007977A8"/>
    <w:rsid w:val="007A184C"/>
    <w:rsid w:val="007B512A"/>
    <w:rsid w:val="007C2097"/>
    <w:rsid w:val="007D4CE0"/>
    <w:rsid w:val="007D6A07"/>
    <w:rsid w:val="007D6A43"/>
    <w:rsid w:val="007D7A13"/>
    <w:rsid w:val="007F4D91"/>
    <w:rsid w:val="007F7259"/>
    <w:rsid w:val="008040A8"/>
    <w:rsid w:val="00804359"/>
    <w:rsid w:val="00820339"/>
    <w:rsid w:val="00822C31"/>
    <w:rsid w:val="008279FA"/>
    <w:rsid w:val="00837794"/>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632E"/>
    <w:rsid w:val="009D7DD4"/>
    <w:rsid w:val="009E3297"/>
    <w:rsid w:val="009F734F"/>
    <w:rsid w:val="00A246B6"/>
    <w:rsid w:val="00A312E5"/>
    <w:rsid w:val="00A47E70"/>
    <w:rsid w:val="00A50CF0"/>
    <w:rsid w:val="00A53EBA"/>
    <w:rsid w:val="00A7671C"/>
    <w:rsid w:val="00A80F6E"/>
    <w:rsid w:val="00AA2CBC"/>
    <w:rsid w:val="00AC5820"/>
    <w:rsid w:val="00AD1CD8"/>
    <w:rsid w:val="00B258BB"/>
    <w:rsid w:val="00B67B97"/>
    <w:rsid w:val="00B72EF8"/>
    <w:rsid w:val="00B7574C"/>
    <w:rsid w:val="00B968C8"/>
    <w:rsid w:val="00BA3EC5"/>
    <w:rsid w:val="00BA51D9"/>
    <w:rsid w:val="00BB5DFC"/>
    <w:rsid w:val="00BD279D"/>
    <w:rsid w:val="00BD6BB8"/>
    <w:rsid w:val="00BF6CC1"/>
    <w:rsid w:val="00C51C55"/>
    <w:rsid w:val="00C66BA2"/>
    <w:rsid w:val="00C76FD0"/>
    <w:rsid w:val="00C870F6"/>
    <w:rsid w:val="00C95985"/>
    <w:rsid w:val="00CC5026"/>
    <w:rsid w:val="00CC68D0"/>
    <w:rsid w:val="00D03F9A"/>
    <w:rsid w:val="00D04E4B"/>
    <w:rsid w:val="00D06D51"/>
    <w:rsid w:val="00D24991"/>
    <w:rsid w:val="00D24F7F"/>
    <w:rsid w:val="00D50255"/>
    <w:rsid w:val="00D52ADE"/>
    <w:rsid w:val="00D66520"/>
    <w:rsid w:val="00D70F07"/>
    <w:rsid w:val="00D80124"/>
    <w:rsid w:val="00D84AE9"/>
    <w:rsid w:val="00DE34CF"/>
    <w:rsid w:val="00E13F3D"/>
    <w:rsid w:val="00E34898"/>
    <w:rsid w:val="00E42104"/>
    <w:rsid w:val="00E459C4"/>
    <w:rsid w:val="00E513BA"/>
    <w:rsid w:val="00E7711D"/>
    <w:rsid w:val="00EB09B7"/>
    <w:rsid w:val="00EE7D7C"/>
    <w:rsid w:val="00F00616"/>
    <w:rsid w:val="00F25D98"/>
    <w:rsid w:val="00F300FB"/>
    <w:rsid w:val="00F61657"/>
    <w:rsid w:val="00F918C0"/>
    <w:rsid w:val="00FB6386"/>
    <w:rsid w:val="00FF7E10"/>
    <w:rsid w:val="08BA7A6E"/>
    <w:rsid w:val="1E223690"/>
    <w:rsid w:val="1FB27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unhideWhenUsed="0" w:uiPriority="0" w:name="toc 6"/>
    <w:lsdException w:qFormat="1" w:unhideWhenUsed="0" w:uiPriority="0" w:name="toc 7"/>
    <w:lsdException w:unhideWhenUsed="0" w:uiPriority="39" w:semiHidden="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51"/>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5"/>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uiPriority w:val="0"/>
  </w:style>
  <w:style w:type="paragraph" w:styleId="25">
    <w:name w:val="table of authorities"/>
    <w:basedOn w:val="1"/>
    <w:next w:val="1"/>
    <w:uiPriority w:val="0"/>
    <w:pPr>
      <w:overflowPunct w:val="0"/>
      <w:autoSpaceDE w:val="0"/>
      <w:autoSpaceDN w:val="0"/>
      <w:adjustRightInd w:val="0"/>
      <w:ind w:left="200" w:hanging="200"/>
      <w:textAlignment w:val="baseline"/>
    </w:pPr>
    <w:rPr>
      <w:rFonts w:eastAsia="Times New Roman"/>
      <w:lang w:eastAsia="en-GB"/>
    </w:rPr>
  </w:style>
  <w:style w:type="paragraph" w:styleId="26">
    <w:name w:val="Note Heading"/>
    <w:basedOn w:val="1"/>
    <w:next w:val="1"/>
    <w:link w:val="178"/>
    <w:uiPriority w:val="0"/>
    <w:pPr>
      <w:overflowPunct w:val="0"/>
      <w:autoSpaceDE w:val="0"/>
      <w:autoSpaceDN w:val="0"/>
      <w:adjustRightInd w:val="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iPriority w:val="0"/>
    <w:pPr>
      <w:overflowPunct w:val="0"/>
      <w:autoSpaceDE w:val="0"/>
      <w:autoSpaceDN w:val="0"/>
      <w:adjustRightInd w:val="0"/>
      <w:ind w:left="1600" w:hanging="200"/>
      <w:textAlignment w:val="baseline"/>
    </w:pPr>
    <w:rPr>
      <w:rFonts w:eastAsia="Times New Roman"/>
      <w:lang w:eastAsia="en-GB"/>
    </w:rPr>
  </w:style>
  <w:style w:type="paragraph" w:styleId="32">
    <w:name w:val="E-mail Signature"/>
    <w:basedOn w:val="1"/>
    <w:link w:val="167"/>
    <w:uiPriority w:val="0"/>
    <w:pPr>
      <w:overflowPunct w:val="0"/>
      <w:autoSpaceDE w:val="0"/>
      <w:autoSpaceDN w:val="0"/>
      <w:adjustRightInd w:val="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textAlignment w:val="baseline"/>
    </w:pPr>
    <w:rPr>
      <w:rFonts w:eastAsia="Times New Roman"/>
      <w:b/>
      <w:bCs/>
      <w:lang w:eastAsia="en-GB"/>
    </w:rPr>
  </w:style>
  <w:style w:type="paragraph" w:styleId="35">
    <w:name w:val="index 5"/>
    <w:basedOn w:val="1"/>
    <w:next w:val="1"/>
    <w:uiPriority w:val="0"/>
    <w:pPr>
      <w:overflowPunct w:val="0"/>
      <w:autoSpaceDE w:val="0"/>
      <w:autoSpaceDN w:val="0"/>
      <w:adjustRightInd w:val="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eastAsia="Times New Roman"/>
      <w:sz w:val="24"/>
      <w:szCs w:val="24"/>
      <w:lang w:eastAsia="en-GB"/>
    </w:rPr>
  </w:style>
  <w:style w:type="paragraph" w:styleId="37">
    <w:name w:val="Document Map"/>
    <w:basedOn w:val="1"/>
    <w:link w:val="166"/>
    <w:uiPriority w:val="0"/>
    <w:pPr>
      <w:shd w:val="clear" w:color="auto" w:fill="000080"/>
    </w:pPr>
    <w:rPr>
      <w:rFonts w:ascii="Tahoma" w:hAnsi="Tahoma" w:cs="Tahoma"/>
    </w:rPr>
  </w:style>
  <w:style w:type="paragraph" w:styleId="38">
    <w:name w:val="toa heading"/>
    <w:basedOn w:val="1"/>
    <w:next w:val="1"/>
    <w:uiPriority w:val="0"/>
    <w:pPr>
      <w:overflowPunct w:val="0"/>
      <w:autoSpaceDE w:val="0"/>
      <w:autoSpaceDN w:val="0"/>
      <w:adjustRightInd w:val="0"/>
      <w:spacing w:before="120"/>
      <w:textAlignment w:val="baseline"/>
    </w:pPr>
    <w:rPr>
      <w:rFonts w:ascii="Calibri Light" w:hAnsi="Calibri Light" w:eastAsia="Times New Roman"/>
      <w:b/>
      <w:bCs/>
      <w:sz w:val="24"/>
      <w:szCs w:val="24"/>
      <w:lang w:eastAsia="en-GB"/>
    </w:rPr>
  </w:style>
  <w:style w:type="paragraph" w:styleId="39">
    <w:name w:val="annotation text"/>
    <w:basedOn w:val="1"/>
    <w:link w:val="163"/>
    <w:uiPriority w:val="0"/>
  </w:style>
  <w:style w:type="paragraph" w:styleId="40">
    <w:name w:val="index 6"/>
    <w:basedOn w:val="1"/>
    <w:next w:val="1"/>
    <w:uiPriority w:val="0"/>
    <w:pPr>
      <w:overflowPunct w:val="0"/>
      <w:autoSpaceDE w:val="0"/>
      <w:autoSpaceDN w:val="0"/>
      <w:adjustRightInd w:val="0"/>
      <w:ind w:left="1200" w:hanging="200"/>
      <w:textAlignment w:val="baseline"/>
    </w:pPr>
    <w:rPr>
      <w:rFonts w:eastAsia="Times New Roman"/>
      <w:lang w:eastAsia="en-GB"/>
    </w:rPr>
  </w:style>
  <w:style w:type="paragraph" w:styleId="41">
    <w:name w:val="Salutation"/>
    <w:basedOn w:val="1"/>
    <w:next w:val="1"/>
    <w:link w:val="182"/>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56"/>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62"/>
    <w:uiPriority w:val="0"/>
    <w:pPr>
      <w:overflowPunct w:val="0"/>
      <w:autoSpaceDE w:val="0"/>
      <w:autoSpaceDN w:val="0"/>
      <w:adjustRightInd w:val="0"/>
      <w:ind w:left="4252"/>
      <w:textAlignment w:val="baseline"/>
    </w:pPr>
    <w:rPr>
      <w:rFonts w:eastAsia="Times New Roman"/>
      <w:lang w:eastAsia="en-GB"/>
    </w:rPr>
  </w:style>
  <w:style w:type="paragraph" w:styleId="44">
    <w:name w:val="Body Text"/>
    <w:basedOn w:val="1"/>
    <w:link w:val="154"/>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58"/>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iPriority w:val="0"/>
    <w:pPr>
      <w:overflowPunct w:val="0"/>
      <w:autoSpaceDE w:val="0"/>
      <w:autoSpaceDN w:val="0"/>
      <w:adjustRightInd w:val="0"/>
      <w:spacing w:after="120"/>
      <w:ind w:left="1440" w:right="1440"/>
      <w:textAlignment w:val="baseline"/>
    </w:pPr>
    <w:rPr>
      <w:rFonts w:eastAsia="Times New Roman"/>
      <w:lang w:eastAsia="en-GB"/>
    </w:rPr>
  </w:style>
  <w:style w:type="paragraph" w:styleId="49">
    <w:name w:val="HTML Address"/>
    <w:basedOn w:val="1"/>
    <w:link w:val="170"/>
    <w:uiPriority w:val="0"/>
    <w:pPr>
      <w:overflowPunct w:val="0"/>
      <w:autoSpaceDE w:val="0"/>
      <w:autoSpaceDN w:val="0"/>
      <w:adjustRightInd w:val="0"/>
      <w:textAlignment w:val="baseline"/>
    </w:pPr>
    <w:rPr>
      <w:rFonts w:eastAsia="Times New Roman"/>
      <w:i/>
      <w:iCs/>
      <w:lang w:eastAsia="en-GB"/>
    </w:rPr>
  </w:style>
  <w:style w:type="paragraph" w:styleId="50">
    <w:name w:val="index 4"/>
    <w:basedOn w:val="1"/>
    <w:next w:val="1"/>
    <w:uiPriority w:val="0"/>
    <w:pPr>
      <w:overflowPunct w:val="0"/>
      <w:autoSpaceDE w:val="0"/>
      <w:autoSpaceDN w:val="0"/>
      <w:adjustRightInd w:val="0"/>
      <w:ind w:left="800" w:hanging="200"/>
      <w:textAlignment w:val="baseline"/>
    </w:pPr>
    <w:rPr>
      <w:rFonts w:eastAsia="Times New Roman"/>
      <w:lang w:eastAsia="en-GB"/>
    </w:rPr>
  </w:style>
  <w:style w:type="paragraph" w:styleId="51">
    <w:name w:val="Plain Text"/>
    <w:basedOn w:val="1"/>
    <w:link w:val="179"/>
    <w:uiPriority w:val="0"/>
    <w:pPr>
      <w:overflowPunct w:val="0"/>
      <w:autoSpaceDE w:val="0"/>
      <w:autoSpaceDN w:val="0"/>
      <w:adjustRightInd w:val="0"/>
      <w:textAlignment w:val="baseline"/>
    </w:pPr>
    <w:rPr>
      <w:rFonts w:ascii="Courier New" w:hAnsi="Courier New" w:eastAsia="Times New Roman" w:cs="Courier New"/>
      <w:lang w:eastAsia="en-GB"/>
    </w:rPr>
  </w:style>
  <w:style w:type="paragraph" w:styleId="52">
    <w:name w:val="List Bullet 5"/>
    <w:basedOn w:val="27"/>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ind w:left="600" w:hanging="200"/>
      <w:textAlignment w:val="baseline"/>
    </w:pPr>
    <w:rPr>
      <w:rFonts w:eastAsia="Times New Roman"/>
      <w:lang w:eastAsia="en-GB"/>
    </w:rPr>
  </w:style>
  <w:style w:type="paragraph" w:styleId="56">
    <w:name w:val="Date"/>
    <w:basedOn w:val="1"/>
    <w:next w:val="1"/>
    <w:link w:val="165"/>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0"/>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68"/>
    <w:uiPriority w:val="0"/>
    <w:pPr>
      <w:overflowPunct w:val="0"/>
      <w:autoSpaceDE w:val="0"/>
      <w:autoSpaceDN w:val="0"/>
      <w:adjustRightInd w:val="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5"/>
    <w:uiPriority w:val="0"/>
    <w:rPr>
      <w:rFonts w:ascii="Tahoma" w:hAnsi="Tahoma" w:cs="Tahoma"/>
      <w:sz w:val="16"/>
      <w:szCs w:val="16"/>
    </w:rPr>
  </w:style>
  <w:style w:type="paragraph" w:styleId="61">
    <w:name w:val="footer"/>
    <w:basedOn w:val="62"/>
    <w:uiPriority w:val="0"/>
    <w:pPr>
      <w:jc w:val="center"/>
    </w:pPr>
    <w:rPr>
      <w:i/>
    </w:rPr>
  </w:style>
  <w:style w:type="paragraph" w:styleId="62">
    <w:name w:val="header"/>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overflowPunct w:val="0"/>
      <w:autoSpaceDE w:val="0"/>
      <w:autoSpaceDN w:val="0"/>
      <w:adjustRightInd w:val="0"/>
      <w:textAlignment w:val="baseline"/>
    </w:pPr>
    <w:rPr>
      <w:rFonts w:ascii="Calibri Light" w:hAnsi="Calibri Light" w:eastAsia="Times New Roman"/>
      <w:lang w:eastAsia="en-GB"/>
    </w:rPr>
  </w:style>
  <w:style w:type="paragraph" w:styleId="64">
    <w:name w:val="Signature"/>
    <w:basedOn w:val="1"/>
    <w:link w:val="183"/>
    <w:uiPriority w:val="0"/>
    <w:pPr>
      <w:overflowPunct w:val="0"/>
      <w:autoSpaceDE w:val="0"/>
      <w:autoSpaceDN w:val="0"/>
      <w:adjustRightInd w:val="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uiPriority w:val="0"/>
    <w:pPr>
      <w:overflowPunct w:val="0"/>
      <w:autoSpaceDE w:val="0"/>
      <w:autoSpaceDN w:val="0"/>
      <w:adjustRightInd w:val="0"/>
      <w:textAlignment w:val="baseline"/>
    </w:pPr>
    <w:rPr>
      <w:rFonts w:ascii="Calibri Light" w:hAnsi="Calibri Light" w:eastAsia="Times New Roman"/>
      <w:b/>
      <w:bCs/>
      <w:lang w:eastAsia="en-GB"/>
    </w:rPr>
  </w:style>
  <w:style w:type="paragraph" w:styleId="67">
    <w:name w:val="index 1"/>
    <w:basedOn w:val="1"/>
    <w:next w:val="1"/>
    <w:uiPriority w:val="0"/>
    <w:pPr>
      <w:keepLines/>
      <w:spacing w:after="0"/>
    </w:pPr>
  </w:style>
  <w:style w:type="paragraph" w:styleId="68">
    <w:name w:val="Subtitle"/>
    <w:basedOn w:val="1"/>
    <w:next w:val="1"/>
    <w:link w:val="184"/>
    <w:qFormat/>
    <w:uiPriority w:val="0"/>
    <w:pPr>
      <w:overflowPunct w:val="0"/>
      <w:autoSpaceDE w:val="0"/>
      <w:autoSpaceDN w:val="0"/>
      <w:adjustRightInd w:val="0"/>
      <w:spacing w:after="60"/>
      <w:jc w:val="center"/>
      <w:textAlignment w:val="baseline"/>
      <w:outlineLvl w:val="1"/>
    </w:pPr>
    <w:rPr>
      <w:rFonts w:ascii="Calibri Light" w:hAnsi="Calibri Light" w:eastAsia="Times New Roman"/>
      <w:sz w:val="24"/>
      <w:szCs w:val="24"/>
      <w:lang w:eastAsia="en-GB"/>
    </w:rPr>
  </w:style>
  <w:style w:type="paragraph" w:styleId="69">
    <w:name w:val="List Number 5"/>
    <w:basedOn w:val="1"/>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69"/>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61"/>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uiPriority w:val="0"/>
    <w:pPr>
      <w:overflowPunct w:val="0"/>
      <w:autoSpaceDE w:val="0"/>
      <w:autoSpaceDN w:val="0"/>
      <w:adjustRightInd w:val="0"/>
      <w:ind w:left="1400" w:hanging="200"/>
      <w:textAlignment w:val="baseline"/>
    </w:pPr>
    <w:rPr>
      <w:rFonts w:eastAsia="Times New Roman"/>
      <w:lang w:eastAsia="en-GB"/>
    </w:rPr>
  </w:style>
  <w:style w:type="paragraph" w:styleId="75">
    <w:name w:val="index 9"/>
    <w:basedOn w:val="1"/>
    <w:next w:val="1"/>
    <w:uiPriority w:val="0"/>
    <w:pPr>
      <w:overflowPunct w:val="0"/>
      <w:autoSpaceDE w:val="0"/>
      <w:autoSpaceDN w:val="0"/>
      <w:adjustRightInd w:val="0"/>
      <w:ind w:left="1800" w:hanging="200"/>
      <w:textAlignment w:val="baseline"/>
    </w:pPr>
    <w:rPr>
      <w:rFonts w:eastAsia="Times New Roman"/>
      <w:lang w:eastAsia="en-GB"/>
    </w:rPr>
  </w:style>
  <w:style w:type="paragraph" w:styleId="76">
    <w:name w:val="table of figures"/>
    <w:basedOn w:val="1"/>
    <w:next w:val="1"/>
    <w:uiPriority w:val="0"/>
    <w:pPr>
      <w:overflowPunct w:val="0"/>
      <w:autoSpaceDE w:val="0"/>
      <w:autoSpaceDN w:val="0"/>
      <w:adjustRightInd w:val="0"/>
      <w:textAlignment w:val="baseline"/>
    </w:pPr>
    <w:rPr>
      <w:rFonts w:eastAsia="Times New Roman"/>
      <w:lang w:eastAsia="en-GB"/>
    </w:rPr>
  </w:style>
  <w:style w:type="paragraph" w:styleId="77">
    <w:name w:val="toc 9"/>
    <w:basedOn w:val="54"/>
    <w:next w:val="1"/>
    <w:semiHidden/>
    <w:qFormat/>
    <w:uiPriority w:val="0"/>
    <w:pPr>
      <w:ind w:left="1418" w:hanging="1418"/>
    </w:pPr>
  </w:style>
  <w:style w:type="paragraph" w:styleId="78">
    <w:name w:val="Body Text 2"/>
    <w:basedOn w:val="1"/>
    <w:link w:val="155"/>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76"/>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textAlignment w:val="baseline"/>
    </w:pPr>
    <w:rPr>
      <w:rFonts w:ascii="Calibri Light" w:hAnsi="Calibri Light" w:eastAsia="Times New Roman"/>
      <w:sz w:val="24"/>
      <w:szCs w:val="24"/>
      <w:lang w:eastAsia="en-GB"/>
    </w:rPr>
  </w:style>
  <w:style w:type="paragraph" w:styleId="81">
    <w:name w:val="HTML Preformatted"/>
    <w:basedOn w:val="1"/>
    <w:link w:val="171"/>
    <w:uiPriority w:val="0"/>
    <w:pPr>
      <w:overflowPunct w:val="0"/>
      <w:autoSpaceDE w:val="0"/>
      <w:autoSpaceDN w:val="0"/>
      <w:adjustRightInd w:val="0"/>
      <w:textAlignment w:val="baseline"/>
    </w:pPr>
    <w:rPr>
      <w:rFonts w:ascii="Courier New" w:hAnsi="Courier New" w:eastAsia="Times New Roman" w:cs="Courier New"/>
      <w:lang w:eastAsia="en-GB"/>
    </w:rPr>
  </w:style>
  <w:style w:type="paragraph" w:styleId="82">
    <w:name w:val="Normal (Web)"/>
    <w:basedOn w:val="1"/>
    <w:uiPriority w:val="0"/>
    <w:pPr>
      <w:overflowPunct w:val="0"/>
      <w:autoSpaceDE w:val="0"/>
      <w:autoSpaceDN w:val="0"/>
      <w:adjustRightInd w:val="0"/>
      <w:textAlignment w:val="baseline"/>
    </w:pPr>
    <w:rPr>
      <w:rFonts w:eastAsia="Times New Roman"/>
      <w:sz w:val="24"/>
      <w:szCs w:val="24"/>
      <w:lang w:eastAsia="en-GB"/>
    </w:rPr>
  </w:style>
  <w:style w:type="paragraph" w:styleId="83">
    <w:name w:val="List Continue 3"/>
    <w:basedOn w:val="1"/>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uiPriority w:val="0"/>
    <w:pPr>
      <w:ind w:left="284"/>
    </w:pPr>
  </w:style>
  <w:style w:type="paragraph" w:styleId="85">
    <w:name w:val="Title"/>
    <w:basedOn w:val="1"/>
    <w:next w:val="1"/>
    <w:link w:val="185"/>
    <w:qFormat/>
    <w:uiPriority w:val="0"/>
    <w:pPr>
      <w:overflowPunct w:val="0"/>
      <w:autoSpaceDE w:val="0"/>
      <w:autoSpaceDN w:val="0"/>
      <w:adjustRightInd w:val="0"/>
      <w:spacing w:before="240" w:after="60"/>
      <w:jc w:val="center"/>
      <w:textAlignment w:val="baseline"/>
      <w:outlineLvl w:val="0"/>
    </w:pPr>
    <w:rPr>
      <w:rFonts w:ascii="Calibri Light" w:hAnsi="Calibri Light" w:eastAsia="Times New Roman"/>
      <w:b/>
      <w:bCs/>
      <w:kern w:val="28"/>
      <w:sz w:val="32"/>
      <w:szCs w:val="32"/>
      <w:lang w:eastAsia="en-GB"/>
    </w:rPr>
  </w:style>
  <w:style w:type="paragraph" w:styleId="86">
    <w:name w:val="annotation subject"/>
    <w:basedOn w:val="39"/>
    <w:next w:val="39"/>
    <w:link w:val="164"/>
    <w:uiPriority w:val="0"/>
    <w:rPr>
      <w:b/>
      <w:bCs/>
    </w:rPr>
  </w:style>
  <w:style w:type="paragraph" w:styleId="87">
    <w:name w:val="Body Text First Indent"/>
    <w:basedOn w:val="44"/>
    <w:link w:val="157"/>
    <w:uiPriority w:val="0"/>
    <w:pPr>
      <w:ind w:firstLine="210"/>
    </w:pPr>
  </w:style>
  <w:style w:type="paragraph" w:styleId="88">
    <w:name w:val="Body Text First Indent 2"/>
    <w:basedOn w:val="45"/>
    <w:link w:val="159"/>
    <w:uiPriority w:val="0"/>
    <w:pPr>
      <w:ind w:firstLine="210"/>
    </w:pPr>
  </w:style>
  <w:style w:type="character" w:styleId="91">
    <w:name w:val="FollowedHyperlink"/>
    <w:uiPriority w:val="0"/>
    <w:rPr>
      <w:color w:val="800080"/>
      <w:u w:val="single"/>
    </w:rPr>
  </w:style>
  <w:style w:type="character" w:styleId="92">
    <w:name w:val="Hyperlink"/>
    <w:uiPriority w:val="99"/>
    <w:rPr>
      <w:color w:val="0000FF"/>
      <w:u w:val="single"/>
    </w:rPr>
  </w:style>
  <w:style w:type="character" w:styleId="93">
    <w:name w:val="annotation reference"/>
    <w:uiPriority w:val="0"/>
    <w:rPr>
      <w:sz w:val="16"/>
    </w:rPr>
  </w:style>
  <w:style w:type="character" w:styleId="94">
    <w:name w:val="footnote reference"/>
    <w:semiHidden/>
    <w:uiPriority w:val="0"/>
    <w:rPr>
      <w:b/>
      <w:position w:val="6"/>
      <w:sz w:val="16"/>
    </w:rPr>
  </w:style>
  <w:style w:type="character" w:customStyle="1" w:styleId="95">
    <w:name w:val="批注框文本 Char"/>
    <w:link w:val="60"/>
    <w:uiPriority w:val="0"/>
    <w:rPr>
      <w:rFonts w:ascii="Tahoma" w:hAnsi="Tahoma" w:cs="Tahoma"/>
      <w:sz w:val="16"/>
      <w:szCs w:val="16"/>
      <w:lang w:val="en-GB" w:eastAsia="en-US"/>
    </w:rPr>
  </w:style>
  <w:style w:type="paragraph" w:customStyle="1" w:styleId="9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uiPriority w:val="0"/>
    <w:pPr>
      <w:outlineLvl w:val="9"/>
    </w:pPr>
  </w:style>
  <w:style w:type="paragraph" w:customStyle="1" w:styleId="99">
    <w:name w:val="TAH"/>
    <w:basedOn w:val="100"/>
    <w:link w:val="144"/>
    <w:qFormat/>
    <w:uiPriority w:val="0"/>
    <w:rPr>
      <w:b/>
    </w:rPr>
  </w:style>
  <w:style w:type="paragraph" w:customStyle="1" w:styleId="100">
    <w:name w:val="TAC"/>
    <w:basedOn w:val="101"/>
    <w:link w:val="139"/>
    <w:qFormat/>
    <w:uiPriority w:val="0"/>
    <w:pPr>
      <w:jc w:val="center"/>
    </w:pPr>
  </w:style>
  <w:style w:type="paragraph" w:customStyle="1" w:styleId="101">
    <w:name w:val="TAL"/>
    <w:basedOn w:val="1"/>
    <w:link w:val="138"/>
    <w:qFormat/>
    <w:uiPriority w:val="0"/>
    <w:pPr>
      <w:keepNext/>
      <w:keepLines/>
      <w:spacing w:after="0"/>
    </w:pPr>
    <w:rPr>
      <w:rFonts w:ascii="Arial" w:hAnsi="Arial"/>
      <w:sz w:val="18"/>
    </w:rPr>
  </w:style>
  <w:style w:type="paragraph" w:customStyle="1" w:styleId="102">
    <w:name w:val="TF"/>
    <w:basedOn w:val="103"/>
    <w:link w:val="141"/>
    <w:qFormat/>
    <w:uiPriority w:val="0"/>
    <w:pPr>
      <w:keepNext w:val="0"/>
      <w:spacing w:before="0" w:after="240"/>
    </w:pPr>
  </w:style>
  <w:style w:type="paragraph" w:customStyle="1" w:styleId="103">
    <w:name w:val="TH"/>
    <w:basedOn w:val="1"/>
    <w:link w:val="140"/>
    <w:qFormat/>
    <w:uiPriority w:val="0"/>
    <w:pPr>
      <w:keepNext/>
      <w:keepLines/>
      <w:spacing w:before="60"/>
      <w:jc w:val="center"/>
    </w:pPr>
    <w:rPr>
      <w:rFonts w:ascii="Arial" w:hAnsi="Arial"/>
      <w:b/>
    </w:rPr>
  </w:style>
  <w:style w:type="paragraph" w:customStyle="1" w:styleId="104">
    <w:name w:val="NO"/>
    <w:basedOn w:val="1"/>
    <w:link w:val="134"/>
    <w:qFormat/>
    <w:uiPriority w:val="0"/>
    <w:pPr>
      <w:keepLines/>
      <w:ind w:left="1135" w:hanging="851"/>
    </w:pPr>
  </w:style>
  <w:style w:type="paragraph" w:customStyle="1" w:styleId="105">
    <w:name w:val="EX"/>
    <w:basedOn w:val="1"/>
    <w:link w:val="147"/>
    <w:qFormat/>
    <w:uiPriority w:val="0"/>
    <w:pPr>
      <w:keepLines/>
      <w:ind w:left="1702" w:hanging="1418"/>
    </w:pPr>
  </w:style>
  <w:style w:type="paragraph" w:customStyle="1" w:styleId="106">
    <w:name w:val="FP"/>
    <w:basedOn w:val="1"/>
    <w:uiPriority w:val="0"/>
    <w:pPr>
      <w:spacing w:after="0"/>
    </w:pPr>
  </w:style>
  <w:style w:type="paragraph" w:customStyle="1" w:styleId="107">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uiPriority w:val="0"/>
    <w:pPr>
      <w:spacing w:after="0"/>
    </w:pPr>
  </w:style>
  <w:style w:type="paragraph" w:customStyle="1" w:styleId="109">
    <w:name w:val="EW"/>
    <w:basedOn w:val="105"/>
    <w:link w:val="188"/>
    <w:qFormat/>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uiPriority w:val="0"/>
    <w:pPr>
      <w:jc w:val="right"/>
    </w:pPr>
  </w:style>
  <w:style w:type="paragraph" w:customStyle="1" w:styleId="114">
    <w:name w:val="TAN"/>
    <w:basedOn w:val="101"/>
    <w:link w:val="150"/>
    <w:qFormat/>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6"/>
    <w:qFormat/>
    <w:uiPriority w:val="0"/>
    <w:rPr>
      <w:color w:val="FF0000"/>
    </w:rPr>
  </w:style>
  <w:style w:type="paragraph" w:customStyle="1" w:styleId="123">
    <w:name w:val="B1"/>
    <w:basedOn w:val="15"/>
    <w:link w:val="133"/>
    <w:qFormat/>
    <w:uiPriority w:val="0"/>
  </w:style>
  <w:style w:type="paragraph" w:customStyle="1" w:styleId="124">
    <w:name w:val="B2"/>
    <w:basedOn w:val="14"/>
    <w:link w:val="135"/>
    <w:qFormat/>
    <w:uiPriority w:val="0"/>
  </w:style>
  <w:style w:type="paragraph" w:customStyle="1" w:styleId="125">
    <w:name w:val="B3"/>
    <w:basedOn w:val="13"/>
    <w:link w:val="187"/>
    <w:qFormat/>
    <w:uiPriority w:val="0"/>
  </w:style>
  <w:style w:type="paragraph" w:customStyle="1" w:styleId="126">
    <w:name w:val="B4"/>
    <w:basedOn w:val="72"/>
    <w:qFormat/>
    <w:uiPriority w:val="0"/>
  </w:style>
  <w:style w:type="paragraph" w:customStyle="1" w:styleId="127">
    <w:name w:val="B5"/>
    <w:basedOn w:val="71"/>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cs="Times New Roman" w:eastAsiaTheme="minorEastAsia"/>
      <w:lang w:val="en-GB" w:eastAsia="en-US" w:bidi="ar-SA"/>
    </w:rPr>
  </w:style>
  <w:style w:type="paragraph" w:customStyle="1" w:styleId="130">
    <w:name w:val="tdoc-header"/>
    <w:uiPriority w:val="0"/>
    <w:rPr>
      <w:rFonts w:ascii="Arial" w:hAnsi="Arial" w:cs="Times New Roman" w:eastAsiaTheme="minorEastAsia"/>
      <w:sz w:val="24"/>
      <w:lang w:val="en-GB" w:eastAsia="en-US" w:bidi="ar-SA"/>
    </w:rPr>
  </w:style>
  <w:style w:type="paragraph" w:customStyle="1" w:styleId="131">
    <w:name w:val="TAJ"/>
    <w:basedOn w:val="103"/>
    <w:uiPriority w:val="0"/>
    <w:pPr>
      <w:overflowPunct w:val="0"/>
      <w:autoSpaceDE w:val="0"/>
      <w:autoSpaceDN w:val="0"/>
      <w:adjustRightInd w:val="0"/>
      <w:textAlignment w:val="baseline"/>
    </w:pPr>
    <w:rPr>
      <w:rFonts w:eastAsia="Times New Roman"/>
      <w:lang w:eastAsia="en-GB"/>
    </w:rPr>
  </w:style>
  <w:style w:type="paragraph" w:customStyle="1" w:styleId="132">
    <w:name w:val="Guidance"/>
    <w:basedOn w:val="1"/>
    <w:uiPriority w:val="0"/>
    <w:pPr>
      <w:overflowPunct w:val="0"/>
      <w:autoSpaceDE w:val="0"/>
      <w:autoSpaceDN w:val="0"/>
      <w:adjustRightInd w:val="0"/>
      <w:textAlignment w:val="baseline"/>
    </w:pPr>
    <w:rPr>
      <w:rFonts w:eastAsia="Times New Roman"/>
      <w:i/>
      <w:color w:val="0000FF"/>
      <w:lang w:eastAsia="en-GB"/>
    </w:rPr>
  </w:style>
  <w:style w:type="character" w:customStyle="1" w:styleId="133">
    <w:name w:val="B1 Char"/>
    <w:link w:val="123"/>
    <w:qFormat/>
    <w:locked/>
    <w:uiPriority w:val="0"/>
    <w:rPr>
      <w:rFonts w:ascii="Times New Roman" w:hAnsi="Times New Roman"/>
      <w:lang w:val="en-GB" w:eastAsia="en-US"/>
    </w:rPr>
  </w:style>
  <w:style w:type="character" w:customStyle="1" w:styleId="134">
    <w:name w:val="NO Char"/>
    <w:link w:val="104"/>
    <w:qFormat/>
    <w:uiPriority w:val="0"/>
    <w:rPr>
      <w:rFonts w:ascii="Times New Roman" w:hAnsi="Times New Roman"/>
      <w:lang w:val="en-GB" w:eastAsia="en-US"/>
    </w:rPr>
  </w:style>
  <w:style w:type="character" w:customStyle="1" w:styleId="135">
    <w:name w:val="B2 Char"/>
    <w:link w:val="124"/>
    <w:qFormat/>
    <w:locked/>
    <w:uiPriority w:val="0"/>
    <w:rPr>
      <w:rFonts w:ascii="Times New Roman" w:hAnsi="Times New Roman"/>
      <w:lang w:val="en-GB" w:eastAsia="en-US"/>
    </w:rPr>
  </w:style>
  <w:style w:type="character" w:customStyle="1" w:styleId="136">
    <w:name w:val="Editor's Note Char"/>
    <w:link w:val="122"/>
    <w:qFormat/>
    <w:locked/>
    <w:uiPriority w:val="0"/>
    <w:rPr>
      <w:rFonts w:ascii="Times New Roman" w:hAnsi="Times New Roman"/>
      <w:color w:val="FF0000"/>
      <w:lang w:val="en-GB" w:eastAsia="en-US"/>
    </w:rPr>
  </w:style>
  <w:style w:type="paragraph" w:customStyle="1" w:styleId="137">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38">
    <w:name w:val="TAL Char"/>
    <w:link w:val="101"/>
    <w:qFormat/>
    <w:uiPriority w:val="0"/>
    <w:rPr>
      <w:rFonts w:ascii="Arial" w:hAnsi="Arial"/>
      <w:sz w:val="18"/>
      <w:lang w:val="en-GB" w:eastAsia="en-US"/>
    </w:rPr>
  </w:style>
  <w:style w:type="character" w:customStyle="1" w:styleId="139">
    <w:name w:val="TAC Char"/>
    <w:link w:val="100"/>
    <w:qFormat/>
    <w:locked/>
    <w:uiPriority w:val="0"/>
    <w:rPr>
      <w:rFonts w:ascii="Arial" w:hAnsi="Arial"/>
      <w:sz w:val="18"/>
      <w:lang w:val="en-GB" w:eastAsia="en-US"/>
    </w:rPr>
  </w:style>
  <w:style w:type="character" w:customStyle="1" w:styleId="140">
    <w:name w:val="TH Char"/>
    <w:link w:val="103"/>
    <w:qFormat/>
    <w:uiPriority w:val="0"/>
    <w:rPr>
      <w:rFonts w:ascii="Arial" w:hAnsi="Arial"/>
      <w:b/>
      <w:lang w:val="en-GB" w:eastAsia="en-US"/>
    </w:rPr>
  </w:style>
  <w:style w:type="character" w:customStyle="1" w:styleId="141">
    <w:name w:val="TF Char"/>
    <w:link w:val="102"/>
    <w:qFormat/>
    <w:locked/>
    <w:uiPriority w:val="0"/>
    <w:rPr>
      <w:rFonts w:ascii="Arial" w:hAnsi="Arial"/>
      <w:b/>
      <w:lang w:val="en-GB" w:eastAsia="en-US"/>
    </w:rPr>
  </w:style>
  <w:style w:type="character" w:customStyle="1" w:styleId="142">
    <w:name w:val="NO Zchn"/>
    <w:qFormat/>
    <w:uiPriority w:val="0"/>
    <w:rPr>
      <w:rFonts w:ascii="Times New Roman" w:hAnsi="Times New Roman"/>
      <w:lang w:val="en-GB" w:eastAsia="en-US"/>
    </w:rPr>
  </w:style>
  <w:style w:type="character" w:customStyle="1" w:styleId="143">
    <w:name w:val="TAL Zchn"/>
    <w:locked/>
    <w:uiPriority w:val="0"/>
    <w:rPr>
      <w:rFonts w:ascii="Arial" w:hAnsi="Arial" w:cs="Arial"/>
      <w:sz w:val="18"/>
      <w:szCs w:val="18"/>
      <w:lang w:val="en-GB" w:eastAsia="en-US" w:bidi="ar-SA"/>
    </w:rPr>
  </w:style>
  <w:style w:type="character" w:customStyle="1" w:styleId="144">
    <w:name w:val="TAH Car"/>
    <w:link w:val="99"/>
    <w:qFormat/>
    <w:locked/>
    <w:uiPriority w:val="0"/>
    <w:rPr>
      <w:rFonts w:ascii="Arial" w:hAnsi="Arial"/>
      <w:b/>
      <w:sz w:val="18"/>
      <w:lang w:val="en-GB" w:eastAsia="en-US"/>
    </w:rPr>
  </w:style>
  <w:style w:type="character" w:customStyle="1" w:styleId="145">
    <w:name w:val="标题 4 Char"/>
    <w:link w:val="6"/>
    <w:uiPriority w:val="0"/>
    <w:rPr>
      <w:rFonts w:ascii="Arial" w:hAnsi="Arial"/>
      <w:sz w:val="24"/>
      <w:lang w:val="en-GB" w:eastAsia="en-US"/>
    </w:rPr>
  </w:style>
  <w:style w:type="character" w:customStyle="1" w:styleId="146">
    <w:name w:val="TAH Char"/>
    <w:uiPriority w:val="0"/>
    <w:rPr>
      <w:rFonts w:ascii="Arial" w:hAnsi="Arial"/>
      <w:b/>
      <w:sz w:val="18"/>
      <w:lang w:val="en-GB" w:eastAsia="en-US"/>
    </w:rPr>
  </w:style>
  <w:style w:type="character" w:customStyle="1" w:styleId="147">
    <w:name w:val="EX Char"/>
    <w:link w:val="105"/>
    <w:locked/>
    <w:uiPriority w:val="0"/>
    <w:rPr>
      <w:rFonts w:ascii="Times New Roman" w:hAnsi="Times New Roman"/>
      <w:lang w:val="en-GB" w:eastAsia="en-US"/>
    </w:rPr>
  </w:style>
  <w:style w:type="paragraph" w:customStyle="1" w:styleId="148">
    <w:name w:val="Revision"/>
    <w:hidden/>
    <w:semiHidden/>
    <w:uiPriority w:val="99"/>
    <w:rPr>
      <w:rFonts w:ascii="Times New Roman" w:hAnsi="Times New Roman" w:eastAsia="宋体" w:cs="Times New Roman"/>
      <w:lang w:val="en-GB" w:eastAsia="en-US" w:bidi="ar-SA"/>
    </w:rPr>
  </w:style>
  <w:style w:type="character" w:customStyle="1" w:styleId="149">
    <w:name w:val="EX Car"/>
    <w:qFormat/>
    <w:locked/>
    <w:uiPriority w:val="0"/>
    <w:rPr>
      <w:rFonts w:ascii="Times New Roman" w:hAnsi="Times New Roman"/>
      <w:lang w:val="en-GB"/>
    </w:rPr>
  </w:style>
  <w:style w:type="character" w:customStyle="1" w:styleId="150">
    <w:name w:val="TAN Char"/>
    <w:link w:val="114"/>
    <w:qFormat/>
    <w:locked/>
    <w:uiPriority w:val="0"/>
    <w:rPr>
      <w:rFonts w:ascii="Arial" w:hAnsi="Arial"/>
      <w:sz w:val="18"/>
      <w:lang w:val="en-GB" w:eastAsia="en-US"/>
    </w:rPr>
  </w:style>
  <w:style w:type="character" w:customStyle="1" w:styleId="151">
    <w:name w:val="标题 3 Char"/>
    <w:link w:val="5"/>
    <w:uiPriority w:val="0"/>
    <w:rPr>
      <w:rFonts w:ascii="Arial" w:hAnsi="Arial"/>
      <w:sz w:val="28"/>
      <w:lang w:val="en-GB" w:eastAsia="en-US"/>
    </w:rPr>
  </w:style>
  <w:style w:type="character" w:customStyle="1" w:styleId="152">
    <w:name w:val="apple-converted-space"/>
    <w:uiPriority w:val="0"/>
  </w:style>
  <w:style w:type="paragraph" w:customStyle="1" w:styleId="153">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54">
    <w:name w:val="正文文本 Char"/>
    <w:basedOn w:val="90"/>
    <w:link w:val="44"/>
    <w:uiPriority w:val="0"/>
    <w:rPr>
      <w:rFonts w:ascii="Times New Roman" w:hAnsi="Times New Roman" w:eastAsia="Times New Roman"/>
      <w:lang w:val="en-GB" w:eastAsia="en-GB"/>
    </w:rPr>
  </w:style>
  <w:style w:type="character" w:customStyle="1" w:styleId="155">
    <w:name w:val="正文文本 2 Char"/>
    <w:basedOn w:val="90"/>
    <w:link w:val="78"/>
    <w:uiPriority w:val="0"/>
    <w:rPr>
      <w:rFonts w:ascii="Times New Roman" w:hAnsi="Times New Roman" w:eastAsia="Times New Roman"/>
      <w:lang w:val="en-GB" w:eastAsia="en-GB"/>
    </w:rPr>
  </w:style>
  <w:style w:type="character" w:customStyle="1" w:styleId="156">
    <w:name w:val="正文文本 3 Char"/>
    <w:basedOn w:val="90"/>
    <w:link w:val="42"/>
    <w:uiPriority w:val="0"/>
    <w:rPr>
      <w:rFonts w:ascii="Times New Roman" w:hAnsi="Times New Roman" w:eastAsia="Times New Roman"/>
      <w:sz w:val="16"/>
      <w:szCs w:val="16"/>
      <w:lang w:val="en-GB" w:eastAsia="en-GB"/>
    </w:rPr>
  </w:style>
  <w:style w:type="character" w:customStyle="1" w:styleId="157">
    <w:name w:val="正文首行缩进 Char"/>
    <w:basedOn w:val="154"/>
    <w:link w:val="87"/>
    <w:uiPriority w:val="0"/>
    <w:rPr>
      <w:rFonts w:ascii="Times New Roman" w:hAnsi="Times New Roman" w:eastAsia="Times New Roman"/>
      <w:lang w:val="en-GB" w:eastAsia="en-GB"/>
    </w:rPr>
  </w:style>
  <w:style w:type="character" w:customStyle="1" w:styleId="158">
    <w:name w:val="正文文本缩进 Char"/>
    <w:basedOn w:val="90"/>
    <w:link w:val="45"/>
    <w:uiPriority w:val="0"/>
    <w:rPr>
      <w:rFonts w:ascii="Times New Roman" w:hAnsi="Times New Roman" w:eastAsia="Times New Roman"/>
      <w:lang w:val="en-GB" w:eastAsia="en-GB"/>
    </w:rPr>
  </w:style>
  <w:style w:type="character" w:customStyle="1" w:styleId="159">
    <w:name w:val="正文首行缩进 2 Char"/>
    <w:basedOn w:val="158"/>
    <w:link w:val="88"/>
    <w:uiPriority w:val="0"/>
    <w:rPr>
      <w:rFonts w:ascii="Times New Roman" w:hAnsi="Times New Roman" w:eastAsia="Times New Roman"/>
      <w:lang w:val="en-GB" w:eastAsia="en-GB"/>
    </w:rPr>
  </w:style>
  <w:style w:type="character" w:customStyle="1" w:styleId="160">
    <w:name w:val="正文文本缩进 2 Char"/>
    <w:basedOn w:val="90"/>
    <w:link w:val="57"/>
    <w:uiPriority w:val="0"/>
    <w:rPr>
      <w:rFonts w:ascii="Times New Roman" w:hAnsi="Times New Roman" w:eastAsia="Times New Roman"/>
      <w:lang w:val="en-GB" w:eastAsia="en-GB"/>
    </w:rPr>
  </w:style>
  <w:style w:type="character" w:customStyle="1" w:styleId="161">
    <w:name w:val="正文文本缩进 3 Char"/>
    <w:basedOn w:val="90"/>
    <w:link w:val="73"/>
    <w:uiPriority w:val="0"/>
    <w:rPr>
      <w:rFonts w:ascii="Times New Roman" w:hAnsi="Times New Roman" w:eastAsia="Times New Roman"/>
      <w:sz w:val="16"/>
      <w:szCs w:val="16"/>
      <w:lang w:val="en-GB" w:eastAsia="en-GB"/>
    </w:rPr>
  </w:style>
  <w:style w:type="character" w:customStyle="1" w:styleId="162">
    <w:name w:val="结束语 Char"/>
    <w:basedOn w:val="90"/>
    <w:link w:val="43"/>
    <w:uiPriority w:val="0"/>
    <w:rPr>
      <w:rFonts w:ascii="Times New Roman" w:hAnsi="Times New Roman" w:eastAsia="Times New Roman"/>
      <w:lang w:val="en-GB" w:eastAsia="en-GB"/>
    </w:rPr>
  </w:style>
  <w:style w:type="character" w:customStyle="1" w:styleId="163">
    <w:name w:val="批注文字 Char"/>
    <w:link w:val="39"/>
    <w:uiPriority w:val="0"/>
    <w:rPr>
      <w:rFonts w:ascii="Times New Roman" w:hAnsi="Times New Roman"/>
      <w:lang w:val="en-GB" w:eastAsia="en-US"/>
    </w:rPr>
  </w:style>
  <w:style w:type="character" w:customStyle="1" w:styleId="164">
    <w:name w:val="批注主题 Char"/>
    <w:link w:val="86"/>
    <w:uiPriority w:val="0"/>
    <w:rPr>
      <w:rFonts w:ascii="Times New Roman" w:hAnsi="Times New Roman"/>
      <w:b/>
      <w:bCs/>
      <w:lang w:val="en-GB" w:eastAsia="en-US"/>
    </w:rPr>
  </w:style>
  <w:style w:type="character" w:customStyle="1" w:styleId="165">
    <w:name w:val="日期 Char"/>
    <w:basedOn w:val="90"/>
    <w:link w:val="56"/>
    <w:uiPriority w:val="0"/>
    <w:rPr>
      <w:rFonts w:ascii="Times New Roman" w:hAnsi="Times New Roman" w:eastAsia="Times New Roman"/>
      <w:lang w:val="en-GB" w:eastAsia="en-GB"/>
    </w:rPr>
  </w:style>
  <w:style w:type="character" w:customStyle="1" w:styleId="166">
    <w:name w:val="文档结构图 Char"/>
    <w:link w:val="37"/>
    <w:uiPriority w:val="0"/>
    <w:rPr>
      <w:rFonts w:ascii="Tahoma" w:hAnsi="Tahoma" w:cs="Tahoma"/>
      <w:shd w:val="clear" w:color="auto" w:fill="000080"/>
      <w:lang w:val="en-GB" w:eastAsia="en-US"/>
    </w:rPr>
  </w:style>
  <w:style w:type="character" w:customStyle="1" w:styleId="167">
    <w:name w:val="电子邮件签名 Char"/>
    <w:basedOn w:val="90"/>
    <w:link w:val="32"/>
    <w:uiPriority w:val="0"/>
    <w:rPr>
      <w:rFonts w:ascii="Times New Roman" w:hAnsi="Times New Roman" w:eastAsia="Times New Roman"/>
      <w:lang w:val="en-GB" w:eastAsia="en-GB"/>
    </w:rPr>
  </w:style>
  <w:style w:type="character" w:customStyle="1" w:styleId="168">
    <w:name w:val="尾注文本 Char"/>
    <w:basedOn w:val="90"/>
    <w:link w:val="58"/>
    <w:uiPriority w:val="0"/>
    <w:rPr>
      <w:rFonts w:ascii="Times New Roman" w:hAnsi="Times New Roman" w:eastAsia="Times New Roman"/>
      <w:lang w:val="en-GB" w:eastAsia="en-GB"/>
    </w:rPr>
  </w:style>
  <w:style w:type="character" w:customStyle="1" w:styleId="169">
    <w:name w:val="脚注文本 Char"/>
    <w:link w:val="70"/>
    <w:uiPriority w:val="0"/>
    <w:rPr>
      <w:rFonts w:ascii="Times New Roman" w:hAnsi="Times New Roman"/>
      <w:sz w:val="16"/>
      <w:lang w:val="en-GB" w:eastAsia="en-US"/>
    </w:rPr>
  </w:style>
  <w:style w:type="character" w:customStyle="1" w:styleId="170">
    <w:name w:val="HTML 地址 Char"/>
    <w:basedOn w:val="90"/>
    <w:link w:val="49"/>
    <w:uiPriority w:val="0"/>
    <w:rPr>
      <w:rFonts w:ascii="Times New Roman" w:hAnsi="Times New Roman" w:eastAsia="Times New Roman"/>
      <w:i/>
      <w:iCs/>
      <w:lang w:val="en-GB" w:eastAsia="en-GB"/>
    </w:rPr>
  </w:style>
  <w:style w:type="character" w:customStyle="1" w:styleId="171">
    <w:name w:val="HTML 预设格式 Char"/>
    <w:basedOn w:val="90"/>
    <w:link w:val="81"/>
    <w:uiPriority w:val="0"/>
    <w:rPr>
      <w:rFonts w:ascii="Courier New" w:hAnsi="Courier New" w:eastAsia="Times New Roman" w:cs="Courier New"/>
      <w:lang w:val="en-GB" w:eastAsia="en-GB"/>
    </w:rPr>
  </w:style>
  <w:style w:type="paragraph" w:styleId="172">
    <w:name w:val="Intense Quote"/>
    <w:basedOn w:val="1"/>
    <w:next w:val="1"/>
    <w:link w:val="173"/>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173">
    <w:name w:val="明显引用 Char"/>
    <w:basedOn w:val="90"/>
    <w:link w:val="172"/>
    <w:uiPriority w:val="30"/>
    <w:rPr>
      <w:rFonts w:ascii="Times New Roman" w:hAnsi="Times New Roman" w:eastAsia="Times New Roman"/>
      <w:i/>
      <w:iCs/>
      <w:color w:val="4472C4"/>
      <w:lang w:val="en-GB" w:eastAsia="en-GB"/>
    </w:rPr>
  </w:style>
  <w:style w:type="paragraph" w:styleId="174">
    <w:name w:val="List Paragraph"/>
    <w:basedOn w:val="1"/>
    <w:qFormat/>
    <w:uiPriority w:val="34"/>
    <w:pPr>
      <w:overflowPunct w:val="0"/>
      <w:autoSpaceDE w:val="0"/>
      <w:autoSpaceDN w:val="0"/>
      <w:adjustRightInd w:val="0"/>
      <w:ind w:left="720"/>
      <w:textAlignment w:val="baseline"/>
    </w:pPr>
    <w:rPr>
      <w:rFonts w:eastAsia="Times New Roman"/>
      <w:lang w:eastAsia="en-GB"/>
    </w:rPr>
  </w:style>
  <w:style w:type="character" w:customStyle="1" w:styleId="175">
    <w:name w:val="宏文本 Char"/>
    <w:basedOn w:val="90"/>
    <w:link w:val="2"/>
    <w:uiPriority w:val="0"/>
    <w:rPr>
      <w:rFonts w:ascii="Courier New" w:hAnsi="Courier New" w:eastAsia="Times New Roman" w:cs="Courier New"/>
      <w:lang w:val="en-GB" w:eastAsia="en-GB"/>
    </w:rPr>
  </w:style>
  <w:style w:type="character" w:customStyle="1" w:styleId="176">
    <w:name w:val="信息标题 Char"/>
    <w:basedOn w:val="90"/>
    <w:link w:val="80"/>
    <w:uiPriority w:val="0"/>
    <w:rPr>
      <w:rFonts w:ascii="Calibri Light" w:hAnsi="Calibri Light" w:eastAsia="Times New Roman"/>
      <w:sz w:val="24"/>
      <w:szCs w:val="24"/>
      <w:shd w:val="pct20" w:color="auto" w:fill="auto"/>
      <w:lang w:val="en-GB" w:eastAsia="en-GB"/>
    </w:rPr>
  </w:style>
  <w:style w:type="paragraph" w:styleId="177">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78">
    <w:name w:val="注释标题 Char"/>
    <w:basedOn w:val="90"/>
    <w:link w:val="26"/>
    <w:uiPriority w:val="0"/>
    <w:rPr>
      <w:rFonts w:ascii="Times New Roman" w:hAnsi="Times New Roman" w:eastAsia="Times New Roman"/>
      <w:lang w:val="en-GB" w:eastAsia="en-GB"/>
    </w:rPr>
  </w:style>
  <w:style w:type="character" w:customStyle="1" w:styleId="179">
    <w:name w:val="纯文本 Char"/>
    <w:basedOn w:val="90"/>
    <w:link w:val="51"/>
    <w:uiPriority w:val="0"/>
    <w:rPr>
      <w:rFonts w:ascii="Courier New" w:hAnsi="Courier New" w:eastAsia="Times New Roman" w:cs="Courier New"/>
      <w:lang w:val="en-GB" w:eastAsia="en-GB"/>
    </w:rPr>
  </w:style>
  <w:style w:type="paragraph" w:styleId="180">
    <w:name w:val="Quote"/>
    <w:basedOn w:val="1"/>
    <w:next w:val="1"/>
    <w:link w:val="18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181">
    <w:name w:val="引用 Char"/>
    <w:basedOn w:val="90"/>
    <w:link w:val="180"/>
    <w:uiPriority w:val="29"/>
    <w:rPr>
      <w:rFonts w:ascii="Times New Roman" w:hAnsi="Times New Roman" w:eastAsia="Times New Roman"/>
      <w:i/>
      <w:iCs/>
      <w:color w:val="404040"/>
      <w:lang w:val="en-GB" w:eastAsia="en-GB"/>
    </w:rPr>
  </w:style>
  <w:style w:type="character" w:customStyle="1" w:styleId="182">
    <w:name w:val="称呼 Char"/>
    <w:basedOn w:val="90"/>
    <w:link w:val="41"/>
    <w:uiPriority w:val="0"/>
    <w:rPr>
      <w:rFonts w:ascii="Times New Roman" w:hAnsi="Times New Roman" w:eastAsia="Times New Roman"/>
      <w:lang w:val="en-GB" w:eastAsia="en-GB"/>
    </w:rPr>
  </w:style>
  <w:style w:type="character" w:customStyle="1" w:styleId="183">
    <w:name w:val="签名 Char"/>
    <w:basedOn w:val="90"/>
    <w:link w:val="64"/>
    <w:uiPriority w:val="0"/>
    <w:rPr>
      <w:rFonts w:ascii="Times New Roman" w:hAnsi="Times New Roman" w:eastAsia="Times New Roman"/>
      <w:lang w:val="en-GB" w:eastAsia="en-GB"/>
    </w:rPr>
  </w:style>
  <w:style w:type="character" w:customStyle="1" w:styleId="184">
    <w:name w:val="副标题 Char"/>
    <w:basedOn w:val="90"/>
    <w:link w:val="68"/>
    <w:uiPriority w:val="0"/>
    <w:rPr>
      <w:rFonts w:ascii="Calibri Light" w:hAnsi="Calibri Light" w:eastAsia="Times New Roman"/>
      <w:sz w:val="24"/>
      <w:szCs w:val="24"/>
      <w:lang w:val="en-GB" w:eastAsia="en-GB"/>
    </w:rPr>
  </w:style>
  <w:style w:type="character" w:customStyle="1" w:styleId="185">
    <w:name w:val="标题 Char"/>
    <w:basedOn w:val="90"/>
    <w:link w:val="85"/>
    <w:uiPriority w:val="0"/>
    <w:rPr>
      <w:rFonts w:ascii="Calibri Light" w:hAnsi="Calibri Light" w:eastAsia="Times New Roman"/>
      <w:b/>
      <w:bCs/>
      <w:kern w:val="28"/>
      <w:sz w:val="32"/>
      <w:szCs w:val="32"/>
      <w:lang w:val="en-GB" w:eastAsia="en-GB"/>
    </w:rPr>
  </w:style>
  <w:style w:type="paragraph" w:customStyle="1" w:styleId="186">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Times New Roman"/>
      <w:b/>
      <w:bCs/>
      <w:kern w:val="32"/>
      <w:sz w:val="32"/>
      <w:szCs w:val="32"/>
      <w:lang w:eastAsia="en-GB"/>
    </w:rPr>
  </w:style>
  <w:style w:type="character" w:customStyle="1" w:styleId="187">
    <w:name w:val="B3 Car"/>
    <w:link w:val="125"/>
    <w:uiPriority w:val="0"/>
    <w:rPr>
      <w:rFonts w:ascii="Times New Roman" w:hAnsi="Times New Roman"/>
      <w:lang w:val="en-GB" w:eastAsia="en-US"/>
    </w:rPr>
  </w:style>
  <w:style w:type="character" w:customStyle="1" w:styleId="188">
    <w:name w:val="EW Char"/>
    <w:link w:val="109"/>
    <w:qFormat/>
    <w:locked/>
    <w:uiPriority w:val="0"/>
    <w:rPr>
      <w:rFonts w:ascii="Times New Roman" w:hAnsi="Times New Roman"/>
      <w:lang w:val="en-GB" w:eastAsia="en-US"/>
    </w:rPr>
  </w:style>
  <w:style w:type="character" w:customStyle="1" w:styleId="189">
    <w:name w:val="TF Char Char"/>
    <w:uiPriority w:val="0"/>
    <w:rPr>
      <w:rFonts w:ascii="Arial" w:hAnsi="Arial"/>
      <w:b/>
      <w:lang w:val="en-GB" w:eastAsia="en-US"/>
    </w:rPr>
  </w:style>
  <w:style w:type="character" w:customStyle="1" w:styleId="190">
    <w:name w:val="B3 Char"/>
    <w:uiPriority w:val="0"/>
    <w:rPr>
      <w:rFonts w:ascii="Times New Roman" w:hAnsi="Times New Roman"/>
      <w:lang w:val="en-GB" w:eastAsia="en-US"/>
    </w:rPr>
  </w:style>
  <w:style w:type="character" w:customStyle="1" w:styleId="191">
    <w:name w:val="B1 Char1"/>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FB777-58B8-47F9-BD45-46073A7B538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4326</Words>
  <Characters>24662</Characters>
  <Lines>205</Lines>
  <Paragraphs>57</Paragraphs>
  <TotalTime>29</TotalTime>
  <ScaleCrop>false</ScaleCrop>
  <LinksUpToDate>false</LinksUpToDate>
  <CharactersWithSpaces>28931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2024-08-12T09:30:44Z</dcterms:modified>
  <dc:title>MTG_TITLE</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493243EAD9274AFC8E9051F4248AAE8D</vt:lpwstr>
  </property>
</Properties>
</file>