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05A26" w14:textId="2F2CA996" w:rsidR="00324D20" w:rsidRDefault="00324D20" w:rsidP="00324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683E52">
          <w:rPr>
            <w:b/>
            <w:noProof/>
            <w:sz w:val="24"/>
          </w:rPr>
          <w:t>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B4215" w:rsidRPr="002B4215">
        <w:rPr>
          <w:b/>
          <w:sz w:val="24"/>
          <w:szCs w:val="24"/>
        </w:rPr>
        <w:t>C3-235072</w:t>
      </w:r>
    </w:p>
    <w:p w14:paraId="699F1781" w14:textId="694D0694" w:rsidR="00324D20" w:rsidRDefault="00683E52" w:rsidP="00324D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24D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24D20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324D20">
          <w:rPr>
            <w:b/>
            <w:noProof/>
            <w:sz w:val="24"/>
            <w:vertAlign w:val="superscript"/>
          </w:rPr>
          <w:t>th</w:t>
        </w:r>
      </w:fldSimple>
      <w:r w:rsidR="00324D20">
        <w:rPr>
          <w:b/>
          <w:noProof/>
          <w:sz w:val="24"/>
        </w:rPr>
        <w:t xml:space="preserve"> – </w:t>
      </w:r>
      <w:fldSimple w:instr=" DOCPROPERTY  EndDate  \* MERGEFORMAT ">
        <w:r w:rsidR="00324D20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324D20">
          <w:rPr>
            <w:b/>
            <w:noProof/>
            <w:sz w:val="24"/>
            <w:vertAlign w:val="superscript"/>
          </w:rPr>
          <w:t>th</w:t>
        </w:r>
        <w:r w:rsidR="00324D20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</w:t>
        </w:r>
        <w:r w:rsidR="00324D20">
          <w:rPr>
            <w:b/>
            <w:noProof/>
            <w:sz w:val="24"/>
          </w:rPr>
          <w:t>ber 2023</w:t>
        </w:r>
      </w:fldSimple>
      <w:r w:rsidR="00324D20" w:rsidRPr="00324D20">
        <w:rPr>
          <w:b/>
          <w:noProof/>
          <w:sz w:val="16"/>
        </w:rPr>
        <w:tab/>
      </w:r>
      <w:r w:rsidR="00324D20" w:rsidRPr="00324D20">
        <w:rPr>
          <w:b/>
          <w:noProof/>
          <w:sz w:val="16"/>
        </w:rPr>
        <w:tab/>
      </w:r>
      <w:r w:rsidR="00324D20" w:rsidRPr="00324D20">
        <w:rPr>
          <w:b/>
          <w:noProof/>
          <w:sz w:val="16"/>
        </w:rPr>
        <w:tab/>
      </w:r>
      <w:r w:rsidRPr="00683E52">
        <w:rPr>
          <w:b/>
          <w:noProof/>
          <w:sz w:val="16"/>
        </w:rPr>
        <w:t>C3-234434</w:t>
      </w:r>
      <w:r>
        <w:rPr>
          <w:b/>
          <w:noProof/>
          <w:sz w:val="16"/>
        </w:rPr>
        <w:t xml:space="preserve"> was </w:t>
      </w:r>
      <w:r w:rsidR="002D063C" w:rsidRPr="002D063C">
        <w:rPr>
          <w:b/>
          <w:noProof/>
          <w:sz w:val="16"/>
        </w:rPr>
        <w:t>C3-23411</w:t>
      </w:r>
      <w:r w:rsidR="002D063C">
        <w:rPr>
          <w:b/>
          <w:noProof/>
          <w:sz w:val="16"/>
        </w:rPr>
        <w:t xml:space="preserve">6 </w:t>
      </w:r>
      <w:r w:rsidR="00324D20" w:rsidRPr="00324D20">
        <w:rPr>
          <w:b/>
          <w:noProof/>
          <w:sz w:val="16"/>
        </w:rPr>
        <w:t>was C3-233161</w:t>
      </w:r>
    </w:p>
    <w:p w14:paraId="59BF49EC" w14:textId="77777777" w:rsidR="00EC563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22BB5E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436" w:rsidRPr="004F2436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6129459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2B4215">
        <w:rPr>
          <w:rFonts w:ascii="Arial" w:hAnsi="Arial" w:cs="Arial"/>
          <w:b/>
          <w:sz w:val="22"/>
          <w:szCs w:val="22"/>
        </w:rPr>
        <w:t>5032</w:t>
      </w:r>
      <w:bookmarkStart w:id="2" w:name="_GoBack"/>
      <w:bookmarkEnd w:id="2"/>
      <w:r w:rsidR="00B32234">
        <w:rPr>
          <w:rFonts w:ascii="Arial" w:hAnsi="Arial" w:cs="Arial"/>
          <w:b/>
          <w:sz w:val="22"/>
          <w:szCs w:val="22"/>
        </w:rPr>
        <w:t>/</w:t>
      </w:r>
      <w:r w:rsidR="00475149" w:rsidRPr="00475149">
        <w:t xml:space="preserve"> </w:t>
      </w:r>
      <w:r w:rsidR="00475149" w:rsidRPr="00475149">
        <w:rPr>
          <w:rFonts w:ascii="Arial" w:hAnsi="Arial" w:cs="Arial"/>
          <w:b/>
          <w:sz w:val="22"/>
          <w:szCs w:val="22"/>
        </w:rPr>
        <w:t>S6-231939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3CEE60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5731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6"/>
      <w:bookmarkEnd w:id="7"/>
      <w:bookmarkEnd w:id="8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9"/>
    <w:bookmarkEnd w:id="10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6E0F0FF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1C08CC">
        <w:rPr>
          <w:rFonts w:ascii="Arial" w:hAnsi="Arial" w:cs="Arial"/>
          <w:bCs/>
        </w:rPr>
        <w:t xml:space="preserve">their reply LS on the </w:t>
      </w:r>
      <w:r w:rsidR="001C08CC" w:rsidRPr="001C08CC">
        <w:rPr>
          <w:rFonts w:ascii="Arial" w:hAnsi="Arial" w:cs="Arial"/>
          <w:bCs/>
        </w:rPr>
        <w:t xml:space="preserve">clarifications on V2X, UAS and SEAL entities acting as EAS </w:t>
      </w:r>
      <w:r w:rsidR="001C08CC">
        <w:rPr>
          <w:rFonts w:ascii="Arial" w:hAnsi="Arial" w:cs="Arial"/>
          <w:bCs/>
        </w:rPr>
        <w:t>requested by CT3</w:t>
      </w:r>
      <w:r w:rsidR="00033989">
        <w:rPr>
          <w:rFonts w:ascii="Arial" w:hAnsi="Arial" w:cs="Arial"/>
          <w:bCs/>
        </w:rPr>
        <w:t>.</w:t>
      </w:r>
    </w:p>
    <w:p w14:paraId="6C1B68B9" w14:textId="36FBC224" w:rsidR="00B75B90" w:rsidRDefault="0041713A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has </w:t>
      </w:r>
      <w:r w:rsidR="00806693">
        <w:rPr>
          <w:rFonts w:ascii="Arial" w:hAnsi="Arial" w:cs="Arial"/>
          <w:bCs/>
        </w:rPr>
        <w:t>discussed this reply LS and would like to ask the following additional questions:</w:t>
      </w:r>
    </w:p>
    <w:p w14:paraId="42BDF61A" w14:textId="6BDE6AFE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1:</w:t>
      </w:r>
      <w:r w:rsidRPr="003B13CC">
        <w:rPr>
          <w:rFonts w:ascii="Arial" w:hAnsi="Arial" w:cs="Arial"/>
        </w:rPr>
        <w:tab/>
      </w:r>
      <w:r w:rsidR="0014383F">
        <w:rPr>
          <w:rFonts w:ascii="Arial" w:hAnsi="Arial" w:cs="Arial"/>
        </w:rPr>
        <w:t>As specified in clause </w:t>
      </w:r>
      <w:r w:rsidR="0003125C">
        <w:rPr>
          <w:rFonts w:ascii="Arial" w:hAnsi="Arial" w:cs="Arial"/>
        </w:rPr>
        <w:t>7.2.4 of TS 23.558 and also rightfully reminded in SA6's response, the EAS ID identifies a particular application</w:t>
      </w:r>
      <w:r w:rsidR="004844EE">
        <w:rPr>
          <w:rFonts w:ascii="Arial" w:hAnsi="Arial" w:cs="Arial"/>
        </w:rPr>
        <w:t xml:space="preserve">. In order to support the requirements in e.g., </w:t>
      </w:r>
      <w:r w:rsidR="00E36DBD">
        <w:rPr>
          <w:rFonts w:ascii="Arial" w:hAnsi="Arial" w:cs="Arial"/>
        </w:rPr>
        <w:t>clause 9.4 of TS 23.433 ("</w:t>
      </w:r>
      <w:r w:rsidR="00E36DBD" w:rsidRPr="00E36DBD">
        <w:rPr>
          <w:rFonts w:ascii="Arial" w:hAnsi="Arial" w:cs="Arial"/>
          <w:i/>
        </w:rPr>
        <w:t>NOTE:</w:t>
      </w:r>
      <w:r w:rsidR="00E36DBD" w:rsidRPr="00E36DBD">
        <w:rPr>
          <w:rFonts w:ascii="Arial" w:hAnsi="Arial" w:cs="Arial"/>
          <w:i/>
        </w:rPr>
        <w:tab/>
        <w:t xml:space="preserve">For the same VAL application, VAL servers for Scenario (a) and Scenario (b) and VAL servers without SEALDD service may coexist in the same EDN. </w:t>
      </w:r>
      <w:r w:rsidR="00E36DBD" w:rsidRPr="00E36DBD">
        <w:rPr>
          <w:rFonts w:ascii="Arial" w:hAnsi="Arial" w:cs="Arial"/>
          <w:i/>
          <w:highlight w:val="yellow"/>
        </w:rPr>
        <w:t>The three types of servers may use different EAS IDs</w:t>
      </w:r>
      <w:r w:rsidR="00E36DBD" w:rsidRPr="00E36DBD">
        <w:rPr>
          <w:rFonts w:ascii="Arial" w:hAnsi="Arial" w:cs="Arial"/>
          <w:i/>
        </w:rPr>
        <w:t xml:space="preserve"> or other information (e.g. EAS service, additional associated SEALDD server information) to differentiate each other for EAS discovery</w:t>
      </w:r>
      <w:r w:rsidR="00E36DBD">
        <w:rPr>
          <w:rFonts w:ascii="Arial" w:hAnsi="Arial" w:cs="Arial"/>
        </w:rPr>
        <w:t>"), can SA6 confirm that the target entity (e.g., SEALDD Server, VAL Server, UAE Server) can be identified via the EAS ID, not the EAS type/category?</w:t>
      </w:r>
    </w:p>
    <w:p w14:paraId="0C972920" w14:textId="061F6047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E36DBD">
        <w:rPr>
          <w:rFonts w:ascii="Arial" w:hAnsi="Arial" w:cs="Arial"/>
        </w:rPr>
        <w:t>Otherwise, how is it expected to cover the above requirement and similar ones (e.g., Annex D of TS 23.286)</w:t>
      </w:r>
      <w:r w:rsidR="00FA0A16">
        <w:rPr>
          <w:rFonts w:ascii="Arial" w:hAnsi="Arial" w:cs="Arial"/>
        </w:rPr>
        <w:t>?</w:t>
      </w:r>
    </w:p>
    <w:p w14:paraId="101B7328" w14:textId="448FC06A" w:rsidR="00FA0A16" w:rsidRPr="00006875" w:rsidRDefault="00FA0A16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3</w:t>
      </w:r>
      <w:r w:rsidRPr="003B13CC">
        <w:rPr>
          <w:rFonts w:ascii="Arial" w:hAnsi="Arial" w:cs="Arial"/>
          <w:b/>
        </w:rPr>
        <w:t>:</w:t>
      </w:r>
      <w:r w:rsidR="00006875">
        <w:rPr>
          <w:rFonts w:ascii="Arial" w:hAnsi="Arial" w:cs="Arial"/>
          <w:b/>
        </w:rPr>
        <w:tab/>
      </w:r>
      <w:r w:rsidR="007259C3" w:rsidRPr="00006875">
        <w:rPr>
          <w:rFonts w:ascii="Arial" w:hAnsi="Arial" w:cs="Arial"/>
        </w:rPr>
        <w:t xml:space="preserve">As </w:t>
      </w:r>
      <w:r w:rsidR="0026351B" w:rsidRPr="00006875">
        <w:rPr>
          <w:rFonts w:ascii="Arial" w:hAnsi="Arial" w:cs="Arial"/>
        </w:rPr>
        <w:t xml:space="preserve">also </w:t>
      </w:r>
      <w:r w:rsidRPr="00006875">
        <w:rPr>
          <w:rFonts w:ascii="Arial" w:hAnsi="Arial" w:cs="Arial"/>
        </w:rPr>
        <w:t xml:space="preserve">SA6 indicates </w:t>
      </w:r>
      <w:r w:rsidR="00C577FE" w:rsidRPr="00006875">
        <w:rPr>
          <w:rFonts w:ascii="Arial" w:hAnsi="Arial" w:cs="Arial"/>
        </w:rPr>
        <w:t xml:space="preserve">it </w:t>
      </w:r>
      <w:r w:rsidRPr="00006875">
        <w:rPr>
          <w:rFonts w:ascii="Arial" w:hAnsi="Arial" w:cs="Arial"/>
        </w:rPr>
        <w:t>in their reply</w:t>
      </w:r>
      <w:r w:rsidR="007259C3" w:rsidRPr="00006875">
        <w:rPr>
          <w:rFonts w:ascii="Arial" w:hAnsi="Arial" w:cs="Arial"/>
        </w:rPr>
        <w:t xml:space="preserve">, the </w:t>
      </w:r>
      <w:r w:rsidRPr="00006875">
        <w:rPr>
          <w:rFonts w:ascii="Arial" w:hAnsi="Arial" w:cs="Arial"/>
        </w:rPr>
        <w:t>"UAE server can be seen as EAS type of UAS"</w:t>
      </w:r>
      <w:r w:rsidR="007259C3" w:rsidRPr="00006875">
        <w:rPr>
          <w:rFonts w:ascii="Arial" w:hAnsi="Arial" w:cs="Arial"/>
        </w:rPr>
        <w:t xml:space="preserve">. </w:t>
      </w:r>
      <w:r w:rsidR="00E36DBD">
        <w:rPr>
          <w:rFonts w:ascii="Arial" w:hAnsi="Arial" w:cs="Arial"/>
        </w:rPr>
        <w:t>It is CT3's understanding that the EAS type/category should be only e.g., "UAS", "V2X", "SEAL", and hence cannot be the exact application layer entity name. Can you please further clarify/correct this statement?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12B7C358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091B87" w14:textId="5072FCC1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B282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4B282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B2826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4B2826">
        <w:rPr>
          <w:rFonts w:ascii="Arial" w:hAnsi="Arial" w:cs="Arial"/>
          <w:bCs/>
        </w:rPr>
        <w:t>1</w:t>
      </w:r>
      <w:r w:rsidR="004B282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2826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4B2826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4B2826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4B2826">
        <w:rPr>
          <w:rFonts w:ascii="Arial" w:hAnsi="Arial" w:cs="Arial"/>
          <w:bCs/>
        </w:rPr>
        <w:t>Greece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18092" w14:textId="77777777" w:rsidR="002378DB" w:rsidRDefault="002378DB">
      <w:pPr>
        <w:spacing w:after="0"/>
      </w:pPr>
      <w:r>
        <w:separator/>
      </w:r>
    </w:p>
  </w:endnote>
  <w:endnote w:type="continuationSeparator" w:id="0">
    <w:p w14:paraId="066533EA" w14:textId="77777777" w:rsidR="002378DB" w:rsidRDefault="002378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3C90C" w14:textId="77777777" w:rsidR="002378DB" w:rsidRDefault="002378DB">
      <w:pPr>
        <w:spacing w:after="0"/>
      </w:pPr>
      <w:r>
        <w:separator/>
      </w:r>
    </w:p>
  </w:footnote>
  <w:footnote w:type="continuationSeparator" w:id="0">
    <w:p w14:paraId="0B21050E" w14:textId="77777777" w:rsidR="002378DB" w:rsidRDefault="002378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4383F"/>
    <w:rsid w:val="00150DF1"/>
    <w:rsid w:val="00164A9C"/>
    <w:rsid w:val="00174844"/>
    <w:rsid w:val="001B69AA"/>
    <w:rsid w:val="001C08CC"/>
    <w:rsid w:val="001E1C2C"/>
    <w:rsid w:val="001F43E6"/>
    <w:rsid w:val="002201E4"/>
    <w:rsid w:val="00223269"/>
    <w:rsid w:val="00230038"/>
    <w:rsid w:val="002314F9"/>
    <w:rsid w:val="002378DB"/>
    <w:rsid w:val="002454AB"/>
    <w:rsid w:val="0026351B"/>
    <w:rsid w:val="00270389"/>
    <w:rsid w:val="00270EF3"/>
    <w:rsid w:val="00290476"/>
    <w:rsid w:val="002A6824"/>
    <w:rsid w:val="002B4215"/>
    <w:rsid w:val="002C7963"/>
    <w:rsid w:val="002D063C"/>
    <w:rsid w:val="002D7292"/>
    <w:rsid w:val="002F1940"/>
    <w:rsid w:val="002F1957"/>
    <w:rsid w:val="002F538B"/>
    <w:rsid w:val="00313B07"/>
    <w:rsid w:val="00324D20"/>
    <w:rsid w:val="0032701A"/>
    <w:rsid w:val="00330620"/>
    <w:rsid w:val="00332C42"/>
    <w:rsid w:val="0033643E"/>
    <w:rsid w:val="00340F21"/>
    <w:rsid w:val="00380B45"/>
    <w:rsid w:val="00383545"/>
    <w:rsid w:val="00392958"/>
    <w:rsid w:val="003A11B5"/>
    <w:rsid w:val="003A7AB3"/>
    <w:rsid w:val="003B6552"/>
    <w:rsid w:val="003D340E"/>
    <w:rsid w:val="003D3743"/>
    <w:rsid w:val="003D6596"/>
    <w:rsid w:val="003F78FD"/>
    <w:rsid w:val="0041674B"/>
    <w:rsid w:val="0041713A"/>
    <w:rsid w:val="004215F6"/>
    <w:rsid w:val="00433500"/>
    <w:rsid w:val="00433F71"/>
    <w:rsid w:val="00440D43"/>
    <w:rsid w:val="00450BD7"/>
    <w:rsid w:val="0045595F"/>
    <w:rsid w:val="004736B1"/>
    <w:rsid w:val="004745BB"/>
    <w:rsid w:val="00475149"/>
    <w:rsid w:val="004844EE"/>
    <w:rsid w:val="00496A9D"/>
    <w:rsid w:val="004A41FF"/>
    <w:rsid w:val="004B2826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908E2"/>
    <w:rsid w:val="005A0985"/>
    <w:rsid w:val="005D02D8"/>
    <w:rsid w:val="005D088B"/>
    <w:rsid w:val="005E2795"/>
    <w:rsid w:val="005F5E49"/>
    <w:rsid w:val="00611CE8"/>
    <w:rsid w:val="00617EF9"/>
    <w:rsid w:val="00625BD3"/>
    <w:rsid w:val="00636AE1"/>
    <w:rsid w:val="00642BE6"/>
    <w:rsid w:val="00653542"/>
    <w:rsid w:val="00655DA6"/>
    <w:rsid w:val="00683E52"/>
    <w:rsid w:val="006A3A35"/>
    <w:rsid w:val="006A3CFE"/>
    <w:rsid w:val="006B461F"/>
    <w:rsid w:val="006E0D4F"/>
    <w:rsid w:val="006E504F"/>
    <w:rsid w:val="006F2D99"/>
    <w:rsid w:val="006F7535"/>
    <w:rsid w:val="00703029"/>
    <w:rsid w:val="00707D30"/>
    <w:rsid w:val="00712B27"/>
    <w:rsid w:val="00714B34"/>
    <w:rsid w:val="0072460C"/>
    <w:rsid w:val="007259C3"/>
    <w:rsid w:val="00726022"/>
    <w:rsid w:val="0073511D"/>
    <w:rsid w:val="00736036"/>
    <w:rsid w:val="00747DB8"/>
    <w:rsid w:val="00780513"/>
    <w:rsid w:val="007B16D2"/>
    <w:rsid w:val="007B42ED"/>
    <w:rsid w:val="007C104B"/>
    <w:rsid w:val="007C32F8"/>
    <w:rsid w:val="007F4F92"/>
    <w:rsid w:val="007F6F25"/>
    <w:rsid w:val="00806693"/>
    <w:rsid w:val="00814C51"/>
    <w:rsid w:val="00832B2B"/>
    <w:rsid w:val="00847380"/>
    <w:rsid w:val="0085484F"/>
    <w:rsid w:val="008607A8"/>
    <w:rsid w:val="008667C1"/>
    <w:rsid w:val="00872368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71544"/>
    <w:rsid w:val="00A8287A"/>
    <w:rsid w:val="00A95C74"/>
    <w:rsid w:val="00AC390D"/>
    <w:rsid w:val="00AE1828"/>
    <w:rsid w:val="00AE6C34"/>
    <w:rsid w:val="00B04CF6"/>
    <w:rsid w:val="00B1221D"/>
    <w:rsid w:val="00B158BA"/>
    <w:rsid w:val="00B301DE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577FE"/>
    <w:rsid w:val="00C60053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42943"/>
    <w:rsid w:val="00D62A0E"/>
    <w:rsid w:val="00D66E23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36DBD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23EB"/>
    <w:rsid w:val="00FD298D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24D2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2023-10</cp:lastModifiedBy>
  <cp:revision>10</cp:revision>
  <cp:lastPrinted>2002-04-23T07:10:00Z</cp:lastPrinted>
  <dcterms:created xsi:type="dcterms:W3CDTF">2023-10-23T16:07:00Z</dcterms:created>
  <dcterms:modified xsi:type="dcterms:W3CDTF">2023-11-05T21:06:00Z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