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6A433" w14:textId="77777777" w:rsidR="006F0D32" w:rsidRDefault="006F0D32" w:rsidP="006F0D3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C3-220041</w:t>
        </w:r>
      </w:fldSimple>
    </w:p>
    <w:p w14:paraId="3896003C" w14:textId="77777777" w:rsidR="006F0D32" w:rsidRDefault="006F0D32" w:rsidP="006F0D3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Jan 2022</w:t>
        </w:r>
      </w:fldSimple>
      <w:r>
        <w:rPr>
          <w:b/>
          <w:noProof/>
          <w:sz w:val="24"/>
        </w:rPr>
        <w:t xml:space="preserve"> - </w:t>
      </w:r>
      <w:fldSimple w:instr=" DOCPROPERTY  EndDate  \* MERGEFORMAT ">
        <w:r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D32" w14:paraId="5ACA4523" w14:textId="77777777" w:rsidTr="008E2840">
        <w:tc>
          <w:tcPr>
            <w:tcW w:w="9641" w:type="dxa"/>
            <w:gridSpan w:val="9"/>
            <w:tcBorders>
              <w:top w:val="single" w:sz="4" w:space="0" w:color="auto"/>
              <w:left w:val="single" w:sz="4" w:space="0" w:color="auto"/>
              <w:right w:val="single" w:sz="4" w:space="0" w:color="auto"/>
            </w:tcBorders>
          </w:tcPr>
          <w:p w14:paraId="6D93D11D" w14:textId="77777777" w:rsidR="006F0D32" w:rsidRDefault="006F0D32" w:rsidP="008E2840">
            <w:pPr>
              <w:pStyle w:val="CRCoverPage"/>
              <w:spacing w:after="0"/>
              <w:jc w:val="right"/>
              <w:rPr>
                <w:i/>
                <w:noProof/>
              </w:rPr>
            </w:pPr>
            <w:r>
              <w:rPr>
                <w:i/>
                <w:noProof/>
                <w:sz w:val="14"/>
              </w:rPr>
              <w:t>CR-Form-v12.2</w:t>
            </w:r>
          </w:p>
        </w:tc>
      </w:tr>
      <w:tr w:rsidR="006F0D32" w14:paraId="3AF46804" w14:textId="77777777" w:rsidTr="008E2840">
        <w:tc>
          <w:tcPr>
            <w:tcW w:w="9641" w:type="dxa"/>
            <w:gridSpan w:val="9"/>
            <w:tcBorders>
              <w:left w:val="single" w:sz="4" w:space="0" w:color="auto"/>
              <w:right w:val="single" w:sz="4" w:space="0" w:color="auto"/>
            </w:tcBorders>
          </w:tcPr>
          <w:p w14:paraId="1CCB3672" w14:textId="77777777" w:rsidR="006F0D32" w:rsidRDefault="006F0D32" w:rsidP="008E2840">
            <w:pPr>
              <w:pStyle w:val="CRCoverPage"/>
              <w:spacing w:after="0"/>
              <w:jc w:val="center"/>
              <w:rPr>
                <w:noProof/>
              </w:rPr>
            </w:pPr>
            <w:r>
              <w:rPr>
                <w:b/>
                <w:noProof/>
                <w:sz w:val="32"/>
              </w:rPr>
              <w:t>CHANGE REQUEST</w:t>
            </w:r>
          </w:p>
        </w:tc>
      </w:tr>
      <w:tr w:rsidR="006F0D32" w14:paraId="3DEBDE40" w14:textId="77777777" w:rsidTr="008E2840">
        <w:tc>
          <w:tcPr>
            <w:tcW w:w="9641" w:type="dxa"/>
            <w:gridSpan w:val="9"/>
            <w:tcBorders>
              <w:left w:val="single" w:sz="4" w:space="0" w:color="auto"/>
              <w:right w:val="single" w:sz="4" w:space="0" w:color="auto"/>
            </w:tcBorders>
          </w:tcPr>
          <w:p w14:paraId="4D47288F" w14:textId="77777777" w:rsidR="006F0D32" w:rsidRDefault="006F0D32" w:rsidP="008E2840">
            <w:pPr>
              <w:pStyle w:val="CRCoverPage"/>
              <w:spacing w:after="0"/>
              <w:rPr>
                <w:noProof/>
                <w:sz w:val="8"/>
                <w:szCs w:val="8"/>
              </w:rPr>
            </w:pPr>
          </w:p>
        </w:tc>
      </w:tr>
      <w:tr w:rsidR="006F0D32" w14:paraId="72D6FD47" w14:textId="77777777" w:rsidTr="008E2840">
        <w:tc>
          <w:tcPr>
            <w:tcW w:w="142" w:type="dxa"/>
            <w:tcBorders>
              <w:left w:val="single" w:sz="4" w:space="0" w:color="auto"/>
            </w:tcBorders>
          </w:tcPr>
          <w:p w14:paraId="1CBA1119" w14:textId="77777777" w:rsidR="006F0D32" w:rsidRDefault="006F0D32" w:rsidP="008E2840">
            <w:pPr>
              <w:pStyle w:val="CRCoverPage"/>
              <w:spacing w:after="0"/>
              <w:jc w:val="right"/>
              <w:rPr>
                <w:noProof/>
              </w:rPr>
            </w:pPr>
          </w:p>
        </w:tc>
        <w:tc>
          <w:tcPr>
            <w:tcW w:w="1559" w:type="dxa"/>
            <w:shd w:val="pct30" w:color="FFFF00" w:fill="auto"/>
          </w:tcPr>
          <w:p w14:paraId="292EA960" w14:textId="77777777" w:rsidR="006F0D32" w:rsidRPr="00410371" w:rsidRDefault="006F0D32" w:rsidP="008E2840">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E2491AD" w14:textId="77777777" w:rsidR="006F0D32" w:rsidRDefault="006F0D32" w:rsidP="008E2840">
            <w:pPr>
              <w:pStyle w:val="CRCoverPage"/>
              <w:spacing w:after="0"/>
              <w:jc w:val="center"/>
              <w:rPr>
                <w:noProof/>
              </w:rPr>
            </w:pPr>
            <w:r>
              <w:rPr>
                <w:b/>
                <w:noProof/>
                <w:sz w:val="28"/>
              </w:rPr>
              <w:t>CR</w:t>
            </w:r>
          </w:p>
        </w:tc>
        <w:tc>
          <w:tcPr>
            <w:tcW w:w="1276" w:type="dxa"/>
            <w:shd w:val="pct30" w:color="FFFF00" w:fill="auto"/>
          </w:tcPr>
          <w:p w14:paraId="5BF596D4" w14:textId="77777777" w:rsidR="006F0D32" w:rsidRPr="00410371" w:rsidRDefault="006F0D32" w:rsidP="008E2840">
            <w:pPr>
              <w:pStyle w:val="CRCoverPage"/>
              <w:spacing w:after="0"/>
              <w:rPr>
                <w:noProof/>
              </w:rPr>
            </w:pPr>
            <w:fldSimple w:instr=" DOCPROPERTY  Cr#  \* MERGEFORMAT ">
              <w:r w:rsidRPr="00410371">
                <w:rPr>
                  <w:b/>
                  <w:noProof/>
                  <w:sz w:val="28"/>
                </w:rPr>
                <w:t>0356</w:t>
              </w:r>
            </w:fldSimple>
          </w:p>
        </w:tc>
        <w:tc>
          <w:tcPr>
            <w:tcW w:w="709" w:type="dxa"/>
          </w:tcPr>
          <w:p w14:paraId="77A81BF4" w14:textId="77777777" w:rsidR="006F0D32" w:rsidRDefault="006F0D32" w:rsidP="008E2840">
            <w:pPr>
              <w:pStyle w:val="CRCoverPage"/>
              <w:tabs>
                <w:tab w:val="right" w:pos="625"/>
              </w:tabs>
              <w:spacing w:after="0"/>
              <w:jc w:val="center"/>
              <w:rPr>
                <w:noProof/>
              </w:rPr>
            </w:pPr>
            <w:r>
              <w:rPr>
                <w:b/>
                <w:bCs/>
                <w:noProof/>
                <w:sz w:val="28"/>
              </w:rPr>
              <w:t>rev</w:t>
            </w:r>
          </w:p>
        </w:tc>
        <w:tc>
          <w:tcPr>
            <w:tcW w:w="992" w:type="dxa"/>
            <w:shd w:val="pct30" w:color="FFFF00" w:fill="auto"/>
          </w:tcPr>
          <w:p w14:paraId="074550C9" w14:textId="77777777" w:rsidR="006F0D32" w:rsidRPr="00410371" w:rsidRDefault="006F0D32" w:rsidP="008E2840">
            <w:pPr>
              <w:pStyle w:val="CRCoverPage"/>
              <w:spacing w:after="0"/>
              <w:jc w:val="center"/>
              <w:rPr>
                <w:b/>
                <w:noProof/>
              </w:rPr>
            </w:pPr>
            <w:fldSimple w:instr=" DOCPROPERTY  Revision  \* MERGEFORMAT ">
              <w:r w:rsidRPr="00410371">
                <w:rPr>
                  <w:b/>
                  <w:noProof/>
                  <w:sz w:val="28"/>
                </w:rPr>
                <w:t>-</w:t>
              </w:r>
            </w:fldSimple>
          </w:p>
        </w:tc>
        <w:tc>
          <w:tcPr>
            <w:tcW w:w="2410" w:type="dxa"/>
          </w:tcPr>
          <w:p w14:paraId="0938ED4A" w14:textId="77777777" w:rsidR="006F0D32" w:rsidRDefault="006F0D32" w:rsidP="008E28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F3E12F" w14:textId="77777777" w:rsidR="006F0D32" w:rsidRPr="00410371" w:rsidRDefault="006F0D32" w:rsidP="008E2840">
            <w:pPr>
              <w:pStyle w:val="CRCoverPage"/>
              <w:spacing w:after="0"/>
              <w:jc w:val="center"/>
              <w:rPr>
                <w:noProof/>
                <w:sz w:val="28"/>
              </w:rPr>
            </w:pPr>
            <w:fldSimple w:instr=" DOCPROPERTY  Version  \* MERGEFORMAT ">
              <w:r w:rsidRPr="00410371">
                <w:rPr>
                  <w:b/>
                  <w:noProof/>
                  <w:sz w:val="28"/>
                </w:rPr>
                <w:t>17.5.0</w:t>
              </w:r>
            </w:fldSimple>
          </w:p>
        </w:tc>
        <w:tc>
          <w:tcPr>
            <w:tcW w:w="143" w:type="dxa"/>
            <w:tcBorders>
              <w:right w:val="single" w:sz="4" w:space="0" w:color="auto"/>
            </w:tcBorders>
          </w:tcPr>
          <w:p w14:paraId="1212B5D9" w14:textId="77777777" w:rsidR="006F0D32" w:rsidRDefault="006F0D32" w:rsidP="008E2840">
            <w:pPr>
              <w:pStyle w:val="CRCoverPage"/>
              <w:spacing w:after="0"/>
              <w:rPr>
                <w:noProof/>
              </w:rPr>
            </w:pPr>
          </w:p>
        </w:tc>
      </w:tr>
      <w:tr w:rsidR="006F0D32" w14:paraId="18328B2F" w14:textId="77777777" w:rsidTr="008E2840">
        <w:tc>
          <w:tcPr>
            <w:tcW w:w="9641" w:type="dxa"/>
            <w:gridSpan w:val="9"/>
            <w:tcBorders>
              <w:left w:val="single" w:sz="4" w:space="0" w:color="auto"/>
              <w:right w:val="single" w:sz="4" w:space="0" w:color="auto"/>
            </w:tcBorders>
          </w:tcPr>
          <w:p w14:paraId="3CBF7684" w14:textId="77777777" w:rsidR="006F0D32" w:rsidRDefault="006F0D32" w:rsidP="008E2840">
            <w:pPr>
              <w:pStyle w:val="CRCoverPage"/>
              <w:spacing w:after="0"/>
              <w:rPr>
                <w:noProof/>
              </w:rPr>
            </w:pPr>
          </w:p>
        </w:tc>
      </w:tr>
      <w:tr w:rsidR="006F0D32" w14:paraId="6717A1A4" w14:textId="77777777" w:rsidTr="008E2840">
        <w:tc>
          <w:tcPr>
            <w:tcW w:w="9641" w:type="dxa"/>
            <w:gridSpan w:val="9"/>
            <w:tcBorders>
              <w:top w:val="single" w:sz="4" w:space="0" w:color="auto"/>
            </w:tcBorders>
          </w:tcPr>
          <w:p w14:paraId="66124CC2" w14:textId="77777777" w:rsidR="006F0D32" w:rsidRPr="00F25D98" w:rsidRDefault="006F0D32" w:rsidP="008E284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F0D32" w14:paraId="09593085" w14:textId="77777777" w:rsidTr="008E2840">
        <w:tc>
          <w:tcPr>
            <w:tcW w:w="9641" w:type="dxa"/>
            <w:gridSpan w:val="9"/>
          </w:tcPr>
          <w:p w14:paraId="10A0F164" w14:textId="77777777" w:rsidR="006F0D32" w:rsidRDefault="006F0D32" w:rsidP="008E2840">
            <w:pPr>
              <w:pStyle w:val="CRCoverPage"/>
              <w:spacing w:after="0"/>
              <w:rPr>
                <w:noProof/>
                <w:sz w:val="8"/>
                <w:szCs w:val="8"/>
              </w:rPr>
            </w:pPr>
          </w:p>
        </w:tc>
      </w:tr>
    </w:tbl>
    <w:p w14:paraId="3DA711B8" w14:textId="77777777" w:rsidR="006F0D32" w:rsidRDefault="006F0D32" w:rsidP="006F0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D32" w14:paraId="30A858FC" w14:textId="77777777" w:rsidTr="008E2840">
        <w:tc>
          <w:tcPr>
            <w:tcW w:w="2835" w:type="dxa"/>
          </w:tcPr>
          <w:p w14:paraId="4D5F8A8C" w14:textId="77777777" w:rsidR="006F0D32" w:rsidRDefault="006F0D32" w:rsidP="008E2840">
            <w:pPr>
              <w:pStyle w:val="CRCoverPage"/>
              <w:tabs>
                <w:tab w:val="right" w:pos="2751"/>
              </w:tabs>
              <w:spacing w:after="0"/>
              <w:rPr>
                <w:b/>
                <w:i/>
                <w:noProof/>
              </w:rPr>
            </w:pPr>
            <w:r>
              <w:rPr>
                <w:b/>
                <w:i/>
                <w:noProof/>
              </w:rPr>
              <w:t>Proposed change affects:</w:t>
            </w:r>
          </w:p>
        </w:tc>
        <w:tc>
          <w:tcPr>
            <w:tcW w:w="1418" w:type="dxa"/>
          </w:tcPr>
          <w:p w14:paraId="6552FA5E" w14:textId="77777777" w:rsidR="006F0D32" w:rsidRDefault="006F0D32" w:rsidP="008E28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C5D" w14:textId="77777777" w:rsidR="006F0D32" w:rsidRDefault="006F0D32" w:rsidP="008E2840">
            <w:pPr>
              <w:pStyle w:val="CRCoverPage"/>
              <w:spacing w:after="0"/>
              <w:jc w:val="center"/>
              <w:rPr>
                <w:b/>
                <w:caps/>
                <w:noProof/>
              </w:rPr>
            </w:pPr>
          </w:p>
        </w:tc>
        <w:tc>
          <w:tcPr>
            <w:tcW w:w="709" w:type="dxa"/>
            <w:tcBorders>
              <w:left w:val="single" w:sz="4" w:space="0" w:color="auto"/>
            </w:tcBorders>
          </w:tcPr>
          <w:p w14:paraId="4E21AB0F" w14:textId="77777777" w:rsidR="006F0D32" w:rsidRDefault="006F0D32" w:rsidP="008E28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C3F07" w14:textId="77777777" w:rsidR="006F0D32" w:rsidRDefault="006F0D32" w:rsidP="008E2840">
            <w:pPr>
              <w:pStyle w:val="CRCoverPage"/>
              <w:spacing w:after="0"/>
              <w:jc w:val="center"/>
              <w:rPr>
                <w:b/>
                <w:caps/>
                <w:noProof/>
              </w:rPr>
            </w:pPr>
          </w:p>
        </w:tc>
        <w:tc>
          <w:tcPr>
            <w:tcW w:w="2126" w:type="dxa"/>
          </w:tcPr>
          <w:p w14:paraId="76FAF4EA" w14:textId="77777777" w:rsidR="006F0D32" w:rsidRDefault="006F0D32" w:rsidP="008E28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929B23" w14:textId="77777777" w:rsidR="006F0D32" w:rsidRDefault="006F0D32" w:rsidP="008E2840">
            <w:pPr>
              <w:pStyle w:val="CRCoverPage"/>
              <w:spacing w:after="0"/>
              <w:jc w:val="center"/>
              <w:rPr>
                <w:b/>
                <w:caps/>
                <w:noProof/>
              </w:rPr>
            </w:pPr>
          </w:p>
        </w:tc>
        <w:tc>
          <w:tcPr>
            <w:tcW w:w="1418" w:type="dxa"/>
            <w:tcBorders>
              <w:left w:val="nil"/>
            </w:tcBorders>
          </w:tcPr>
          <w:p w14:paraId="5756575E" w14:textId="77777777" w:rsidR="006F0D32" w:rsidRDefault="006F0D32" w:rsidP="008E28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2A032" w14:textId="6B0B310B" w:rsidR="006F0D32" w:rsidRDefault="006F0D32" w:rsidP="008E2840">
            <w:pPr>
              <w:pStyle w:val="CRCoverPage"/>
              <w:spacing w:after="0"/>
              <w:jc w:val="center"/>
              <w:rPr>
                <w:b/>
                <w:bCs/>
                <w:caps/>
                <w:noProof/>
              </w:rPr>
            </w:pPr>
            <w:r>
              <w:rPr>
                <w:b/>
                <w:bCs/>
                <w:caps/>
                <w:noProof/>
              </w:rPr>
              <w:t>X</w:t>
            </w:r>
          </w:p>
        </w:tc>
      </w:tr>
    </w:tbl>
    <w:p w14:paraId="456A8593" w14:textId="77777777" w:rsidR="006F0D32" w:rsidRDefault="006F0D32" w:rsidP="006F0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D32" w14:paraId="06A1A7AE" w14:textId="77777777" w:rsidTr="008E2840">
        <w:tc>
          <w:tcPr>
            <w:tcW w:w="9640" w:type="dxa"/>
            <w:gridSpan w:val="11"/>
          </w:tcPr>
          <w:p w14:paraId="229343ED" w14:textId="77777777" w:rsidR="006F0D32" w:rsidRDefault="006F0D32" w:rsidP="008E2840">
            <w:pPr>
              <w:pStyle w:val="CRCoverPage"/>
              <w:spacing w:after="0"/>
              <w:rPr>
                <w:noProof/>
                <w:sz w:val="8"/>
                <w:szCs w:val="8"/>
              </w:rPr>
            </w:pPr>
          </w:p>
        </w:tc>
      </w:tr>
      <w:tr w:rsidR="006F0D32" w14:paraId="66BDD066" w14:textId="77777777" w:rsidTr="008E2840">
        <w:tc>
          <w:tcPr>
            <w:tcW w:w="1843" w:type="dxa"/>
            <w:tcBorders>
              <w:top w:val="single" w:sz="4" w:space="0" w:color="auto"/>
              <w:left w:val="single" w:sz="4" w:space="0" w:color="auto"/>
            </w:tcBorders>
          </w:tcPr>
          <w:p w14:paraId="02AA63C1" w14:textId="77777777" w:rsidR="006F0D32" w:rsidRDefault="006F0D32" w:rsidP="008E28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C196AA" w14:textId="77777777" w:rsidR="006F0D32" w:rsidRDefault="006F0D32" w:rsidP="008E2840">
            <w:pPr>
              <w:pStyle w:val="CRCoverPage"/>
              <w:spacing w:after="0"/>
              <w:ind w:left="100"/>
              <w:rPr>
                <w:noProof/>
              </w:rPr>
            </w:pPr>
            <w:fldSimple w:instr=" DOCPROPERTY  CrTitle  \* MERGEFORMAT ">
              <w:r>
                <w:t>Clarification on the PREPARE and TRANSFER options of analytics transfer</w:t>
              </w:r>
            </w:fldSimple>
          </w:p>
        </w:tc>
      </w:tr>
      <w:tr w:rsidR="006F0D32" w14:paraId="1A68D4C8" w14:textId="77777777" w:rsidTr="008E2840">
        <w:tc>
          <w:tcPr>
            <w:tcW w:w="1843" w:type="dxa"/>
            <w:tcBorders>
              <w:left w:val="single" w:sz="4" w:space="0" w:color="auto"/>
            </w:tcBorders>
          </w:tcPr>
          <w:p w14:paraId="1AF0C554" w14:textId="77777777" w:rsidR="006F0D32" w:rsidRDefault="006F0D32" w:rsidP="008E2840">
            <w:pPr>
              <w:pStyle w:val="CRCoverPage"/>
              <w:spacing w:after="0"/>
              <w:rPr>
                <w:b/>
                <w:i/>
                <w:noProof/>
                <w:sz w:val="8"/>
                <w:szCs w:val="8"/>
              </w:rPr>
            </w:pPr>
          </w:p>
        </w:tc>
        <w:tc>
          <w:tcPr>
            <w:tcW w:w="7797" w:type="dxa"/>
            <w:gridSpan w:val="10"/>
            <w:tcBorders>
              <w:right w:val="single" w:sz="4" w:space="0" w:color="auto"/>
            </w:tcBorders>
          </w:tcPr>
          <w:p w14:paraId="21CEED0D" w14:textId="77777777" w:rsidR="006F0D32" w:rsidRDefault="006F0D32" w:rsidP="008E2840">
            <w:pPr>
              <w:pStyle w:val="CRCoverPage"/>
              <w:spacing w:after="0"/>
              <w:rPr>
                <w:noProof/>
                <w:sz w:val="8"/>
                <w:szCs w:val="8"/>
              </w:rPr>
            </w:pPr>
          </w:p>
        </w:tc>
      </w:tr>
      <w:tr w:rsidR="006F0D32" w14:paraId="607C09FE" w14:textId="77777777" w:rsidTr="008E2840">
        <w:tc>
          <w:tcPr>
            <w:tcW w:w="1843" w:type="dxa"/>
            <w:tcBorders>
              <w:left w:val="single" w:sz="4" w:space="0" w:color="auto"/>
            </w:tcBorders>
          </w:tcPr>
          <w:p w14:paraId="42B7B3F4" w14:textId="77777777" w:rsidR="006F0D32" w:rsidRDefault="006F0D32" w:rsidP="008E28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7F736E" w14:textId="49C8A8BA" w:rsidR="006F0D32" w:rsidRDefault="006F0D32" w:rsidP="008E2840">
            <w:pPr>
              <w:pStyle w:val="CRCoverPage"/>
              <w:spacing w:after="0"/>
              <w:ind w:left="100"/>
              <w:rPr>
                <w:noProof/>
              </w:rPr>
            </w:pPr>
            <w:fldSimple w:instr=" DOCPROPERTY  SourceIfWg  \* MERGEFORMAT ">
              <w:r>
                <w:rPr>
                  <w:noProof/>
                </w:rPr>
                <w:t>Nokia, Nokia Shanghai Bell</w:t>
              </w:r>
            </w:fldSimple>
            <w:r w:rsidR="00C53167">
              <w:rPr>
                <w:noProof/>
              </w:rPr>
              <w:t>, Huawei</w:t>
            </w:r>
          </w:p>
        </w:tc>
      </w:tr>
      <w:tr w:rsidR="006F0D32" w14:paraId="4C3E50B6" w14:textId="77777777" w:rsidTr="008E2840">
        <w:tc>
          <w:tcPr>
            <w:tcW w:w="1843" w:type="dxa"/>
            <w:tcBorders>
              <w:left w:val="single" w:sz="4" w:space="0" w:color="auto"/>
            </w:tcBorders>
          </w:tcPr>
          <w:p w14:paraId="1198369C" w14:textId="77777777" w:rsidR="006F0D32" w:rsidRDefault="006F0D32" w:rsidP="008E28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3B047" w14:textId="42A33723" w:rsidR="006F0D32" w:rsidRDefault="006F0D32" w:rsidP="008E2840">
            <w:pPr>
              <w:pStyle w:val="CRCoverPage"/>
              <w:spacing w:after="0"/>
              <w:ind w:left="100"/>
              <w:rPr>
                <w:noProof/>
              </w:rPr>
            </w:pPr>
            <w:r>
              <w:t>C3</w:t>
            </w:r>
            <w:r>
              <w:fldChar w:fldCharType="begin"/>
            </w:r>
            <w:r>
              <w:instrText xml:space="preserve"> DOCPROPERTY  SourceIfTsg  \* MERGEFORMAT </w:instrText>
            </w:r>
            <w:r>
              <w:fldChar w:fldCharType="end"/>
            </w:r>
          </w:p>
        </w:tc>
      </w:tr>
      <w:tr w:rsidR="006F0D32" w14:paraId="14810180" w14:textId="77777777" w:rsidTr="008E2840">
        <w:tc>
          <w:tcPr>
            <w:tcW w:w="1843" w:type="dxa"/>
            <w:tcBorders>
              <w:left w:val="single" w:sz="4" w:space="0" w:color="auto"/>
            </w:tcBorders>
          </w:tcPr>
          <w:p w14:paraId="0DAB2372" w14:textId="77777777" w:rsidR="006F0D32" w:rsidRDefault="006F0D32" w:rsidP="008E2840">
            <w:pPr>
              <w:pStyle w:val="CRCoverPage"/>
              <w:spacing w:after="0"/>
              <w:rPr>
                <w:b/>
                <w:i/>
                <w:noProof/>
                <w:sz w:val="8"/>
                <w:szCs w:val="8"/>
              </w:rPr>
            </w:pPr>
          </w:p>
        </w:tc>
        <w:tc>
          <w:tcPr>
            <w:tcW w:w="7797" w:type="dxa"/>
            <w:gridSpan w:val="10"/>
            <w:tcBorders>
              <w:right w:val="single" w:sz="4" w:space="0" w:color="auto"/>
            </w:tcBorders>
          </w:tcPr>
          <w:p w14:paraId="797B9145" w14:textId="77777777" w:rsidR="006F0D32" w:rsidRDefault="006F0D32" w:rsidP="008E2840">
            <w:pPr>
              <w:pStyle w:val="CRCoverPage"/>
              <w:spacing w:after="0"/>
              <w:rPr>
                <w:noProof/>
                <w:sz w:val="8"/>
                <w:szCs w:val="8"/>
              </w:rPr>
            </w:pPr>
          </w:p>
        </w:tc>
      </w:tr>
      <w:tr w:rsidR="006F0D32" w14:paraId="7A8A4327" w14:textId="77777777" w:rsidTr="008E2840">
        <w:tc>
          <w:tcPr>
            <w:tcW w:w="1843" w:type="dxa"/>
            <w:tcBorders>
              <w:left w:val="single" w:sz="4" w:space="0" w:color="auto"/>
            </w:tcBorders>
          </w:tcPr>
          <w:p w14:paraId="342341AD" w14:textId="77777777" w:rsidR="006F0D32" w:rsidRDefault="006F0D32" w:rsidP="008E2840">
            <w:pPr>
              <w:pStyle w:val="CRCoverPage"/>
              <w:tabs>
                <w:tab w:val="right" w:pos="1759"/>
              </w:tabs>
              <w:spacing w:after="0"/>
              <w:rPr>
                <w:b/>
                <w:i/>
                <w:noProof/>
              </w:rPr>
            </w:pPr>
            <w:r>
              <w:rPr>
                <w:b/>
                <w:i/>
                <w:noProof/>
              </w:rPr>
              <w:t>Work item code:</w:t>
            </w:r>
          </w:p>
        </w:tc>
        <w:tc>
          <w:tcPr>
            <w:tcW w:w="3686" w:type="dxa"/>
            <w:gridSpan w:val="5"/>
            <w:shd w:val="pct30" w:color="FFFF00" w:fill="auto"/>
          </w:tcPr>
          <w:p w14:paraId="479B49D6" w14:textId="77777777" w:rsidR="006F0D32" w:rsidRDefault="006F0D32" w:rsidP="008E2840">
            <w:pPr>
              <w:pStyle w:val="CRCoverPage"/>
              <w:spacing w:after="0"/>
              <w:ind w:left="100"/>
              <w:rPr>
                <w:noProof/>
              </w:rPr>
            </w:pPr>
            <w:fldSimple w:instr=" DOCPROPERTY  RelatedWis  \* MERGEFORMAT ">
              <w:r>
                <w:rPr>
                  <w:noProof/>
                </w:rPr>
                <w:t>eNA_Ph2</w:t>
              </w:r>
            </w:fldSimple>
          </w:p>
        </w:tc>
        <w:tc>
          <w:tcPr>
            <w:tcW w:w="567" w:type="dxa"/>
            <w:tcBorders>
              <w:left w:val="nil"/>
            </w:tcBorders>
          </w:tcPr>
          <w:p w14:paraId="2B6C753A" w14:textId="77777777" w:rsidR="006F0D32" w:rsidRDefault="006F0D32" w:rsidP="008E2840">
            <w:pPr>
              <w:pStyle w:val="CRCoverPage"/>
              <w:spacing w:after="0"/>
              <w:ind w:right="100"/>
              <w:rPr>
                <w:noProof/>
              </w:rPr>
            </w:pPr>
          </w:p>
        </w:tc>
        <w:tc>
          <w:tcPr>
            <w:tcW w:w="1417" w:type="dxa"/>
            <w:gridSpan w:val="3"/>
            <w:tcBorders>
              <w:left w:val="nil"/>
            </w:tcBorders>
          </w:tcPr>
          <w:p w14:paraId="7ADA0DC7" w14:textId="77777777" w:rsidR="006F0D32" w:rsidRDefault="006F0D32" w:rsidP="008E28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F9816" w14:textId="77777777" w:rsidR="006F0D32" w:rsidRDefault="006F0D32" w:rsidP="008E2840">
            <w:pPr>
              <w:pStyle w:val="CRCoverPage"/>
              <w:spacing w:after="0"/>
              <w:ind w:left="100"/>
              <w:rPr>
                <w:noProof/>
              </w:rPr>
            </w:pPr>
            <w:fldSimple w:instr=" DOCPROPERTY  ResDate  \* MERGEFORMAT ">
              <w:r>
                <w:rPr>
                  <w:noProof/>
                </w:rPr>
                <w:t>2022-01-09</w:t>
              </w:r>
            </w:fldSimple>
          </w:p>
        </w:tc>
      </w:tr>
      <w:tr w:rsidR="006F0D32" w14:paraId="6FA2B9CC" w14:textId="77777777" w:rsidTr="008E2840">
        <w:tc>
          <w:tcPr>
            <w:tcW w:w="1843" w:type="dxa"/>
            <w:tcBorders>
              <w:left w:val="single" w:sz="4" w:space="0" w:color="auto"/>
            </w:tcBorders>
          </w:tcPr>
          <w:p w14:paraId="253F3418" w14:textId="77777777" w:rsidR="006F0D32" w:rsidRDefault="006F0D32" w:rsidP="008E2840">
            <w:pPr>
              <w:pStyle w:val="CRCoverPage"/>
              <w:spacing w:after="0"/>
              <w:rPr>
                <w:b/>
                <w:i/>
                <w:noProof/>
                <w:sz w:val="8"/>
                <w:szCs w:val="8"/>
              </w:rPr>
            </w:pPr>
          </w:p>
        </w:tc>
        <w:tc>
          <w:tcPr>
            <w:tcW w:w="1986" w:type="dxa"/>
            <w:gridSpan w:val="4"/>
          </w:tcPr>
          <w:p w14:paraId="04BE3931" w14:textId="77777777" w:rsidR="006F0D32" w:rsidRDefault="006F0D32" w:rsidP="008E2840">
            <w:pPr>
              <w:pStyle w:val="CRCoverPage"/>
              <w:spacing w:after="0"/>
              <w:rPr>
                <w:noProof/>
                <w:sz w:val="8"/>
                <w:szCs w:val="8"/>
              </w:rPr>
            </w:pPr>
          </w:p>
        </w:tc>
        <w:tc>
          <w:tcPr>
            <w:tcW w:w="2267" w:type="dxa"/>
            <w:gridSpan w:val="2"/>
          </w:tcPr>
          <w:p w14:paraId="10A4B052" w14:textId="77777777" w:rsidR="006F0D32" w:rsidRDefault="006F0D32" w:rsidP="008E2840">
            <w:pPr>
              <w:pStyle w:val="CRCoverPage"/>
              <w:spacing w:after="0"/>
              <w:rPr>
                <w:noProof/>
                <w:sz w:val="8"/>
                <w:szCs w:val="8"/>
              </w:rPr>
            </w:pPr>
          </w:p>
        </w:tc>
        <w:tc>
          <w:tcPr>
            <w:tcW w:w="1417" w:type="dxa"/>
            <w:gridSpan w:val="3"/>
          </w:tcPr>
          <w:p w14:paraId="190CF104" w14:textId="77777777" w:rsidR="006F0D32" w:rsidRDefault="006F0D32" w:rsidP="008E2840">
            <w:pPr>
              <w:pStyle w:val="CRCoverPage"/>
              <w:spacing w:after="0"/>
              <w:rPr>
                <w:noProof/>
                <w:sz w:val="8"/>
                <w:szCs w:val="8"/>
              </w:rPr>
            </w:pPr>
          </w:p>
        </w:tc>
        <w:tc>
          <w:tcPr>
            <w:tcW w:w="2127" w:type="dxa"/>
            <w:tcBorders>
              <w:right w:val="single" w:sz="4" w:space="0" w:color="auto"/>
            </w:tcBorders>
          </w:tcPr>
          <w:p w14:paraId="2086D4E9" w14:textId="77777777" w:rsidR="006F0D32" w:rsidRDefault="006F0D32" w:rsidP="008E2840">
            <w:pPr>
              <w:pStyle w:val="CRCoverPage"/>
              <w:spacing w:after="0"/>
              <w:rPr>
                <w:noProof/>
                <w:sz w:val="8"/>
                <w:szCs w:val="8"/>
              </w:rPr>
            </w:pPr>
          </w:p>
        </w:tc>
      </w:tr>
      <w:tr w:rsidR="006F0D32" w14:paraId="1F67ECD2" w14:textId="77777777" w:rsidTr="008E2840">
        <w:trPr>
          <w:cantSplit/>
        </w:trPr>
        <w:tc>
          <w:tcPr>
            <w:tcW w:w="1843" w:type="dxa"/>
            <w:tcBorders>
              <w:left w:val="single" w:sz="4" w:space="0" w:color="auto"/>
            </w:tcBorders>
          </w:tcPr>
          <w:p w14:paraId="50BEA811" w14:textId="77777777" w:rsidR="006F0D32" w:rsidRDefault="006F0D32" w:rsidP="008E2840">
            <w:pPr>
              <w:pStyle w:val="CRCoverPage"/>
              <w:tabs>
                <w:tab w:val="right" w:pos="1759"/>
              </w:tabs>
              <w:spacing w:after="0"/>
              <w:rPr>
                <w:b/>
                <w:i/>
                <w:noProof/>
              </w:rPr>
            </w:pPr>
            <w:r>
              <w:rPr>
                <w:b/>
                <w:i/>
                <w:noProof/>
              </w:rPr>
              <w:t>Category:</w:t>
            </w:r>
          </w:p>
        </w:tc>
        <w:tc>
          <w:tcPr>
            <w:tcW w:w="851" w:type="dxa"/>
            <w:shd w:val="pct30" w:color="FFFF00" w:fill="auto"/>
          </w:tcPr>
          <w:p w14:paraId="3D426FD0" w14:textId="77777777" w:rsidR="006F0D32" w:rsidRDefault="006F0D32" w:rsidP="008E284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C85E06" w14:textId="77777777" w:rsidR="006F0D32" w:rsidRDefault="006F0D32" w:rsidP="008E2840">
            <w:pPr>
              <w:pStyle w:val="CRCoverPage"/>
              <w:spacing w:after="0"/>
              <w:rPr>
                <w:noProof/>
              </w:rPr>
            </w:pPr>
          </w:p>
        </w:tc>
        <w:tc>
          <w:tcPr>
            <w:tcW w:w="1417" w:type="dxa"/>
            <w:gridSpan w:val="3"/>
            <w:tcBorders>
              <w:left w:val="nil"/>
            </w:tcBorders>
          </w:tcPr>
          <w:p w14:paraId="79CBCF63" w14:textId="77777777" w:rsidR="006F0D32" w:rsidRDefault="006F0D32" w:rsidP="008E28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0068C" w14:textId="77777777" w:rsidR="006F0D32" w:rsidRDefault="006F0D32" w:rsidP="008E2840">
            <w:pPr>
              <w:pStyle w:val="CRCoverPage"/>
              <w:spacing w:after="0"/>
              <w:ind w:left="100"/>
              <w:rPr>
                <w:noProof/>
              </w:rPr>
            </w:pPr>
            <w:fldSimple w:instr=" DOCPROPERTY  Release  \* MERGEFORMAT ">
              <w:r>
                <w:rPr>
                  <w:noProof/>
                </w:rPr>
                <w:t>Rel-17</w:t>
              </w:r>
            </w:fldSimple>
          </w:p>
        </w:tc>
      </w:tr>
      <w:tr w:rsidR="006F0D32" w14:paraId="74EE18EE" w14:textId="77777777" w:rsidTr="008E2840">
        <w:tc>
          <w:tcPr>
            <w:tcW w:w="1843" w:type="dxa"/>
            <w:tcBorders>
              <w:left w:val="single" w:sz="4" w:space="0" w:color="auto"/>
              <w:bottom w:val="single" w:sz="4" w:space="0" w:color="auto"/>
            </w:tcBorders>
          </w:tcPr>
          <w:p w14:paraId="70F50476" w14:textId="77777777" w:rsidR="006F0D32" w:rsidRDefault="006F0D32" w:rsidP="008E2840">
            <w:pPr>
              <w:pStyle w:val="CRCoverPage"/>
              <w:spacing w:after="0"/>
              <w:rPr>
                <w:b/>
                <w:i/>
                <w:noProof/>
              </w:rPr>
            </w:pPr>
          </w:p>
        </w:tc>
        <w:tc>
          <w:tcPr>
            <w:tcW w:w="4677" w:type="dxa"/>
            <w:gridSpan w:val="8"/>
            <w:tcBorders>
              <w:bottom w:val="single" w:sz="4" w:space="0" w:color="auto"/>
            </w:tcBorders>
          </w:tcPr>
          <w:p w14:paraId="02B90A59" w14:textId="77777777" w:rsidR="006F0D32" w:rsidRDefault="006F0D32" w:rsidP="008E28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EA5F7" w14:textId="77777777" w:rsidR="006F0D32" w:rsidRDefault="006F0D32" w:rsidP="008E284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C1BFF7" w14:textId="77777777" w:rsidR="006F0D32" w:rsidRPr="007C2097" w:rsidRDefault="006F0D32" w:rsidP="008E28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6AE83" w:rsidR="00DB1C2C" w:rsidRDefault="00267C99" w:rsidP="00DB1C2C">
            <w:pPr>
              <w:pStyle w:val="CRCoverPage"/>
              <w:spacing w:after="0"/>
              <w:ind w:left="100"/>
              <w:rPr>
                <w:noProof/>
              </w:rPr>
            </w:pPr>
            <w:r>
              <w:rPr>
                <w:noProof/>
              </w:rPr>
              <w:t xml:space="preserve">It is unclear </w:t>
            </w:r>
            <w:r w:rsidR="00D31694">
              <w:rPr>
                <w:noProof/>
              </w:rPr>
              <w:t>how</w:t>
            </w:r>
            <w:r>
              <w:rPr>
                <w:noProof/>
              </w:rPr>
              <w:t xml:space="preserve"> </w:t>
            </w:r>
            <w:r w:rsidR="00D31694">
              <w:rPr>
                <w:noProof/>
              </w:rPr>
              <w:t xml:space="preserve">and why </w:t>
            </w:r>
            <w:r>
              <w:rPr>
                <w:noProof/>
              </w:rPr>
              <w:t>individual resource</w:t>
            </w:r>
            <w:r w:rsidR="00D31694">
              <w:rPr>
                <w:noProof/>
              </w:rPr>
              <w:t>s for analytics transfer</w:t>
            </w:r>
            <w:r>
              <w:rPr>
                <w:noProof/>
              </w:rPr>
              <w:t xml:space="preserve"> </w:t>
            </w:r>
            <w:r w:rsidR="00D31694">
              <w:rPr>
                <w:noProof/>
              </w:rPr>
              <w:t>are</w:t>
            </w:r>
            <w:r>
              <w:rPr>
                <w:noProof/>
              </w:rPr>
              <w:t xml:space="preserve"> created </w:t>
            </w:r>
            <w:r w:rsidR="00D31694">
              <w:rPr>
                <w:noProof/>
              </w:rPr>
              <w:t>and removed upon</w:t>
            </w:r>
            <w:r>
              <w:rPr>
                <w:noProof/>
              </w:rPr>
              <w:t xml:space="preserve"> transfer request</w:t>
            </w:r>
            <w:r w:rsidR="00D31694">
              <w:rPr>
                <w:noProof/>
              </w:rPr>
              <w:t>s</w:t>
            </w:r>
            <w:r w:rsidR="00C062E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0CE3" w:rsidR="00DB6D30" w:rsidRDefault="002E0FB6" w:rsidP="00267C99">
            <w:pPr>
              <w:pStyle w:val="CRCoverPage"/>
              <w:spacing w:after="0"/>
              <w:ind w:left="100"/>
              <w:rPr>
                <w:noProof/>
              </w:rPr>
            </w:pPr>
            <w:r>
              <w:rPr>
                <w:noProof/>
              </w:rPr>
              <w:t>Add</w:t>
            </w:r>
            <w:r w:rsidR="00267C99">
              <w:rPr>
                <w:noProof/>
              </w:rPr>
              <w:t>ed</w:t>
            </w:r>
            <w:r>
              <w:rPr>
                <w:noProof/>
              </w:rPr>
              <w:t xml:space="preserve"> </w:t>
            </w:r>
            <w:r w:rsidR="00267C99">
              <w:rPr>
                <w:noProof/>
              </w:rPr>
              <w:t xml:space="preserve">clarification that </w:t>
            </w:r>
            <w:r w:rsidR="00D31694">
              <w:rPr>
                <w:noProof/>
              </w:rPr>
              <w:t xml:space="preserve">contrary to the case of the PREPARE option, </w:t>
            </w:r>
            <w:r w:rsidR="00267C99">
              <w:rPr>
                <w:noProof/>
              </w:rPr>
              <w:t xml:space="preserve">in the case of </w:t>
            </w:r>
            <w:r w:rsidR="00D31694">
              <w:rPr>
                <w:noProof/>
              </w:rPr>
              <w:t xml:space="preserve">the </w:t>
            </w:r>
            <w:r w:rsidR="00267C99">
              <w:rPr>
                <w:noProof/>
              </w:rPr>
              <w:t>TRANSFER</w:t>
            </w:r>
            <w:r w:rsidR="00D31694">
              <w:rPr>
                <w:noProof/>
              </w:rPr>
              <w:t xml:space="preserve"> option</w:t>
            </w:r>
            <w:r w:rsidR="00267C99">
              <w:t xml:space="preserve">, the transfer is </w:t>
            </w:r>
            <w:r w:rsidR="00AD2B72">
              <w:t>executed,</w:t>
            </w:r>
            <w:r w:rsidR="00267C99">
              <w:t xml:space="preserve"> and the NF service consumer cannot act or send further requests to it anymore (as per stage 2), and therefore no resource is created.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B4C42" w:rsidR="001E41F3" w:rsidRDefault="00267C99">
            <w:pPr>
              <w:pStyle w:val="CRCoverPage"/>
              <w:spacing w:after="0"/>
              <w:ind w:left="100"/>
              <w:rPr>
                <w:noProof/>
              </w:rPr>
            </w:pPr>
            <w:r>
              <w:rPr>
                <w:noProof/>
              </w:rPr>
              <w:t>Unclear specification</w:t>
            </w:r>
            <w:r w:rsidR="002E0F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FFE36" w:rsidR="001E41F3" w:rsidRDefault="00BD6FAB">
            <w:pPr>
              <w:pStyle w:val="CRCoverPage"/>
              <w:spacing w:after="0"/>
              <w:ind w:left="100"/>
              <w:rPr>
                <w:noProof/>
              </w:rPr>
            </w:pPr>
            <w:r>
              <w:rPr>
                <w:noProof/>
              </w:rPr>
              <w:t>4.2.2.</w:t>
            </w:r>
            <w:r w:rsidR="00267C99">
              <w:rPr>
                <w:noProof/>
              </w:rPr>
              <w:t>5.2</w:t>
            </w:r>
            <w:r w:rsidR="00AC1A30">
              <w:rPr>
                <w:noProof/>
              </w:rPr>
              <w:t>, 4.2.2.5.3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E56CF" w:rsidR="001E41F3" w:rsidRDefault="00DB1C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50C08" w:rsidR="001E41F3" w:rsidRDefault="00DB1C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B57A9" w:rsidR="001E41F3" w:rsidRDefault="00DB1C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3B567" w:rsidR="001E41F3" w:rsidRDefault="00DB1C2C">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D7997A9" w14:textId="77777777" w:rsidR="00267C99" w:rsidRDefault="00267C99" w:rsidP="00267C99">
      <w:pPr>
        <w:pStyle w:val="Heading5"/>
      </w:pPr>
      <w:bookmarkStart w:id="2" w:name="_Toc73564361"/>
      <w:bookmarkStart w:id="3" w:name="_Toc85552885"/>
      <w:bookmarkStart w:id="4" w:name="_Toc85556984"/>
      <w:bookmarkStart w:id="5" w:name="_Toc88667486"/>
      <w:bookmarkStart w:id="6" w:name="_Toc90655771"/>
      <w:bookmarkStart w:id="7" w:name="_Toc19197358"/>
      <w:bookmarkStart w:id="8" w:name="_Toc27896511"/>
      <w:bookmarkStart w:id="9" w:name="_Toc36192679"/>
      <w:bookmarkEnd w:id="1"/>
      <w:r>
        <w:t>4.2.2.5.2</w:t>
      </w:r>
      <w:r>
        <w:tab/>
      </w:r>
      <w:bookmarkEnd w:id="2"/>
      <w:r>
        <w:t>Creation of request for analytics subscription transfer</w:t>
      </w:r>
      <w:bookmarkEnd w:id="3"/>
      <w:bookmarkEnd w:id="4"/>
      <w:bookmarkEnd w:id="5"/>
      <w:bookmarkEnd w:id="6"/>
    </w:p>
    <w:p w14:paraId="6CBC1498" w14:textId="77777777" w:rsidR="00267C99" w:rsidRDefault="00267C99" w:rsidP="00267C99">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066F0222" w14:textId="77777777" w:rsidR="00267C99" w:rsidRDefault="00267C99" w:rsidP="00267C99">
      <w:pPr>
        <w:pStyle w:val="TH"/>
        <w:rPr>
          <w:rFonts w:eastAsia="DengXian"/>
          <w:lang w:eastAsia="zh-CN"/>
        </w:rPr>
      </w:pPr>
      <w:r>
        <w:rPr>
          <w:noProof/>
        </w:rPr>
        <w:object w:dxaOrig="9560" w:dyaOrig="3190" w14:anchorId="61FAC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7" o:title=""/>
          </v:shape>
          <o:OLEObject Type="Embed" ProgID="Visio.Drawing.11" ShapeID="_x0000_i1025" DrawAspect="Content" ObjectID="_1703230729" r:id="rId18"/>
        </w:object>
      </w:r>
    </w:p>
    <w:p w14:paraId="6BB19004" w14:textId="77777777" w:rsidR="00267C99" w:rsidRDefault="00267C99" w:rsidP="00267C99">
      <w:pPr>
        <w:pStyle w:val="TF"/>
      </w:pPr>
      <w:r>
        <w:t>Figure 4.2.2.5.2-1: NF service consumer requests an analytics subscription transfer</w:t>
      </w:r>
    </w:p>
    <w:p w14:paraId="15EED61A" w14:textId="77777777" w:rsidR="00267C99" w:rsidRDefault="00267C99" w:rsidP="00267C99">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0698659C" w14:textId="77777777" w:rsidR="00267C99" w:rsidRDefault="00267C99" w:rsidP="00267C99">
      <w:pPr>
        <w:pStyle w:val="B1"/>
        <w:rPr>
          <w:noProof/>
        </w:rPr>
      </w:pPr>
      <w:r>
        <w:t>-</w:t>
      </w:r>
      <w:r>
        <w:tab/>
        <w:t>information about the subscription(s) transfer request as "</w:t>
      </w:r>
      <w:proofErr w:type="spellStart"/>
      <w:r>
        <w:t>subsTransInfos</w:t>
      </w:r>
      <w:proofErr w:type="spellEnd"/>
      <w:r>
        <w:rPr>
          <w:noProof/>
        </w:rPr>
        <w:t xml:space="preserve">" attribute, which, for each subscription </w:t>
      </w:r>
      <w:r>
        <w:t>that is requested to be transferred,</w:t>
      </w:r>
      <w:r>
        <w:rPr>
          <w:noProof/>
        </w:rPr>
        <w:t xml:space="preserve"> shall include:</w:t>
      </w:r>
    </w:p>
    <w:p w14:paraId="1F7ED410" w14:textId="77777777" w:rsidR="00267C99" w:rsidRDefault="00267C99" w:rsidP="00267C99">
      <w:pPr>
        <w:pStyle w:val="B2"/>
      </w:pPr>
      <w:r>
        <w:t>a)</w:t>
      </w:r>
      <w:r>
        <w:tab/>
        <w:t>the type of the transfer request (i.e. if it is a request for transfer preparation or transfer execution) in the "</w:t>
      </w:r>
      <w:proofErr w:type="spellStart"/>
      <w:r>
        <w:t>transReqType</w:t>
      </w:r>
      <w:proofErr w:type="spellEnd"/>
      <w:r>
        <w:t>" attribute;</w:t>
      </w:r>
    </w:p>
    <w:p w14:paraId="5F9A1ABD" w14:textId="77777777" w:rsidR="00267C99" w:rsidRDefault="00267C99" w:rsidP="00267C99">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subclause 4.2.2.2.2;</w:t>
      </w:r>
    </w:p>
    <w:p w14:paraId="3600B5F4" w14:textId="77777777" w:rsidR="00267C99" w:rsidRDefault="00267C99" w:rsidP="00267C99">
      <w:pPr>
        <w:pStyle w:val="B2"/>
        <w:rPr>
          <w:noProof/>
        </w:rPr>
      </w:pPr>
      <w:r>
        <w:rPr>
          <w:noProof/>
        </w:rPr>
        <w:t>c)</w:t>
      </w:r>
      <w:r>
        <w:rPr>
          <w:noProof/>
        </w:rPr>
        <w:tab/>
        <w:t xml:space="preserve">the NF instance identifer of the consumer of the analytics subscription in the "consumerId" attribute; </w:t>
      </w:r>
    </w:p>
    <w:p w14:paraId="54511DB1" w14:textId="77777777" w:rsidR="00267C99" w:rsidRDefault="00267C99" w:rsidP="00267C99">
      <w:pPr>
        <w:pStyle w:val="B2"/>
        <w:rPr>
          <w:noProof/>
        </w:rPr>
      </w:pPr>
      <w:r>
        <w:rPr>
          <w:noProof/>
        </w:rPr>
        <w:t>and may include:</w:t>
      </w:r>
    </w:p>
    <w:p w14:paraId="46ECF727" w14:textId="77777777" w:rsidR="00267C99" w:rsidRDefault="00267C99" w:rsidP="00267C99">
      <w:pPr>
        <w:pStyle w:val="B2"/>
      </w:pPr>
      <w:r>
        <w:t>a)</w:t>
      </w:r>
      <w:r>
        <w:tab/>
      </w:r>
      <w:r>
        <w:rPr>
          <w:lang w:eastAsia="zh-CN"/>
        </w:rPr>
        <w:t xml:space="preserve">analytics context identifier information about the context that is available at the NF service consumer in the </w:t>
      </w:r>
      <w:r>
        <w:rPr>
          <w:noProof/>
        </w:rPr>
        <w:t>"contextId" attribute</w:t>
      </w:r>
      <w:r>
        <w:t xml:space="preserve">; </w:t>
      </w:r>
    </w:p>
    <w:p w14:paraId="0BD26392" w14:textId="77777777" w:rsidR="00267C99" w:rsidRDefault="00267C99" w:rsidP="00267C99">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"sourceNfIds" attribute</w:t>
      </w:r>
      <w:r>
        <w:t xml:space="preserve">; </w:t>
      </w:r>
    </w:p>
    <w:p w14:paraId="214287B2" w14:textId="77777777" w:rsidR="00267C99" w:rsidRDefault="00267C99" w:rsidP="00267C99">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"sourceSetIds" attribute</w:t>
      </w:r>
      <w:r>
        <w:t>;</w:t>
      </w:r>
    </w:p>
    <w:p w14:paraId="105C7F39" w14:textId="77777777" w:rsidR="00267C99" w:rsidRDefault="00267C99" w:rsidP="00267C99">
      <w:pPr>
        <w:pStyle w:val="B2"/>
        <w:rPr>
          <w:noProof/>
        </w:rPr>
      </w:pPr>
      <w:r>
        <w:rPr>
          <w:noProof/>
        </w:rPr>
        <w:t>d)</w:t>
      </w:r>
      <w:r>
        <w:rPr>
          <w:noProof/>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noProof/>
        </w:rPr>
        <w:t xml:space="preserve">"modelInfo" attribute; </w:t>
      </w:r>
    </w:p>
    <w:p w14:paraId="47897317" w14:textId="77777777" w:rsidR="00267C99" w:rsidRDefault="00267C99" w:rsidP="00267C99">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7F111AD5" w14:textId="77777777" w:rsidR="00267C99" w:rsidRDefault="00267C99" w:rsidP="00267C99">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4E3F69A5" w14:textId="77777777" w:rsidR="00267C99" w:rsidRDefault="00267C99" w:rsidP="00267C99">
      <w:pPr>
        <w:pStyle w:val="B1"/>
      </w:pPr>
      <w:r>
        <w:lastRenderedPageBreak/>
        <w:t>-</w:t>
      </w:r>
      <w:r>
        <w:tab/>
        <w:t>if the "</w:t>
      </w:r>
      <w:proofErr w:type="spellStart"/>
      <w:r>
        <w:t>transReqType</w:t>
      </w:r>
      <w:proofErr w:type="spellEnd"/>
      <w:r>
        <w:t>" attribute has the value PREPARE, perform the steps required for the preparation of an analytics subscription transfer</w:t>
      </w:r>
      <w:r>
        <w:rPr>
          <w:lang w:val="en-US"/>
        </w:rPr>
        <w:t xml:space="preserve">, </w:t>
      </w:r>
      <w:r>
        <w:t xml:space="preserve">create a new </w:t>
      </w:r>
      <w:r>
        <w:rPr>
          <w:rFonts w:eastAsia="DengXian"/>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2a;</w:t>
      </w:r>
    </w:p>
    <w:p w14:paraId="71C4B9FA" w14:textId="7B2CB2FE" w:rsidR="00267C99" w:rsidRDefault="00267C99" w:rsidP="00267C99">
      <w:pPr>
        <w:pStyle w:val="B1"/>
        <w:rPr>
          <w:ins w:id="10" w:author="Nokia" w:date="2021-12-29T10:40:00Z"/>
        </w:rPr>
      </w:pPr>
      <w:r>
        <w:t>-</w:t>
      </w:r>
      <w:r>
        <w:tab/>
        <w:t>if the "</w:t>
      </w:r>
      <w:proofErr w:type="spellStart"/>
      <w:r>
        <w:t>transReqType</w:t>
      </w:r>
      <w:proofErr w:type="spellEnd"/>
      <w:r>
        <w:t xml:space="preserve">" attribute has the value TRANSFER, perform the steps required for the execution of an analytics subscription transfer, </w:t>
      </w:r>
      <w:r>
        <w:rPr>
          <w:rFonts w:eastAsia="DengXian"/>
        </w:rPr>
        <w:t xml:space="preserve">and </w:t>
      </w:r>
      <w:r>
        <w:rPr>
          <w:noProof/>
        </w:rPr>
        <w:t xml:space="preserve">send an HTTP "204 No Content" response, </w:t>
      </w:r>
      <w:r>
        <w:t>as shown in figure 4.2.2.5.2-1, step 2b.</w:t>
      </w:r>
    </w:p>
    <w:p w14:paraId="7CDBC0C4" w14:textId="14C3D99C" w:rsidR="00267C99" w:rsidRDefault="00267C99" w:rsidP="00267C99">
      <w:pPr>
        <w:pStyle w:val="NO"/>
      </w:pPr>
      <w:ins w:id="11" w:author="Nokia" w:date="2021-12-29T10:40:00Z">
        <w:r>
          <w:t>NOTE:</w:t>
        </w:r>
        <w:r>
          <w:tab/>
        </w:r>
      </w:ins>
      <w:ins w:id="12" w:author="Nokia" w:date="2021-12-29T10:41:00Z">
        <w:r>
          <w:t>When the request type is TRANSFER, the transfer is executed</w:t>
        </w:r>
      </w:ins>
      <w:ins w:id="13" w:author="Nokia" w:date="2021-12-29T11:09:00Z">
        <w:r w:rsidR="00AD2B72">
          <w:t>,</w:t>
        </w:r>
      </w:ins>
      <w:ins w:id="14" w:author="Nokia" w:date="2021-12-29T10:41:00Z">
        <w:r>
          <w:t xml:space="preserve"> and the NF service consumer cannot act or send further requests to it anymore</w:t>
        </w:r>
      </w:ins>
      <w:ins w:id="15" w:author="Nokia" w:date="2021-12-29T11:07:00Z">
        <w:r w:rsidR="00D31694">
          <w:t xml:space="preserve"> (contrary to when the request type is PREPARE)</w:t>
        </w:r>
      </w:ins>
      <w:ins w:id="16" w:author="Nokia" w:date="2021-12-29T10:41:00Z">
        <w:r>
          <w:t>, and therefore in th</w:t>
        </w:r>
      </w:ins>
      <w:ins w:id="17" w:author="Nokia" w:date="2021-12-29T11:07:00Z">
        <w:r w:rsidR="00D31694">
          <w:t>e</w:t>
        </w:r>
      </w:ins>
      <w:ins w:id="18" w:author="Nokia" w:date="2021-12-29T10:41:00Z">
        <w:r>
          <w:t xml:space="preserve"> case </w:t>
        </w:r>
      </w:ins>
      <w:ins w:id="19" w:author="Nokia" w:date="2021-12-29T11:07:00Z">
        <w:r w:rsidR="00D31694">
          <w:t xml:space="preserve">of TRANSFER </w:t>
        </w:r>
      </w:ins>
      <w:ins w:id="20" w:author="Nokia" w:date="2021-12-29T10:41:00Z">
        <w:r>
          <w:t xml:space="preserve">no </w:t>
        </w:r>
      </w:ins>
      <w:ins w:id="21" w:author="Nokia" w:date="2021-12-29T10:42:00Z">
        <w:r>
          <w:t>Individual NWDAF Event Subscription needs to be created</w:t>
        </w:r>
      </w:ins>
      <w:ins w:id="22" w:author="Nokia" w:date="2021-12-29T10:41:00Z">
        <w:r>
          <w:t>.</w:t>
        </w:r>
      </w:ins>
    </w:p>
    <w:p w14:paraId="231FA043" w14:textId="77777777" w:rsidR="00267C99" w:rsidRPr="006E6A2D" w:rsidRDefault="00267C99" w:rsidP="00267C99">
      <w:pPr>
        <w:pStyle w:val="EditorsNote"/>
        <w:rPr>
          <w:rFonts w:eastAsia="DengXian"/>
        </w:rPr>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will be added as soon as 29.552 has been updated accordingly.</w:t>
      </w:r>
    </w:p>
    <w:p w14:paraId="0F53E84F" w14:textId="77777777" w:rsidR="00267C99" w:rsidRDefault="00267C99" w:rsidP="00267C99">
      <w:pPr>
        <w:rPr>
          <w:rFonts w:eastAsia="DengXian"/>
        </w:rPr>
      </w:pPr>
      <w:r>
        <w:rPr>
          <w:rFonts w:eastAsia="DengXian"/>
        </w:rPr>
        <w:t>If errors occur when processing the HTTP POST request, the NF service consumer shall send an HTTP error response as specified in subclause 5.1.7.</w:t>
      </w:r>
    </w:p>
    <w:p w14:paraId="6E23AF60" w14:textId="5DD4A608" w:rsidR="00BE7482" w:rsidRDefault="00267C99" w:rsidP="00267C99">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41F2665D" w14:textId="12B27866" w:rsidR="00D931D5" w:rsidRPr="00D931D5" w:rsidRDefault="00D931D5" w:rsidP="00D931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C5C53F" w14:textId="77777777" w:rsidR="00D931D5" w:rsidRDefault="00D931D5" w:rsidP="00D931D5">
      <w:pPr>
        <w:pStyle w:val="Heading5"/>
      </w:pPr>
      <w:bookmarkStart w:id="23" w:name="_Toc85552886"/>
      <w:bookmarkStart w:id="24" w:name="_Toc85556985"/>
      <w:bookmarkStart w:id="25" w:name="_Toc88667487"/>
      <w:bookmarkStart w:id="26" w:name="_Toc90655772"/>
      <w:r>
        <w:t>4.2.2.5.3</w:t>
      </w:r>
      <w:r>
        <w:tab/>
        <w:t>Update a request for analytics subscription transfer</w:t>
      </w:r>
      <w:bookmarkEnd w:id="23"/>
      <w:bookmarkEnd w:id="24"/>
      <w:bookmarkEnd w:id="25"/>
      <w:bookmarkEnd w:id="26"/>
    </w:p>
    <w:p w14:paraId="202CDD3A" w14:textId="77777777" w:rsidR="00D931D5" w:rsidRDefault="00D931D5" w:rsidP="00D931D5">
      <w:pPr>
        <w:rPr>
          <w:rFonts w:eastAsia="DengXian"/>
        </w:rPr>
      </w:pPr>
      <w:r>
        <w:rPr>
          <w:rFonts w:eastAsia="DengXian"/>
        </w:rPr>
        <w:t xml:space="preserve">Figure 4.2.2.5.3-1 shows a scenario where the NF Service Consumer (e.g. NWDAF) sends a request to the NWDAF to update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42FBDA7" w14:textId="77777777" w:rsidR="00D931D5" w:rsidRDefault="00D931D5" w:rsidP="00D931D5">
      <w:pPr>
        <w:pStyle w:val="TH"/>
        <w:rPr>
          <w:rFonts w:eastAsia="DengXian"/>
          <w:lang w:eastAsia="zh-CN"/>
        </w:rPr>
      </w:pPr>
      <w:r>
        <w:object w:dxaOrig="8420" w:dyaOrig="3420" w14:anchorId="25BC7AF5">
          <v:shape id="_x0000_i1026" type="#_x0000_t75" style="width:421pt;height:171pt" o:ole="">
            <v:imagedata r:id="rId19" o:title=""/>
          </v:shape>
          <o:OLEObject Type="Embed" ProgID="Visio.Drawing.15" ShapeID="_x0000_i1026" DrawAspect="Content" ObjectID="_1703230730" r:id="rId20"/>
        </w:object>
      </w:r>
    </w:p>
    <w:p w14:paraId="668BA9B9" w14:textId="77777777" w:rsidR="00D931D5" w:rsidRDefault="00D931D5" w:rsidP="00D931D5">
      <w:pPr>
        <w:pStyle w:val="TF"/>
      </w:pPr>
      <w:r>
        <w:t>Figure 4.2.2.5.3-1: NF service consumer updates a request for an analytics subscription transfer</w:t>
      </w:r>
    </w:p>
    <w:p w14:paraId="16FB1A5E" w14:textId="77777777" w:rsidR="00D931D5" w:rsidRDefault="00D931D5" w:rsidP="00D931D5">
      <w:r>
        <w:t xml:space="preserve">The NF service consumer shall invoke the </w:t>
      </w:r>
      <w:proofErr w:type="spellStart"/>
      <w:r>
        <w:t>Nnwdaf_EventsSubscription_Transfer</w:t>
      </w:r>
      <w:proofErr w:type="spellEnd"/>
      <w:r>
        <w:t xml:space="preserve"> service operation to update a </w:t>
      </w:r>
      <w:r>
        <w:rPr>
          <w:rFonts w:eastAsia="DengXian"/>
        </w:rPr>
        <w:t>request for the transfer of analytics subscription(s)</w:t>
      </w:r>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4.2.2.5.3-1, step 1, to update the "Individual NWDAF Event Subscription Transfer" resource identified by the {</w:t>
      </w:r>
      <w:proofErr w:type="spellStart"/>
      <w:r>
        <w:t>transferId</w:t>
      </w:r>
      <w:proofErr w:type="spellEnd"/>
      <w:r>
        <w:t xml:space="preserve">}. The </w:t>
      </w:r>
      <w:proofErr w:type="spellStart"/>
      <w:r>
        <w:rPr>
          <w:rFonts w:eastAsia="DengXian"/>
        </w:rPr>
        <w:t>AnalyticsSubscriptionsTransfer</w:t>
      </w:r>
      <w:proofErr w:type="spellEnd"/>
      <w:r>
        <w:rPr>
          <w:rFonts w:eastAsia="DengXian"/>
        </w:rPr>
        <w:t xml:space="preserve"> </w:t>
      </w:r>
      <w:r>
        <w:t>data structure provided in the request body shall include the same contents as described in subclause 4.2.2.5.2.</w:t>
      </w:r>
    </w:p>
    <w:p w14:paraId="3A2F3ACD" w14:textId="77777777" w:rsidR="00D931D5" w:rsidRDefault="00D931D5" w:rsidP="00D931D5">
      <w:pPr>
        <w:rPr>
          <w:rFonts w:eastAsia="DengXian"/>
        </w:rPr>
      </w:pPr>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xml:space="preserve">}" as Resource URI and </w:t>
      </w:r>
      <w:proofErr w:type="spellStart"/>
      <w:r>
        <w:rPr>
          <w:rFonts w:eastAsia="DengXian"/>
        </w:rPr>
        <w:t>AnalyticsSubscriptionsTransfer</w:t>
      </w:r>
      <w:proofErr w:type="spellEnd"/>
      <w:r>
        <w:rPr>
          <w:rFonts w:eastAsia="DengXian"/>
        </w:rPr>
        <w:t xml:space="preserve"> data structure as request body, the NWDAF shall:</w:t>
      </w:r>
    </w:p>
    <w:p w14:paraId="40EF9C38" w14:textId="77777777" w:rsidR="00D931D5" w:rsidRDefault="00D931D5" w:rsidP="00D931D5">
      <w:pPr>
        <w:pStyle w:val="B1"/>
      </w:pPr>
      <w:r>
        <w:t>-</w:t>
      </w:r>
      <w:r>
        <w:tab/>
        <w:t>if the "</w:t>
      </w:r>
      <w:proofErr w:type="spellStart"/>
      <w:r>
        <w:t>transReqType</w:t>
      </w:r>
      <w:proofErr w:type="spellEnd"/>
      <w:r>
        <w:t>" attribute has the value PREPARE, perform the steps required for the preparation of an analytics subscription transfer</w:t>
      </w:r>
      <w:r>
        <w:rPr>
          <w:lang w:val="en-US"/>
        </w:rPr>
        <w:t>, update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2;</w:t>
      </w:r>
    </w:p>
    <w:p w14:paraId="4348F0B4" w14:textId="1C2C9F53" w:rsidR="00D931D5" w:rsidRDefault="00D931D5" w:rsidP="00D931D5">
      <w:pPr>
        <w:pStyle w:val="B1"/>
        <w:rPr>
          <w:ins w:id="27" w:author="Nokia" w:date="2021-12-29T10:44:00Z"/>
        </w:rPr>
      </w:pPr>
      <w:r>
        <w:lastRenderedPageBreak/>
        <w:t>-</w:t>
      </w:r>
      <w:r>
        <w:tab/>
        <w:t>if the "</w:t>
      </w:r>
      <w:proofErr w:type="spellStart"/>
      <w:r>
        <w:t>transReqType</w:t>
      </w:r>
      <w:proofErr w:type="spellEnd"/>
      <w:r>
        <w:t xml:space="preserve">" attribute has the value TRANSFER, perform the steps required for the execution of an analytics subscription transfer, </w:t>
      </w:r>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and </w:t>
      </w:r>
      <w:r>
        <w:rPr>
          <w:noProof/>
        </w:rPr>
        <w:t xml:space="preserve">send an HTTP "204 No Content" response, </w:t>
      </w:r>
      <w:r>
        <w:t>as shown in figure 4.2.2.5.3-1, step 2.</w:t>
      </w:r>
    </w:p>
    <w:p w14:paraId="76E8E50D" w14:textId="387FF031" w:rsidR="00D931D5" w:rsidRDefault="00D931D5" w:rsidP="00D931D5">
      <w:pPr>
        <w:pStyle w:val="NO"/>
      </w:pPr>
      <w:ins w:id="28" w:author="Nokia" w:date="2021-12-29T10:44:00Z">
        <w:r>
          <w:t>NOTE:</w:t>
        </w:r>
        <w:r>
          <w:tab/>
          <w:t>When the request type is TRANSFER, the transfer is executed</w:t>
        </w:r>
      </w:ins>
      <w:ins w:id="29" w:author="Nokia" w:date="2021-12-29T11:10:00Z">
        <w:r w:rsidR="00AD2B72">
          <w:t>,</w:t>
        </w:r>
      </w:ins>
      <w:ins w:id="30" w:author="Nokia" w:date="2021-12-29T10:44:00Z">
        <w:r>
          <w:t xml:space="preserve"> and the NF service consumer cannot act or send further requests to it anymore</w:t>
        </w:r>
      </w:ins>
      <w:ins w:id="31" w:author="Nokia" w:date="2021-12-29T11:07:00Z">
        <w:r w:rsidR="00D31694">
          <w:t xml:space="preserve"> (contrary to when the request type is PREPARE)</w:t>
        </w:r>
      </w:ins>
      <w:ins w:id="32" w:author="Nokia" w:date="2021-12-29T10:44:00Z">
        <w:r>
          <w:t>, and therefore in th</w:t>
        </w:r>
      </w:ins>
      <w:ins w:id="33" w:author="Nokia" w:date="2021-12-29T11:07:00Z">
        <w:r w:rsidR="00D31694">
          <w:t>e case of TRANSFER</w:t>
        </w:r>
      </w:ins>
      <w:ins w:id="34" w:author="Nokia" w:date="2021-12-29T10:44:00Z">
        <w:r>
          <w:t xml:space="preserve"> </w:t>
        </w:r>
      </w:ins>
      <w:ins w:id="35" w:author="Nokia" w:date="2021-12-29T11:04:00Z">
        <w:r w:rsidR="00970FD9">
          <w:t>the</w:t>
        </w:r>
      </w:ins>
      <w:ins w:id="36" w:author="Nokia" w:date="2021-12-29T10:44:00Z">
        <w:r>
          <w:t xml:space="preserve"> Individual NWDAF Event Subscription needs to be </w:t>
        </w:r>
      </w:ins>
      <w:ins w:id="37" w:author="Nokia" w:date="2021-12-29T11:05:00Z">
        <w:r w:rsidR="00970FD9">
          <w:t>removed</w:t>
        </w:r>
      </w:ins>
      <w:ins w:id="38" w:author="Nokia" w:date="2021-12-29T10:44:00Z">
        <w:r>
          <w:t>.</w:t>
        </w:r>
      </w:ins>
    </w:p>
    <w:p w14:paraId="6046F37E" w14:textId="77777777" w:rsidR="00D931D5" w:rsidRPr="00B66923" w:rsidRDefault="00D931D5" w:rsidP="00D931D5">
      <w:pPr>
        <w:pStyle w:val="EditorsNote"/>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and possibly also enhancement of the referencing text, will be added as soon as 29.552 has been updated accordingly.</w:t>
      </w:r>
    </w:p>
    <w:p w14:paraId="1CF81B44" w14:textId="77777777" w:rsidR="00D931D5" w:rsidRDefault="00D931D5" w:rsidP="00D931D5">
      <w:r>
        <w:t>If errors occur when processing the HTTP PUT request, the NWDAF shall send an HTTP error response as specified in subclause 5.1.7.</w:t>
      </w:r>
    </w:p>
    <w:p w14:paraId="7DF91C76" w14:textId="24C4A9F1" w:rsidR="00D931D5" w:rsidRPr="00D931D5" w:rsidRDefault="00D931D5" w:rsidP="00267C99">
      <w:pPr>
        <w:rPr>
          <w:rFonts w:eastAsia="DengXian"/>
        </w:rPr>
      </w:pPr>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bookmarkEnd w:id="7"/>
    <w:bookmarkEnd w:id="8"/>
    <w:bookmarkEnd w:id="9"/>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4F"/>
    <w:rsid w:val="000A6394"/>
    <w:rsid w:val="000B7FED"/>
    <w:rsid w:val="000C038A"/>
    <w:rsid w:val="000C6598"/>
    <w:rsid w:val="000D44B3"/>
    <w:rsid w:val="00145D43"/>
    <w:rsid w:val="001634A4"/>
    <w:rsid w:val="00192C46"/>
    <w:rsid w:val="001A08B3"/>
    <w:rsid w:val="001A7B60"/>
    <w:rsid w:val="001B52F0"/>
    <w:rsid w:val="001B7A65"/>
    <w:rsid w:val="001C7606"/>
    <w:rsid w:val="001E41F3"/>
    <w:rsid w:val="0026004D"/>
    <w:rsid w:val="002640DD"/>
    <w:rsid w:val="00267C99"/>
    <w:rsid w:val="00275D12"/>
    <w:rsid w:val="00284FEB"/>
    <w:rsid w:val="002860C4"/>
    <w:rsid w:val="002B5741"/>
    <w:rsid w:val="002E0FB6"/>
    <w:rsid w:val="002E472E"/>
    <w:rsid w:val="00305409"/>
    <w:rsid w:val="00360818"/>
    <w:rsid w:val="003609EF"/>
    <w:rsid w:val="0036231A"/>
    <w:rsid w:val="00374DD4"/>
    <w:rsid w:val="003E1A36"/>
    <w:rsid w:val="00410371"/>
    <w:rsid w:val="004242F1"/>
    <w:rsid w:val="0047515A"/>
    <w:rsid w:val="004B75B7"/>
    <w:rsid w:val="004C4140"/>
    <w:rsid w:val="0051580D"/>
    <w:rsid w:val="0053109C"/>
    <w:rsid w:val="00545FA0"/>
    <w:rsid w:val="0054614A"/>
    <w:rsid w:val="00547111"/>
    <w:rsid w:val="00592D74"/>
    <w:rsid w:val="005E2C44"/>
    <w:rsid w:val="0061791A"/>
    <w:rsid w:val="00621188"/>
    <w:rsid w:val="00621CDB"/>
    <w:rsid w:val="006257ED"/>
    <w:rsid w:val="00665C47"/>
    <w:rsid w:val="006663F8"/>
    <w:rsid w:val="00695808"/>
    <w:rsid w:val="006B46FB"/>
    <w:rsid w:val="006E21FB"/>
    <w:rsid w:val="006F0D32"/>
    <w:rsid w:val="00792342"/>
    <w:rsid w:val="007977A8"/>
    <w:rsid w:val="007B512A"/>
    <w:rsid w:val="007C2097"/>
    <w:rsid w:val="007D6A07"/>
    <w:rsid w:val="007F7259"/>
    <w:rsid w:val="008040A8"/>
    <w:rsid w:val="008279FA"/>
    <w:rsid w:val="008626E7"/>
    <w:rsid w:val="00870EE7"/>
    <w:rsid w:val="008863B9"/>
    <w:rsid w:val="00891CAF"/>
    <w:rsid w:val="008A45A6"/>
    <w:rsid w:val="008F3789"/>
    <w:rsid w:val="008F686C"/>
    <w:rsid w:val="009148DE"/>
    <w:rsid w:val="00941E30"/>
    <w:rsid w:val="00970FD9"/>
    <w:rsid w:val="009777D9"/>
    <w:rsid w:val="00991B88"/>
    <w:rsid w:val="009A5753"/>
    <w:rsid w:val="009A579D"/>
    <w:rsid w:val="009E3297"/>
    <w:rsid w:val="009F1486"/>
    <w:rsid w:val="009F734F"/>
    <w:rsid w:val="00A20246"/>
    <w:rsid w:val="00A246B6"/>
    <w:rsid w:val="00A47E70"/>
    <w:rsid w:val="00A50CF0"/>
    <w:rsid w:val="00A7671C"/>
    <w:rsid w:val="00AA2CBC"/>
    <w:rsid w:val="00AC1A30"/>
    <w:rsid w:val="00AC5820"/>
    <w:rsid w:val="00AD1CD8"/>
    <w:rsid w:val="00AD2B72"/>
    <w:rsid w:val="00AF283D"/>
    <w:rsid w:val="00B258BB"/>
    <w:rsid w:val="00B67B97"/>
    <w:rsid w:val="00B968C8"/>
    <w:rsid w:val="00BA3EC5"/>
    <w:rsid w:val="00BA51D9"/>
    <w:rsid w:val="00BB5DFC"/>
    <w:rsid w:val="00BD279D"/>
    <w:rsid w:val="00BD6BB8"/>
    <w:rsid w:val="00BD6FAB"/>
    <w:rsid w:val="00BE7482"/>
    <w:rsid w:val="00C062E6"/>
    <w:rsid w:val="00C53167"/>
    <w:rsid w:val="00C66BA2"/>
    <w:rsid w:val="00C95985"/>
    <w:rsid w:val="00CC5026"/>
    <w:rsid w:val="00CC68D0"/>
    <w:rsid w:val="00D03F9A"/>
    <w:rsid w:val="00D06D51"/>
    <w:rsid w:val="00D24991"/>
    <w:rsid w:val="00D31694"/>
    <w:rsid w:val="00D45CBE"/>
    <w:rsid w:val="00D50255"/>
    <w:rsid w:val="00D66520"/>
    <w:rsid w:val="00D8318B"/>
    <w:rsid w:val="00D931D5"/>
    <w:rsid w:val="00DB1C2C"/>
    <w:rsid w:val="00DB6D30"/>
    <w:rsid w:val="00DE34CF"/>
    <w:rsid w:val="00E13F3D"/>
    <w:rsid w:val="00E34898"/>
    <w:rsid w:val="00E86593"/>
    <w:rsid w:val="00EA015C"/>
    <w:rsid w:val="00EB09B7"/>
    <w:rsid w:val="00ED15B1"/>
    <w:rsid w:val="00EE7D7C"/>
    <w:rsid w:val="00F16B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7515A"/>
    <w:rPr>
      <w:rFonts w:ascii="Arial" w:hAnsi="Arial"/>
      <w:b/>
      <w:lang w:val="en-GB" w:eastAsia="en-US"/>
    </w:rPr>
  </w:style>
  <w:style w:type="character" w:customStyle="1" w:styleId="B1Char">
    <w:name w:val="B1 Char"/>
    <w:link w:val="B1"/>
    <w:qFormat/>
    <w:rsid w:val="0047515A"/>
    <w:rPr>
      <w:rFonts w:ascii="Times New Roman" w:hAnsi="Times New Roman"/>
      <w:lang w:val="en-GB" w:eastAsia="en-US"/>
    </w:rPr>
  </w:style>
  <w:style w:type="character" w:customStyle="1" w:styleId="Heading3Char">
    <w:name w:val="Heading 3 Char"/>
    <w:link w:val="Heading3"/>
    <w:rsid w:val="0047515A"/>
    <w:rPr>
      <w:rFonts w:ascii="Arial" w:hAnsi="Arial"/>
      <w:sz w:val="28"/>
      <w:lang w:val="en-GB" w:eastAsia="en-US"/>
    </w:rPr>
  </w:style>
  <w:style w:type="character" w:customStyle="1" w:styleId="TFChar">
    <w:name w:val="TF Char"/>
    <w:link w:val="TF"/>
    <w:rsid w:val="0047515A"/>
    <w:rPr>
      <w:rFonts w:ascii="Arial" w:hAnsi="Arial"/>
      <w:b/>
      <w:lang w:val="en-GB" w:eastAsia="en-US"/>
    </w:rPr>
  </w:style>
  <w:style w:type="character" w:customStyle="1" w:styleId="NOZchn">
    <w:name w:val="NO Zchn"/>
    <w:link w:val="NO"/>
    <w:rsid w:val="0047515A"/>
    <w:rPr>
      <w:rFonts w:ascii="Times New Roman" w:hAnsi="Times New Roman"/>
      <w:lang w:val="en-GB" w:eastAsia="en-US"/>
    </w:rPr>
  </w:style>
  <w:style w:type="character" w:customStyle="1" w:styleId="Heading4Char">
    <w:name w:val="Heading 4 Char"/>
    <w:link w:val="Heading4"/>
    <w:rsid w:val="0047515A"/>
    <w:rPr>
      <w:rFonts w:ascii="Arial" w:hAnsi="Arial"/>
      <w:sz w:val="24"/>
      <w:lang w:val="en-GB" w:eastAsia="en-US"/>
    </w:rPr>
  </w:style>
  <w:style w:type="character" w:customStyle="1" w:styleId="TAHChar">
    <w:name w:val="TAH Char"/>
    <w:link w:val="TAH"/>
    <w:qFormat/>
    <w:rsid w:val="00BE7482"/>
    <w:rPr>
      <w:rFonts w:ascii="Arial" w:hAnsi="Arial"/>
      <w:b/>
      <w:sz w:val="18"/>
      <w:lang w:val="en-GB" w:eastAsia="en-US"/>
    </w:rPr>
  </w:style>
  <w:style w:type="character" w:customStyle="1" w:styleId="TALChar">
    <w:name w:val="TAL Char"/>
    <w:link w:val="TAL"/>
    <w:qFormat/>
    <w:rsid w:val="00BE7482"/>
    <w:rPr>
      <w:rFonts w:ascii="Arial" w:hAnsi="Arial"/>
      <w:sz w:val="18"/>
      <w:lang w:val="en-GB" w:eastAsia="en-US"/>
    </w:rPr>
  </w:style>
  <w:style w:type="character" w:customStyle="1" w:styleId="EWChar">
    <w:name w:val="EW Char"/>
    <w:link w:val="EW"/>
    <w:locked/>
    <w:rsid w:val="0054614A"/>
    <w:rPr>
      <w:rFonts w:ascii="Times New Roman" w:hAnsi="Times New Roman"/>
      <w:lang w:val="en-GB" w:eastAsia="en-US"/>
    </w:rPr>
  </w:style>
  <w:style w:type="character" w:customStyle="1" w:styleId="TACChar">
    <w:name w:val="TAC Char"/>
    <w:link w:val="TAC"/>
    <w:qFormat/>
    <w:rsid w:val="0053109C"/>
    <w:rPr>
      <w:rFonts w:ascii="Arial" w:hAnsi="Arial"/>
      <w:sz w:val="18"/>
      <w:lang w:val="en-GB" w:eastAsia="en-US"/>
    </w:rPr>
  </w:style>
  <w:style w:type="paragraph" w:styleId="Revision">
    <w:name w:val="Revision"/>
    <w:hidden/>
    <w:uiPriority w:val="99"/>
    <w:semiHidden/>
    <w:rsid w:val="004C4140"/>
    <w:rPr>
      <w:rFonts w:ascii="Times New Roman" w:hAnsi="Times New Roman"/>
      <w:lang w:val="en-GB" w:eastAsia="en-US"/>
    </w:rPr>
  </w:style>
  <w:style w:type="character" w:customStyle="1" w:styleId="TANChar">
    <w:name w:val="TAN Char"/>
    <w:link w:val="TAN"/>
    <w:qFormat/>
    <w:rsid w:val="0002344F"/>
    <w:rPr>
      <w:rFonts w:ascii="Arial" w:hAnsi="Arial"/>
      <w:sz w:val="18"/>
      <w:lang w:val="en-GB" w:eastAsia="en-US"/>
    </w:rPr>
  </w:style>
  <w:style w:type="character" w:customStyle="1" w:styleId="Heading2Char">
    <w:name w:val="Heading 2 Char"/>
    <w:link w:val="Heading2"/>
    <w:rsid w:val="0002344F"/>
    <w:rPr>
      <w:rFonts w:ascii="Arial" w:hAnsi="Arial"/>
      <w:sz w:val="32"/>
      <w:lang w:val="en-GB" w:eastAsia="en-US"/>
    </w:rPr>
  </w:style>
  <w:style w:type="character" w:customStyle="1" w:styleId="Heading5Char">
    <w:name w:val="Heading 5 Char"/>
    <w:link w:val="Heading5"/>
    <w:rsid w:val="0002344F"/>
    <w:rPr>
      <w:rFonts w:ascii="Arial" w:hAnsi="Arial"/>
      <w:sz w:val="22"/>
      <w:lang w:val="en-GB" w:eastAsia="en-US"/>
    </w:rPr>
  </w:style>
  <w:style w:type="character" w:customStyle="1" w:styleId="EditorsNoteChar">
    <w:name w:val="Editor's Note Char"/>
    <w:aliases w:val="EN Char"/>
    <w:link w:val="EditorsNote"/>
    <w:qFormat/>
    <w:rsid w:val="00267C99"/>
    <w:rPr>
      <w:rFonts w:ascii="Times New Roman" w:hAnsi="Times New Roman"/>
      <w:color w:val="FF0000"/>
      <w:lang w:val="en-GB" w:eastAsia="en-US"/>
    </w:rPr>
  </w:style>
  <w:style w:type="character" w:customStyle="1" w:styleId="B2Char">
    <w:name w:val="B2 Char"/>
    <w:link w:val="B2"/>
    <w:qFormat/>
    <w:rsid w:val="00267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1335</Words>
  <Characters>8653</Characters>
  <Application>Microsoft Office Word</Application>
  <DocSecurity>0</DocSecurity>
  <Lines>72</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2022-01-09T09:41:00Z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