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1BDDD0" w14:textId="6A2E3904" w:rsidR="00F66A88" w:rsidRDefault="00F66A88" w:rsidP="00F66A88">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C1-250470</w:t>
      </w:r>
    </w:p>
    <w:p w14:paraId="49197AD5" w14:textId="77777777" w:rsidR="00F66A88" w:rsidRDefault="00F66A88" w:rsidP="00F66A88">
      <w:pPr>
        <w:pStyle w:val="CRCoverPage"/>
        <w:outlineLvl w:val="0"/>
        <w:rPr>
          <w:b/>
          <w:noProof/>
          <w:sz w:val="24"/>
        </w:rPr>
      </w:pPr>
      <w:r>
        <w:rPr>
          <w:b/>
          <w:noProof/>
          <w:sz w:val="24"/>
        </w:rPr>
        <w:t>Athens, Greece, 17-21 February 2025</w:t>
      </w:r>
    </w:p>
    <w:bookmarkEnd w:id="0"/>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09124A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14411">
        <w:rPr>
          <w:rFonts w:ascii="Arial" w:hAnsi="Arial" w:cs="Arial"/>
          <w:b/>
          <w:bCs/>
          <w:lang w:val="en-US"/>
        </w:rPr>
        <w:t>Google</w:t>
      </w:r>
    </w:p>
    <w:p w14:paraId="18BE02D5" w14:textId="000A08E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66A88" w:rsidRPr="00F66A88">
        <w:rPr>
          <w:rFonts w:ascii="Arial" w:hAnsi="Arial" w:cs="Arial"/>
          <w:b/>
          <w:bCs/>
          <w:lang w:val="en-US"/>
        </w:rPr>
        <w:t>Discussion on utilizing UAC for RAT restriction</w:t>
      </w:r>
    </w:p>
    <w:p w14:paraId="4ED68054" w14:textId="1E8F06F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66A88">
        <w:rPr>
          <w:rFonts w:ascii="Arial" w:hAnsi="Arial" w:cs="Arial"/>
          <w:b/>
          <w:bCs/>
          <w:lang w:val="en-US"/>
        </w:rPr>
        <w:t>19.15</w:t>
      </w:r>
    </w:p>
    <w:p w14:paraId="16060915" w14:textId="27FEBA1A" w:rsidR="00CD2478" w:rsidRPr="006B5418" w:rsidRDefault="00514411"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4EA823DD" w:rsidR="001E41F3" w:rsidRPr="006B5418" w:rsidRDefault="00CD2478" w:rsidP="00CD2478">
      <w:pPr>
        <w:pStyle w:val="CRCoverPage"/>
        <w:rPr>
          <w:b/>
          <w:lang w:val="en-US"/>
        </w:rPr>
      </w:pPr>
      <w:r w:rsidRPr="006B5418">
        <w:rPr>
          <w:b/>
          <w:lang w:val="en-US"/>
        </w:rPr>
        <w:t>1. Introduction</w:t>
      </w:r>
    </w:p>
    <w:p w14:paraId="14EB2BE3" w14:textId="611564A2" w:rsidR="00126126" w:rsidRDefault="00126126" w:rsidP="00CD2478">
      <w:pPr>
        <w:rPr>
          <w:lang w:val="en-US"/>
        </w:rPr>
      </w:pPr>
      <w:r>
        <w:rPr>
          <w:lang w:val="en-US"/>
        </w:rPr>
        <w:t>CT1 has worked on enhancing RAT utilization control mechanism for Rel-19 under WI ECRATU since last year. So far a mechanism providing a list of RATs which is allowed to use in the PLMN was agreed, with some variances on the message that provides the list or how the UE actually restrict the usage of specific RAT.</w:t>
      </w:r>
    </w:p>
    <w:p w14:paraId="0CC28D32" w14:textId="7BEA97F8" w:rsidR="00126126" w:rsidRDefault="00126126" w:rsidP="00CD2478">
      <w:pPr>
        <w:rPr>
          <w:lang w:val="en-US"/>
        </w:rPr>
      </w:pPr>
      <w:r>
        <w:rPr>
          <w:lang w:val="en-US"/>
        </w:rPr>
        <w:t>In this paper, we would like to propose an alternative solution which is simpler and can be applied in conjunction with the RAT utilization list approach.</w:t>
      </w:r>
    </w:p>
    <w:p w14:paraId="3AE8629E" w14:textId="77777777" w:rsidR="001B185C" w:rsidRDefault="001B185C" w:rsidP="003317C9">
      <w:pPr>
        <w:pStyle w:val="CRCoverPage"/>
        <w:rPr>
          <w:b/>
          <w:lang w:val="en-US"/>
        </w:rPr>
      </w:pPr>
    </w:p>
    <w:p w14:paraId="64D786C3" w14:textId="0FCCB27F" w:rsidR="003317C9" w:rsidRPr="006B5418" w:rsidRDefault="003317C9" w:rsidP="003317C9">
      <w:pPr>
        <w:pStyle w:val="CRCoverPage"/>
        <w:rPr>
          <w:b/>
          <w:lang w:val="en-US"/>
        </w:rPr>
      </w:pPr>
      <w:r w:rsidRPr="006B5418">
        <w:rPr>
          <w:b/>
          <w:lang w:val="en-US"/>
        </w:rPr>
        <w:t xml:space="preserve">2. </w:t>
      </w:r>
      <w:r>
        <w:rPr>
          <w:b/>
          <w:lang w:val="en-US"/>
        </w:rPr>
        <w:t>Discussion</w:t>
      </w:r>
    </w:p>
    <w:p w14:paraId="6AA3A4D4" w14:textId="77777777" w:rsidR="00126126" w:rsidRDefault="00126126" w:rsidP="00126126">
      <w:pPr>
        <w:rPr>
          <w:lang w:val="en-US"/>
        </w:rPr>
      </w:pPr>
      <w:r>
        <w:rPr>
          <w:lang w:val="en-US"/>
        </w:rPr>
        <w:t>While we analyzed the agreed solution of using RAT utilization list for implementation, we have spotted some limitations of the mechanism:</w:t>
      </w:r>
    </w:p>
    <w:p w14:paraId="145A29D9" w14:textId="77777777" w:rsidR="00126126" w:rsidRDefault="00126126" w:rsidP="00126126">
      <w:pPr>
        <w:pStyle w:val="ListParagraph"/>
        <w:numPr>
          <w:ilvl w:val="0"/>
          <w:numId w:val="3"/>
        </w:numPr>
        <w:rPr>
          <w:lang w:val="en-US"/>
        </w:rPr>
      </w:pPr>
      <w:r w:rsidRPr="00126126">
        <w:rPr>
          <w:lang w:val="en-US"/>
        </w:rPr>
        <w:t>The UE needs to contact the CN at least once in order to receive the RAT utilization information. This is same for the existing forbidden TA based approach. If a number of inbound (national) roaming UEs try to register to the network</w:t>
      </w:r>
      <w:r>
        <w:rPr>
          <w:lang w:val="en-US"/>
        </w:rPr>
        <w:t xml:space="preserve">, </w:t>
      </w:r>
      <w:r w:rsidRPr="00126126">
        <w:rPr>
          <w:lang w:val="en-US"/>
        </w:rPr>
        <w:t xml:space="preserve">they </w:t>
      </w:r>
      <w:r>
        <w:rPr>
          <w:lang w:val="en-US"/>
        </w:rPr>
        <w:t xml:space="preserve">of course </w:t>
      </w:r>
      <w:r w:rsidRPr="00126126">
        <w:rPr>
          <w:lang w:val="en-US"/>
        </w:rPr>
        <w:t>will not re-try for the restricted RAT after they received the RAT utilization information, but still the first attempts m</w:t>
      </w:r>
      <w:r>
        <w:rPr>
          <w:lang w:val="en-US"/>
        </w:rPr>
        <w:t>a</w:t>
      </w:r>
      <w:r w:rsidRPr="00126126">
        <w:rPr>
          <w:lang w:val="en-US"/>
        </w:rPr>
        <w:t>y bring a sudden overload to the netw</w:t>
      </w:r>
      <w:r>
        <w:rPr>
          <w:lang w:val="en-US"/>
        </w:rPr>
        <w:t>ork, or a specific RAN area.</w:t>
      </w:r>
    </w:p>
    <w:p w14:paraId="60D2F566" w14:textId="02AADF67" w:rsidR="00126126" w:rsidRPr="00126126" w:rsidRDefault="00126126" w:rsidP="0051549B">
      <w:pPr>
        <w:pStyle w:val="ListParagraph"/>
        <w:numPr>
          <w:ilvl w:val="0"/>
          <w:numId w:val="3"/>
        </w:numPr>
        <w:rPr>
          <w:lang w:val="en-US"/>
        </w:rPr>
      </w:pPr>
      <w:r w:rsidRPr="00126126">
        <w:rPr>
          <w:lang w:val="en-US"/>
        </w:rPr>
        <w:t xml:space="preserve">ECRATU is a brand new feature which is also optional, </w:t>
      </w:r>
      <w:r>
        <w:rPr>
          <w:lang w:val="en-US"/>
        </w:rPr>
        <w:t>so the operators does not implement the mechanism for their core network will not be able</w:t>
      </w:r>
      <w:r w:rsidR="0051549B">
        <w:rPr>
          <w:lang w:val="en-US"/>
        </w:rPr>
        <w:t xml:space="preserve"> to restrict the inbound roamers. If </w:t>
      </w:r>
      <w:r w:rsidRPr="00126126">
        <w:rPr>
          <w:lang w:val="en-US"/>
        </w:rPr>
        <w:t xml:space="preserve">an alternative solution based on the existing mechanism </w:t>
      </w:r>
      <w:r w:rsidR="0051549B">
        <w:rPr>
          <w:lang w:val="en-US"/>
        </w:rPr>
        <w:t xml:space="preserve">can be introduced, it </w:t>
      </w:r>
      <w:r w:rsidRPr="00126126">
        <w:rPr>
          <w:lang w:val="en-US"/>
        </w:rPr>
        <w:t xml:space="preserve">would </w:t>
      </w:r>
      <w:r w:rsidR="0051549B">
        <w:rPr>
          <w:lang w:val="en-US"/>
        </w:rPr>
        <w:t>be beneficial for the operators.</w:t>
      </w:r>
    </w:p>
    <w:p w14:paraId="085094D6" w14:textId="3D5C0E81" w:rsidR="0051549B" w:rsidRDefault="0051549B" w:rsidP="0051549B">
      <w:pPr>
        <w:rPr>
          <w:lang w:val="en-US"/>
        </w:rPr>
      </w:pPr>
      <w:r>
        <w:rPr>
          <w:lang w:val="en-US"/>
        </w:rPr>
        <w:t>Also in the Work Item Description for ECRATU, the main target scenario that the work item is trying to resolve is to restrict the usage of specific RAT for the national roamers, as follows:</w:t>
      </w:r>
    </w:p>
    <w:p w14:paraId="449C265F" w14:textId="496401C4" w:rsidR="0051549B" w:rsidRDefault="0051549B" w:rsidP="0051549B">
      <w:pPr>
        <w:ind w:left="284"/>
        <w:rPr>
          <w:lang w:val="en-US"/>
        </w:rPr>
      </w:pPr>
      <w:r>
        <w:rPr>
          <w:lang w:val="en-US"/>
        </w:rPr>
        <w:t>“</w:t>
      </w:r>
      <w:r w:rsidRPr="00BE7310">
        <w:rPr>
          <w:lang w:val="en-US"/>
        </w:rPr>
        <w:t xml:space="preserve">National roaming services </w:t>
      </w:r>
      <w:r w:rsidRPr="007E00B3">
        <w:rPr>
          <w:lang w:val="en-US"/>
        </w:rPr>
        <w:t>are vital for ensuring seamless connectivity</w:t>
      </w:r>
      <w:r w:rsidRPr="00BE7310">
        <w:rPr>
          <w:lang w:val="en-US"/>
        </w:rPr>
        <w:t xml:space="preserve">, especially in areas where </w:t>
      </w:r>
      <w:r>
        <w:rPr>
          <w:lang w:val="en-US"/>
        </w:rPr>
        <w:t>the</w:t>
      </w:r>
      <w:r w:rsidRPr="00BE7310">
        <w:rPr>
          <w:lang w:val="en-US"/>
        </w:rPr>
        <w:t xml:space="preserve"> primary network operator lacks coverage. </w:t>
      </w:r>
      <w:r>
        <w:rPr>
          <w:lang w:val="en-US"/>
        </w:rPr>
        <w:t xml:space="preserve">Allowing </w:t>
      </w:r>
      <w:r w:rsidRPr="00724E0F">
        <w:rPr>
          <w:lang w:val="en-US"/>
        </w:rPr>
        <w:t>unrestricted use of Radio Access Technologies (RAT) for national roam</w:t>
      </w:r>
      <w:r>
        <w:rPr>
          <w:lang w:val="en-US"/>
        </w:rPr>
        <w:t>ers</w:t>
      </w:r>
      <w:r w:rsidRPr="00724E0F">
        <w:rPr>
          <w:lang w:val="en-US"/>
        </w:rPr>
        <w:t xml:space="preserve"> </w:t>
      </w:r>
      <w:r>
        <w:rPr>
          <w:lang w:val="en-US"/>
        </w:rPr>
        <w:t>can</w:t>
      </w:r>
      <w:r w:rsidRPr="00724E0F">
        <w:rPr>
          <w:lang w:val="en-US"/>
        </w:rPr>
        <w:t xml:space="preserve"> </w:t>
      </w:r>
      <w:r>
        <w:rPr>
          <w:lang w:val="en-US"/>
        </w:rPr>
        <w:t>result in</w:t>
      </w:r>
      <w:r w:rsidRPr="00724E0F">
        <w:rPr>
          <w:lang w:val="en-US"/>
        </w:rPr>
        <w:t xml:space="preserve"> technical challenges</w:t>
      </w:r>
      <w:r>
        <w:rPr>
          <w:lang w:val="en-US"/>
        </w:rPr>
        <w:t xml:space="preserve"> including i</w:t>
      </w:r>
      <w:r w:rsidRPr="00B935BF">
        <w:rPr>
          <w:lang w:val="en-US"/>
        </w:rPr>
        <w:t>nteroperability</w:t>
      </w:r>
      <w:r>
        <w:rPr>
          <w:lang w:val="en-US"/>
        </w:rPr>
        <w:t xml:space="preserve"> issues, q</w:t>
      </w:r>
      <w:r w:rsidRPr="00B935BF">
        <w:rPr>
          <w:lang w:val="en-US"/>
        </w:rPr>
        <w:t xml:space="preserve">uality of </w:t>
      </w:r>
      <w:r>
        <w:rPr>
          <w:lang w:val="en-US"/>
        </w:rPr>
        <w:t>s</w:t>
      </w:r>
      <w:r w:rsidRPr="00B935BF">
        <w:rPr>
          <w:lang w:val="en-US"/>
        </w:rPr>
        <w:t xml:space="preserve">ervice </w:t>
      </w:r>
      <w:r>
        <w:rPr>
          <w:lang w:val="en-US"/>
        </w:rPr>
        <w:t>concerns and n</w:t>
      </w:r>
      <w:r w:rsidRPr="00B935BF">
        <w:rPr>
          <w:lang w:val="en-US"/>
        </w:rPr>
        <w:t xml:space="preserve">etwork </w:t>
      </w:r>
      <w:r>
        <w:rPr>
          <w:lang w:val="en-US"/>
        </w:rPr>
        <w:t>c</w:t>
      </w:r>
      <w:r w:rsidRPr="00B935BF">
        <w:rPr>
          <w:lang w:val="en-US"/>
        </w:rPr>
        <w:t xml:space="preserve">ongestion </w:t>
      </w:r>
      <w:r>
        <w:rPr>
          <w:lang w:val="en-US"/>
        </w:rPr>
        <w:t>concerns.”</w:t>
      </w:r>
    </w:p>
    <w:p w14:paraId="33F37777" w14:textId="3ACC3A35" w:rsidR="00126126" w:rsidRDefault="00126126" w:rsidP="00126126">
      <w:pPr>
        <w:rPr>
          <w:lang w:val="en-US"/>
        </w:rPr>
      </w:pPr>
      <w:r w:rsidRPr="00126126">
        <w:rPr>
          <w:lang w:val="en-US"/>
        </w:rPr>
        <w:t xml:space="preserve">For the </w:t>
      </w:r>
      <w:r w:rsidR="0051549B" w:rsidRPr="00126126">
        <w:rPr>
          <w:lang w:val="en-US"/>
        </w:rPr>
        <w:t>limitatio</w:t>
      </w:r>
      <w:r w:rsidR="0051549B">
        <w:rPr>
          <w:lang w:val="en-US"/>
        </w:rPr>
        <w:t>ns</w:t>
      </w:r>
      <w:r w:rsidRPr="00126126">
        <w:rPr>
          <w:lang w:val="en-US"/>
        </w:rPr>
        <w:t xml:space="preserve"> above, one direction is prohibiting the access attempt from the UE before </w:t>
      </w:r>
      <w:r w:rsidR="0051549B">
        <w:rPr>
          <w:lang w:val="en-US"/>
        </w:rPr>
        <w:t>it attempts to access radio resources</w:t>
      </w:r>
      <w:r w:rsidRPr="00126126">
        <w:rPr>
          <w:lang w:val="en-US"/>
        </w:rPr>
        <w:t xml:space="preserve">, which is usually done by an access control mechanism. For 5G, which is the main target system that the ECRATU work item intends to restrict a specific access of, </w:t>
      </w:r>
      <w:r w:rsidR="0051549B">
        <w:rPr>
          <w:lang w:val="en-US"/>
        </w:rPr>
        <w:t xml:space="preserve">the </w:t>
      </w:r>
      <w:r w:rsidRPr="00126126">
        <w:rPr>
          <w:lang w:val="en-US"/>
        </w:rPr>
        <w:t>UAC</w:t>
      </w:r>
      <w:r w:rsidR="0051549B">
        <w:rPr>
          <w:lang w:val="en-US"/>
        </w:rPr>
        <w:t xml:space="preserve"> (Unified Access Control)</w:t>
      </w:r>
      <w:r w:rsidRPr="00126126">
        <w:rPr>
          <w:lang w:val="en-US"/>
        </w:rPr>
        <w:t xml:space="preserve"> is the </w:t>
      </w:r>
      <w:r w:rsidR="0051549B">
        <w:rPr>
          <w:lang w:val="en-US"/>
        </w:rPr>
        <w:t xml:space="preserve">only </w:t>
      </w:r>
      <w:r w:rsidRPr="00126126">
        <w:rPr>
          <w:lang w:val="en-US"/>
        </w:rPr>
        <w:t>access control mechanism which consists of access identity and access category, as described in clause 4.5 of 3GPP TS 24.501.</w:t>
      </w:r>
    </w:p>
    <w:p w14:paraId="47E1CD35" w14:textId="3CAB603F" w:rsidR="0051549B" w:rsidRDefault="0051549B" w:rsidP="00126126">
      <w:pPr>
        <w:rPr>
          <w:lang w:val="en-US"/>
        </w:rPr>
      </w:pPr>
      <w:r w:rsidRPr="0051549B">
        <w:rPr>
          <w:b/>
          <w:u w:val="single"/>
          <w:lang w:val="en-US"/>
        </w:rPr>
        <w:t>Observation 1</w:t>
      </w:r>
      <w:r>
        <w:rPr>
          <w:lang w:val="en-US"/>
        </w:rPr>
        <w:t>. Using an access control mechanism can be more efficient for restricting inbound roaming UEs to access a specific RAT in the 5GS, without potential overload brought by the first access attempt.</w:t>
      </w:r>
    </w:p>
    <w:p w14:paraId="140C982B" w14:textId="77777777" w:rsidR="0051549B" w:rsidRPr="00126126" w:rsidRDefault="0051549B" w:rsidP="00126126">
      <w:pPr>
        <w:rPr>
          <w:lang w:val="en-US"/>
        </w:rPr>
      </w:pPr>
    </w:p>
    <w:p w14:paraId="51D42D02" w14:textId="1A53A105" w:rsidR="00126126" w:rsidRDefault="00126126" w:rsidP="00126126">
      <w:pPr>
        <w:rPr>
          <w:lang w:val="en-US"/>
        </w:rPr>
      </w:pPr>
      <w:r w:rsidRPr="00126126">
        <w:rPr>
          <w:lang w:val="en-US"/>
        </w:rPr>
        <w:t>For those inbound roaming UEs to be restricted, the characteristic of those access attempts would be varying, not a single type of access attempts characterized by an access category. Rather it would be a characteristic of a certain type of UEs, which is “national inbound roaming”. So it would be a</w:t>
      </w:r>
      <w:r w:rsidR="0051549B">
        <w:rPr>
          <w:lang w:val="en-US"/>
        </w:rPr>
        <w:t>n</w:t>
      </w:r>
      <w:r w:rsidRPr="00126126">
        <w:rPr>
          <w:lang w:val="en-US"/>
        </w:rPr>
        <w:t xml:space="preserve"> access identity that can characterize the national inbound roaming UEs.</w:t>
      </w:r>
      <w:r w:rsidR="00DE7A55">
        <w:rPr>
          <w:lang w:val="en-US"/>
        </w:rPr>
        <w:t xml:space="preserve"> </w:t>
      </w:r>
    </w:p>
    <w:p w14:paraId="5F4BE323" w14:textId="435DC154" w:rsidR="0051549B" w:rsidRDefault="0051549B" w:rsidP="0051549B">
      <w:pPr>
        <w:rPr>
          <w:lang w:val="en-US"/>
        </w:rPr>
      </w:pPr>
      <w:r w:rsidRPr="0051549B">
        <w:rPr>
          <w:b/>
          <w:u w:val="single"/>
          <w:lang w:val="en-US"/>
        </w:rPr>
        <w:t xml:space="preserve">Observation </w:t>
      </w:r>
      <w:r>
        <w:rPr>
          <w:b/>
          <w:u w:val="single"/>
          <w:lang w:val="en-US"/>
        </w:rPr>
        <w:t>2</w:t>
      </w:r>
      <w:r>
        <w:rPr>
          <w:lang w:val="en-US"/>
        </w:rPr>
        <w:t>. It would be an access identity that can categorize a group of UEs of national inbound roaming, rather than access categories.</w:t>
      </w:r>
    </w:p>
    <w:p w14:paraId="7ECE9C90" w14:textId="7D0B6D14" w:rsidR="00510D32" w:rsidRDefault="00510D32" w:rsidP="0051549B">
      <w:pPr>
        <w:rPr>
          <w:lang w:val="en-US"/>
        </w:rPr>
      </w:pPr>
      <w:r>
        <w:rPr>
          <w:lang w:val="en-US"/>
        </w:rPr>
        <w:t>For example, the table 4.5.2.1 in TS 24.301 might need to be updated as follows:</w:t>
      </w:r>
    </w:p>
    <w:p w14:paraId="6DEAF956" w14:textId="77777777" w:rsidR="00510D32" w:rsidRDefault="00510D32" w:rsidP="00510D32">
      <w:pPr>
        <w:pStyle w:val="TH"/>
        <w:rPr>
          <w:lang w:eastAsia="en-GB"/>
        </w:rPr>
      </w:pPr>
      <w:bookmarkStart w:id="1" w:name="_CRTable4_5_2_1"/>
      <w:r>
        <w:lastRenderedPageBreak/>
        <w:t>Table</w:t>
      </w:r>
      <w:r>
        <w:rPr>
          <w:noProof/>
        </w:rPr>
        <w:t> </w:t>
      </w:r>
      <w:bookmarkEnd w:id="1"/>
      <w:r>
        <w:t>4.5.2.1: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510D32" w14:paraId="173A2737" w14:textId="77777777" w:rsidTr="00510D32">
        <w:trPr>
          <w:jc w:val="center"/>
        </w:trPr>
        <w:tc>
          <w:tcPr>
            <w:tcW w:w="2127" w:type="dxa"/>
            <w:tcBorders>
              <w:top w:val="single" w:sz="12" w:space="0" w:color="auto"/>
              <w:left w:val="single" w:sz="12" w:space="0" w:color="auto"/>
              <w:bottom w:val="single" w:sz="12" w:space="0" w:color="auto"/>
              <w:right w:val="single" w:sz="6" w:space="0" w:color="auto"/>
            </w:tcBorders>
            <w:hideMark/>
          </w:tcPr>
          <w:p w14:paraId="6A6C5A9D" w14:textId="77777777" w:rsidR="00510D32" w:rsidRDefault="00510D32">
            <w:pPr>
              <w:pStyle w:val="TAH"/>
            </w:pPr>
            <w:r>
              <w:t>Access Identity number</w:t>
            </w:r>
          </w:p>
        </w:tc>
        <w:tc>
          <w:tcPr>
            <w:tcW w:w="6761" w:type="dxa"/>
            <w:tcBorders>
              <w:top w:val="single" w:sz="12" w:space="0" w:color="auto"/>
              <w:left w:val="single" w:sz="6" w:space="0" w:color="auto"/>
              <w:bottom w:val="single" w:sz="12" w:space="0" w:color="auto"/>
              <w:right w:val="single" w:sz="12" w:space="0" w:color="auto"/>
            </w:tcBorders>
            <w:hideMark/>
          </w:tcPr>
          <w:p w14:paraId="59DD3B56" w14:textId="77777777" w:rsidR="00510D32" w:rsidRDefault="00510D32">
            <w:pPr>
              <w:pStyle w:val="TAH"/>
            </w:pPr>
            <w:r>
              <w:t>UE configuration</w:t>
            </w:r>
          </w:p>
        </w:tc>
      </w:tr>
      <w:tr w:rsidR="00510D32" w14:paraId="37AF22D5" w14:textId="77777777" w:rsidTr="00510D32">
        <w:trPr>
          <w:jc w:val="center"/>
        </w:trPr>
        <w:tc>
          <w:tcPr>
            <w:tcW w:w="2127" w:type="dxa"/>
            <w:tcBorders>
              <w:top w:val="single" w:sz="12" w:space="0" w:color="auto"/>
              <w:left w:val="single" w:sz="12" w:space="0" w:color="auto"/>
              <w:bottom w:val="single" w:sz="6" w:space="0" w:color="auto"/>
              <w:right w:val="single" w:sz="6" w:space="0" w:color="auto"/>
            </w:tcBorders>
            <w:hideMark/>
          </w:tcPr>
          <w:p w14:paraId="2CFF1BB5" w14:textId="77777777" w:rsidR="00510D32" w:rsidRDefault="00510D32">
            <w:pPr>
              <w:pStyle w:val="TAC"/>
              <w:rPr>
                <w:lang w:eastAsia="ja-JP"/>
              </w:rPr>
            </w:pPr>
            <w:r>
              <w:rPr>
                <w:lang w:eastAsia="ja-JP"/>
              </w:rPr>
              <w:t>0</w:t>
            </w:r>
          </w:p>
        </w:tc>
        <w:tc>
          <w:tcPr>
            <w:tcW w:w="6761" w:type="dxa"/>
            <w:tcBorders>
              <w:top w:val="single" w:sz="12" w:space="0" w:color="auto"/>
              <w:left w:val="single" w:sz="6" w:space="0" w:color="auto"/>
              <w:bottom w:val="single" w:sz="6" w:space="0" w:color="auto"/>
              <w:right w:val="single" w:sz="12" w:space="0" w:color="auto"/>
            </w:tcBorders>
            <w:hideMark/>
          </w:tcPr>
          <w:p w14:paraId="51D6C778" w14:textId="77777777" w:rsidR="00510D32" w:rsidRDefault="00510D32">
            <w:pPr>
              <w:pStyle w:val="TAC"/>
              <w:rPr>
                <w:lang w:eastAsia="ja-JP"/>
              </w:rPr>
            </w:pPr>
            <w:r>
              <w:rPr>
                <w:lang w:eastAsia="ja-JP"/>
              </w:rPr>
              <w:t>UE is not configured with any parameters from this table</w:t>
            </w:r>
          </w:p>
        </w:tc>
      </w:tr>
      <w:tr w:rsidR="00510D32" w14:paraId="16F69C42" w14:textId="77777777" w:rsidTr="00510D32">
        <w:trPr>
          <w:jc w:val="center"/>
        </w:trPr>
        <w:tc>
          <w:tcPr>
            <w:tcW w:w="2127" w:type="dxa"/>
            <w:tcBorders>
              <w:top w:val="single" w:sz="6" w:space="0" w:color="auto"/>
              <w:left w:val="single" w:sz="12" w:space="0" w:color="auto"/>
              <w:bottom w:val="single" w:sz="6" w:space="0" w:color="auto"/>
              <w:right w:val="single" w:sz="6" w:space="0" w:color="auto"/>
            </w:tcBorders>
            <w:hideMark/>
          </w:tcPr>
          <w:p w14:paraId="54D80FDB" w14:textId="77777777" w:rsidR="00510D32" w:rsidRDefault="00510D32">
            <w:pPr>
              <w:pStyle w:val="TAC"/>
              <w:rPr>
                <w:lang w:eastAsia="ja-JP"/>
              </w:rPr>
            </w:pPr>
            <w:r>
              <w:rPr>
                <w:lang w:eastAsia="ja-JP"/>
              </w:rPr>
              <w:t>1 (NOTE 1)</w:t>
            </w:r>
          </w:p>
        </w:tc>
        <w:tc>
          <w:tcPr>
            <w:tcW w:w="6761" w:type="dxa"/>
            <w:tcBorders>
              <w:top w:val="single" w:sz="6" w:space="0" w:color="auto"/>
              <w:left w:val="single" w:sz="6" w:space="0" w:color="auto"/>
              <w:bottom w:val="single" w:sz="6" w:space="0" w:color="auto"/>
              <w:right w:val="single" w:sz="12" w:space="0" w:color="auto"/>
            </w:tcBorders>
            <w:hideMark/>
          </w:tcPr>
          <w:p w14:paraId="7FE53386" w14:textId="77777777" w:rsidR="00510D32" w:rsidRDefault="00510D32">
            <w:pPr>
              <w:pStyle w:val="TAC"/>
              <w:rPr>
                <w:lang w:eastAsia="ja-JP"/>
              </w:rPr>
            </w:pPr>
            <w:r>
              <w:rPr>
                <w:lang w:eastAsia="ja-JP"/>
              </w:rPr>
              <w:t>UE is configured for multimedia priority service (MPS).</w:t>
            </w:r>
          </w:p>
        </w:tc>
      </w:tr>
      <w:tr w:rsidR="00510D32" w14:paraId="168A6808" w14:textId="77777777" w:rsidTr="00510D32">
        <w:trPr>
          <w:jc w:val="center"/>
        </w:trPr>
        <w:tc>
          <w:tcPr>
            <w:tcW w:w="2127" w:type="dxa"/>
            <w:tcBorders>
              <w:top w:val="single" w:sz="6" w:space="0" w:color="auto"/>
              <w:left w:val="single" w:sz="12" w:space="0" w:color="auto"/>
              <w:bottom w:val="single" w:sz="6" w:space="0" w:color="auto"/>
              <w:right w:val="single" w:sz="6" w:space="0" w:color="auto"/>
            </w:tcBorders>
            <w:hideMark/>
          </w:tcPr>
          <w:p w14:paraId="0DD55E21" w14:textId="77777777" w:rsidR="00510D32" w:rsidRDefault="00510D32">
            <w:pPr>
              <w:pStyle w:val="TAC"/>
              <w:rPr>
                <w:lang w:eastAsia="ja-JP"/>
              </w:rPr>
            </w:pPr>
            <w:r>
              <w:rPr>
                <w:lang w:eastAsia="ja-JP"/>
              </w:rPr>
              <w:t>2 (NOTE 2)</w:t>
            </w:r>
          </w:p>
        </w:tc>
        <w:tc>
          <w:tcPr>
            <w:tcW w:w="6761" w:type="dxa"/>
            <w:tcBorders>
              <w:top w:val="single" w:sz="6" w:space="0" w:color="auto"/>
              <w:left w:val="single" w:sz="6" w:space="0" w:color="auto"/>
              <w:bottom w:val="single" w:sz="6" w:space="0" w:color="auto"/>
              <w:right w:val="single" w:sz="12" w:space="0" w:color="auto"/>
            </w:tcBorders>
            <w:hideMark/>
          </w:tcPr>
          <w:p w14:paraId="4D88DCC6" w14:textId="77777777" w:rsidR="00510D32" w:rsidRDefault="00510D32">
            <w:pPr>
              <w:pStyle w:val="TAC"/>
              <w:rPr>
                <w:lang w:eastAsia="ja-JP"/>
              </w:rPr>
            </w:pPr>
            <w:r>
              <w:rPr>
                <w:lang w:eastAsia="ja-JP"/>
              </w:rPr>
              <w:t>UE is configured for mission critical service (MCS).</w:t>
            </w:r>
          </w:p>
        </w:tc>
      </w:tr>
      <w:tr w:rsidR="00510D32" w14:paraId="4461A217" w14:textId="77777777" w:rsidTr="00510D32">
        <w:trPr>
          <w:jc w:val="center"/>
        </w:trPr>
        <w:tc>
          <w:tcPr>
            <w:tcW w:w="2127" w:type="dxa"/>
            <w:tcBorders>
              <w:top w:val="single" w:sz="6" w:space="0" w:color="auto"/>
              <w:left w:val="single" w:sz="12" w:space="0" w:color="auto"/>
              <w:bottom w:val="single" w:sz="6" w:space="0" w:color="auto"/>
              <w:right w:val="single" w:sz="6" w:space="0" w:color="auto"/>
            </w:tcBorders>
            <w:hideMark/>
          </w:tcPr>
          <w:p w14:paraId="56C5B50D" w14:textId="77777777" w:rsidR="00510D32" w:rsidRDefault="00510D32">
            <w:pPr>
              <w:pStyle w:val="TAC"/>
              <w:rPr>
                <w:lang w:eastAsia="ja-JP"/>
              </w:rPr>
            </w:pPr>
            <w:r>
              <w:rPr>
                <w:lang w:eastAsia="ja-JP"/>
              </w:rPr>
              <w:t>3 (NOTE 4)</w:t>
            </w:r>
          </w:p>
        </w:tc>
        <w:tc>
          <w:tcPr>
            <w:tcW w:w="6761" w:type="dxa"/>
            <w:tcBorders>
              <w:top w:val="single" w:sz="6" w:space="0" w:color="auto"/>
              <w:left w:val="single" w:sz="6" w:space="0" w:color="auto"/>
              <w:bottom w:val="single" w:sz="6" w:space="0" w:color="auto"/>
              <w:right w:val="single" w:sz="12" w:space="0" w:color="auto"/>
            </w:tcBorders>
            <w:hideMark/>
          </w:tcPr>
          <w:p w14:paraId="79BF8BC3" w14:textId="77777777" w:rsidR="00510D32" w:rsidRDefault="00510D32">
            <w:pPr>
              <w:pStyle w:val="TAC"/>
              <w:rPr>
                <w:lang w:eastAsia="ja-JP"/>
              </w:rPr>
            </w:pPr>
            <w:r>
              <w:rPr>
                <w:lang w:eastAsia="ko-KR"/>
              </w:rPr>
              <w:t>UE for which a disaster condition applies</w:t>
            </w:r>
          </w:p>
        </w:tc>
      </w:tr>
      <w:tr w:rsidR="00510D32" w14:paraId="289996FD" w14:textId="77777777" w:rsidTr="00510D32">
        <w:trPr>
          <w:jc w:val="center"/>
        </w:trPr>
        <w:tc>
          <w:tcPr>
            <w:tcW w:w="2127" w:type="dxa"/>
            <w:tcBorders>
              <w:top w:val="single" w:sz="6" w:space="0" w:color="auto"/>
              <w:left w:val="single" w:sz="12" w:space="0" w:color="auto"/>
              <w:bottom w:val="single" w:sz="6" w:space="0" w:color="auto"/>
              <w:right w:val="single" w:sz="6" w:space="0" w:color="auto"/>
            </w:tcBorders>
            <w:shd w:val="clear" w:color="auto" w:fill="DEEAF6" w:themeFill="accent5" w:themeFillTint="33"/>
          </w:tcPr>
          <w:p w14:paraId="149EED9B" w14:textId="470D6DCE" w:rsidR="00510D32" w:rsidRDefault="00510D32">
            <w:pPr>
              <w:pStyle w:val="TAC"/>
              <w:rPr>
                <w:lang w:eastAsia="ja-JP"/>
              </w:rPr>
            </w:pPr>
            <w:r>
              <w:rPr>
                <w:lang w:eastAsia="ja-JP"/>
              </w:rPr>
              <w:t>4 (NOTE 5)</w:t>
            </w:r>
          </w:p>
        </w:tc>
        <w:tc>
          <w:tcPr>
            <w:tcW w:w="6761" w:type="dxa"/>
            <w:tcBorders>
              <w:top w:val="single" w:sz="6" w:space="0" w:color="auto"/>
              <w:left w:val="single" w:sz="6" w:space="0" w:color="auto"/>
              <w:bottom w:val="single" w:sz="6" w:space="0" w:color="auto"/>
              <w:right w:val="single" w:sz="12" w:space="0" w:color="auto"/>
            </w:tcBorders>
            <w:shd w:val="clear" w:color="auto" w:fill="DEEAF6" w:themeFill="accent5" w:themeFillTint="33"/>
          </w:tcPr>
          <w:p w14:paraId="300E1DCA" w14:textId="4D65DF1A" w:rsidR="00510D32" w:rsidRDefault="00510D32" w:rsidP="00510D32">
            <w:pPr>
              <w:pStyle w:val="TAC"/>
              <w:rPr>
                <w:lang w:eastAsia="ko-KR"/>
              </w:rPr>
            </w:pPr>
            <w:r>
              <w:rPr>
                <w:lang w:eastAsia="ko-KR"/>
              </w:rPr>
              <w:t>UE for national inbound roaming</w:t>
            </w:r>
          </w:p>
        </w:tc>
      </w:tr>
      <w:tr w:rsidR="00510D32" w14:paraId="4F247456" w14:textId="77777777" w:rsidTr="00510D32">
        <w:trPr>
          <w:jc w:val="center"/>
        </w:trPr>
        <w:tc>
          <w:tcPr>
            <w:tcW w:w="2127" w:type="dxa"/>
            <w:tcBorders>
              <w:top w:val="single" w:sz="6" w:space="0" w:color="auto"/>
              <w:left w:val="single" w:sz="12" w:space="0" w:color="auto"/>
              <w:bottom w:val="single" w:sz="6" w:space="0" w:color="auto"/>
              <w:right w:val="single" w:sz="6" w:space="0" w:color="auto"/>
            </w:tcBorders>
            <w:hideMark/>
          </w:tcPr>
          <w:p w14:paraId="709415B5" w14:textId="60FE74BC" w:rsidR="00510D32" w:rsidRDefault="00510D32">
            <w:pPr>
              <w:pStyle w:val="TAC"/>
              <w:rPr>
                <w:lang w:eastAsia="ja-JP"/>
              </w:rPr>
            </w:pPr>
            <w:r>
              <w:rPr>
                <w:lang w:eastAsia="ja-JP"/>
              </w:rPr>
              <w:t>5</w:t>
            </w:r>
            <w:r>
              <w:rPr>
                <w:lang w:eastAsia="ja-JP"/>
              </w:rPr>
              <w:t>-10</w:t>
            </w:r>
          </w:p>
        </w:tc>
        <w:tc>
          <w:tcPr>
            <w:tcW w:w="6761" w:type="dxa"/>
            <w:tcBorders>
              <w:top w:val="single" w:sz="6" w:space="0" w:color="auto"/>
              <w:left w:val="single" w:sz="6" w:space="0" w:color="auto"/>
              <w:bottom w:val="single" w:sz="6" w:space="0" w:color="auto"/>
              <w:right w:val="single" w:sz="12" w:space="0" w:color="auto"/>
            </w:tcBorders>
            <w:hideMark/>
          </w:tcPr>
          <w:p w14:paraId="7C11BA49" w14:textId="77777777" w:rsidR="00510D32" w:rsidRDefault="00510D32">
            <w:pPr>
              <w:pStyle w:val="TAC"/>
              <w:rPr>
                <w:lang w:eastAsia="ja-JP"/>
              </w:rPr>
            </w:pPr>
            <w:r>
              <w:rPr>
                <w:lang w:eastAsia="ja-JP"/>
              </w:rPr>
              <w:t>Reserved for future use</w:t>
            </w:r>
          </w:p>
        </w:tc>
      </w:tr>
      <w:tr w:rsidR="00510D32" w14:paraId="4789942C" w14:textId="77777777" w:rsidTr="00510D32">
        <w:trPr>
          <w:trHeight w:val="252"/>
          <w:jc w:val="center"/>
        </w:trPr>
        <w:tc>
          <w:tcPr>
            <w:tcW w:w="2127" w:type="dxa"/>
            <w:tcBorders>
              <w:top w:val="single" w:sz="6" w:space="0" w:color="auto"/>
              <w:left w:val="single" w:sz="12" w:space="0" w:color="auto"/>
              <w:bottom w:val="single" w:sz="6" w:space="0" w:color="auto"/>
              <w:right w:val="single" w:sz="6" w:space="0" w:color="auto"/>
            </w:tcBorders>
            <w:hideMark/>
          </w:tcPr>
          <w:p w14:paraId="448FDDC9" w14:textId="77777777" w:rsidR="00510D32" w:rsidRDefault="00510D32">
            <w:pPr>
              <w:pStyle w:val="TAC"/>
              <w:rPr>
                <w:lang w:eastAsia="ja-JP"/>
              </w:rPr>
            </w:pPr>
            <w:r>
              <w:rPr>
                <w:lang w:eastAsia="ja-JP"/>
              </w:rPr>
              <w:t>11 (NOTE 3)</w:t>
            </w:r>
          </w:p>
        </w:tc>
        <w:tc>
          <w:tcPr>
            <w:tcW w:w="6761" w:type="dxa"/>
            <w:tcBorders>
              <w:top w:val="single" w:sz="6" w:space="0" w:color="auto"/>
              <w:left w:val="single" w:sz="6" w:space="0" w:color="auto"/>
              <w:bottom w:val="single" w:sz="6" w:space="0" w:color="auto"/>
              <w:right w:val="single" w:sz="12" w:space="0" w:color="auto"/>
            </w:tcBorders>
            <w:hideMark/>
          </w:tcPr>
          <w:p w14:paraId="5E3C39FD" w14:textId="77777777" w:rsidR="00510D32" w:rsidRDefault="00510D32">
            <w:pPr>
              <w:pStyle w:val="TAC"/>
              <w:rPr>
                <w:lang w:eastAsia="ja-JP"/>
              </w:rPr>
            </w:pPr>
            <w:r>
              <w:rPr>
                <w:lang w:eastAsia="ja-JP"/>
              </w:rPr>
              <w:t>Access Class 11 is configured in the UE.</w:t>
            </w:r>
          </w:p>
        </w:tc>
      </w:tr>
      <w:tr w:rsidR="00510D32" w14:paraId="5F8D4190" w14:textId="77777777" w:rsidTr="00510D32">
        <w:trPr>
          <w:jc w:val="center"/>
        </w:trPr>
        <w:tc>
          <w:tcPr>
            <w:tcW w:w="2127" w:type="dxa"/>
            <w:tcBorders>
              <w:top w:val="single" w:sz="6" w:space="0" w:color="auto"/>
              <w:left w:val="single" w:sz="12" w:space="0" w:color="auto"/>
              <w:bottom w:val="single" w:sz="6" w:space="0" w:color="auto"/>
              <w:right w:val="single" w:sz="6" w:space="0" w:color="auto"/>
            </w:tcBorders>
            <w:hideMark/>
          </w:tcPr>
          <w:p w14:paraId="04064018" w14:textId="77777777" w:rsidR="00510D32" w:rsidRDefault="00510D32">
            <w:pPr>
              <w:pStyle w:val="TAC"/>
              <w:rPr>
                <w:lang w:eastAsia="ja-JP"/>
              </w:rPr>
            </w:pPr>
            <w:r>
              <w:rPr>
                <w:lang w:eastAsia="ja-JP"/>
              </w:rPr>
              <w:t>12 (NOTE 3)</w:t>
            </w:r>
          </w:p>
        </w:tc>
        <w:tc>
          <w:tcPr>
            <w:tcW w:w="6761" w:type="dxa"/>
            <w:tcBorders>
              <w:top w:val="single" w:sz="6" w:space="0" w:color="auto"/>
              <w:left w:val="single" w:sz="6" w:space="0" w:color="auto"/>
              <w:bottom w:val="single" w:sz="6" w:space="0" w:color="auto"/>
              <w:right w:val="single" w:sz="12" w:space="0" w:color="auto"/>
            </w:tcBorders>
            <w:hideMark/>
          </w:tcPr>
          <w:p w14:paraId="7ED57F9A" w14:textId="77777777" w:rsidR="00510D32" w:rsidRDefault="00510D32">
            <w:pPr>
              <w:pStyle w:val="TAC"/>
              <w:rPr>
                <w:lang w:eastAsia="ja-JP"/>
              </w:rPr>
            </w:pPr>
            <w:r>
              <w:rPr>
                <w:lang w:eastAsia="ja-JP"/>
              </w:rPr>
              <w:t>Access Class 12 is configured in the UE.</w:t>
            </w:r>
          </w:p>
        </w:tc>
      </w:tr>
      <w:tr w:rsidR="00510D32" w14:paraId="6A535F4E" w14:textId="77777777" w:rsidTr="00510D32">
        <w:trPr>
          <w:jc w:val="center"/>
        </w:trPr>
        <w:tc>
          <w:tcPr>
            <w:tcW w:w="2127" w:type="dxa"/>
            <w:tcBorders>
              <w:top w:val="single" w:sz="6" w:space="0" w:color="auto"/>
              <w:left w:val="single" w:sz="12" w:space="0" w:color="auto"/>
              <w:bottom w:val="single" w:sz="6" w:space="0" w:color="auto"/>
              <w:right w:val="single" w:sz="6" w:space="0" w:color="auto"/>
            </w:tcBorders>
            <w:hideMark/>
          </w:tcPr>
          <w:p w14:paraId="49190CA6" w14:textId="77777777" w:rsidR="00510D32" w:rsidRDefault="00510D32">
            <w:pPr>
              <w:pStyle w:val="TAC"/>
              <w:rPr>
                <w:lang w:eastAsia="ja-JP"/>
              </w:rPr>
            </w:pPr>
            <w:r>
              <w:rPr>
                <w:lang w:eastAsia="ja-JP"/>
              </w:rPr>
              <w:t>13 (NOTE 3)</w:t>
            </w:r>
          </w:p>
        </w:tc>
        <w:tc>
          <w:tcPr>
            <w:tcW w:w="6761" w:type="dxa"/>
            <w:tcBorders>
              <w:top w:val="single" w:sz="6" w:space="0" w:color="auto"/>
              <w:left w:val="single" w:sz="6" w:space="0" w:color="auto"/>
              <w:bottom w:val="single" w:sz="6" w:space="0" w:color="auto"/>
              <w:right w:val="single" w:sz="12" w:space="0" w:color="auto"/>
            </w:tcBorders>
            <w:hideMark/>
          </w:tcPr>
          <w:p w14:paraId="61072640" w14:textId="77777777" w:rsidR="00510D32" w:rsidRDefault="00510D32">
            <w:pPr>
              <w:pStyle w:val="TAC"/>
              <w:rPr>
                <w:lang w:eastAsia="ja-JP"/>
              </w:rPr>
            </w:pPr>
            <w:r>
              <w:rPr>
                <w:lang w:eastAsia="ja-JP"/>
              </w:rPr>
              <w:t>Access Class 13 is configured in the UE.</w:t>
            </w:r>
          </w:p>
        </w:tc>
      </w:tr>
      <w:tr w:rsidR="00510D32" w14:paraId="113B263E" w14:textId="77777777" w:rsidTr="00510D32">
        <w:trPr>
          <w:jc w:val="center"/>
        </w:trPr>
        <w:tc>
          <w:tcPr>
            <w:tcW w:w="2127" w:type="dxa"/>
            <w:tcBorders>
              <w:top w:val="single" w:sz="6" w:space="0" w:color="auto"/>
              <w:left w:val="single" w:sz="12" w:space="0" w:color="auto"/>
              <w:bottom w:val="single" w:sz="6" w:space="0" w:color="auto"/>
              <w:right w:val="single" w:sz="6" w:space="0" w:color="auto"/>
            </w:tcBorders>
            <w:hideMark/>
          </w:tcPr>
          <w:p w14:paraId="1B7C2F6B" w14:textId="77777777" w:rsidR="00510D32" w:rsidRDefault="00510D32">
            <w:pPr>
              <w:pStyle w:val="TAC"/>
              <w:rPr>
                <w:lang w:eastAsia="ja-JP"/>
              </w:rPr>
            </w:pPr>
            <w:r>
              <w:rPr>
                <w:lang w:eastAsia="ja-JP"/>
              </w:rPr>
              <w:t>14 (NOTE 3)</w:t>
            </w:r>
          </w:p>
        </w:tc>
        <w:tc>
          <w:tcPr>
            <w:tcW w:w="6761" w:type="dxa"/>
            <w:tcBorders>
              <w:top w:val="single" w:sz="6" w:space="0" w:color="auto"/>
              <w:left w:val="single" w:sz="6" w:space="0" w:color="auto"/>
              <w:bottom w:val="single" w:sz="6" w:space="0" w:color="auto"/>
              <w:right w:val="single" w:sz="12" w:space="0" w:color="auto"/>
            </w:tcBorders>
            <w:hideMark/>
          </w:tcPr>
          <w:p w14:paraId="0633EDEC" w14:textId="77777777" w:rsidR="00510D32" w:rsidRDefault="00510D32">
            <w:pPr>
              <w:pStyle w:val="TAC"/>
              <w:rPr>
                <w:lang w:eastAsia="ja-JP"/>
              </w:rPr>
            </w:pPr>
            <w:r>
              <w:rPr>
                <w:lang w:eastAsia="ja-JP"/>
              </w:rPr>
              <w:t>Access Class 14 is configured in the UE.</w:t>
            </w:r>
          </w:p>
        </w:tc>
      </w:tr>
      <w:tr w:rsidR="00510D32" w14:paraId="0904A3E9" w14:textId="77777777" w:rsidTr="00510D32">
        <w:trPr>
          <w:jc w:val="center"/>
        </w:trPr>
        <w:tc>
          <w:tcPr>
            <w:tcW w:w="2127" w:type="dxa"/>
            <w:tcBorders>
              <w:top w:val="single" w:sz="6" w:space="0" w:color="auto"/>
              <w:left w:val="single" w:sz="12" w:space="0" w:color="auto"/>
              <w:bottom w:val="single" w:sz="6" w:space="0" w:color="auto"/>
              <w:right w:val="single" w:sz="6" w:space="0" w:color="auto"/>
            </w:tcBorders>
            <w:hideMark/>
          </w:tcPr>
          <w:p w14:paraId="2536D225" w14:textId="77777777" w:rsidR="00510D32" w:rsidRDefault="00510D32">
            <w:pPr>
              <w:pStyle w:val="TAC"/>
              <w:rPr>
                <w:lang w:eastAsia="ja-JP"/>
              </w:rPr>
            </w:pPr>
            <w:r>
              <w:rPr>
                <w:lang w:eastAsia="ja-JP"/>
              </w:rPr>
              <w:t>15 (NOTE 3)</w:t>
            </w:r>
          </w:p>
        </w:tc>
        <w:tc>
          <w:tcPr>
            <w:tcW w:w="6761" w:type="dxa"/>
            <w:tcBorders>
              <w:top w:val="single" w:sz="6" w:space="0" w:color="auto"/>
              <w:left w:val="single" w:sz="6" w:space="0" w:color="auto"/>
              <w:bottom w:val="single" w:sz="6" w:space="0" w:color="auto"/>
              <w:right w:val="single" w:sz="12" w:space="0" w:color="auto"/>
            </w:tcBorders>
            <w:hideMark/>
          </w:tcPr>
          <w:p w14:paraId="4328A311" w14:textId="77777777" w:rsidR="00510D32" w:rsidRDefault="00510D32">
            <w:pPr>
              <w:pStyle w:val="TAC"/>
              <w:rPr>
                <w:lang w:eastAsia="ja-JP"/>
              </w:rPr>
            </w:pPr>
            <w:r>
              <w:rPr>
                <w:lang w:eastAsia="ja-JP"/>
              </w:rPr>
              <w:t>Access Class 15 is configured in the UE.</w:t>
            </w:r>
          </w:p>
        </w:tc>
      </w:tr>
      <w:tr w:rsidR="00510D32" w14:paraId="4B62ABD9" w14:textId="77777777" w:rsidTr="00510D32">
        <w:trPr>
          <w:jc w:val="center"/>
        </w:trPr>
        <w:tc>
          <w:tcPr>
            <w:tcW w:w="8888" w:type="dxa"/>
            <w:gridSpan w:val="2"/>
            <w:tcBorders>
              <w:top w:val="single" w:sz="6" w:space="0" w:color="auto"/>
              <w:left w:val="single" w:sz="12" w:space="0" w:color="auto"/>
              <w:bottom w:val="single" w:sz="12" w:space="0" w:color="auto"/>
              <w:right w:val="single" w:sz="12" w:space="0" w:color="auto"/>
            </w:tcBorders>
            <w:hideMark/>
          </w:tcPr>
          <w:p w14:paraId="1210E83B" w14:textId="77777777" w:rsidR="00510D32" w:rsidRDefault="00510D32">
            <w:pPr>
              <w:pStyle w:val="TAN"/>
              <w:rPr>
                <w:lang w:eastAsia="en-GB"/>
              </w:rPr>
            </w:pPr>
            <w:r>
              <w:t>NOTE 1:</w:t>
            </w:r>
            <w:r>
              <w:tab/>
              <w:t>Access identity 1 is valid when:</w:t>
            </w:r>
            <w:r>
              <w:br/>
              <w:t>- the USIM file EF</w:t>
            </w:r>
            <w:r>
              <w:rPr>
                <w:vertAlign w:val="subscript"/>
              </w:rPr>
              <w:t>UAC_AIC</w:t>
            </w:r>
            <w:r>
              <w:t xml:space="preserve"> indicates the UE is configured for access identity 1 and the selected PLMN, if a new PLMN is selected, or RPLMN is the HPLMN (if the EHPLMN list is not present or is empty) or EHPLMN (if the EHPLMN list is present), or a visited PLMN of the home country; </w:t>
            </w:r>
            <w:r>
              <w:br/>
              <w:t xml:space="preserve">- the UE receives the 5GS network feature support IE with the MPS indicator bit set to "Access identity 1 valid" from the RPLMN as described in </w:t>
            </w:r>
            <w:proofErr w:type="spellStart"/>
            <w:r>
              <w:t>subclause</w:t>
            </w:r>
            <w:proofErr w:type="spellEnd"/>
            <w:r>
              <w:t xml:space="preserve"> 5.5.1.2.4 and </w:t>
            </w:r>
            <w:proofErr w:type="spellStart"/>
            <w:r>
              <w:t>subclause</w:t>
            </w:r>
            <w:proofErr w:type="spellEnd"/>
            <w:r>
              <w:t> 5.5.1.3.4; or</w:t>
            </w:r>
            <w:r>
              <w:br/>
              <w:t xml:space="preserve">- the UE receives the Priority indicator IE with the MPS indicator bit set to "Access identity 1 valid" from the RPLMN as described in </w:t>
            </w:r>
            <w:proofErr w:type="spellStart"/>
            <w:r>
              <w:t>subclause</w:t>
            </w:r>
            <w:proofErr w:type="spellEnd"/>
            <w:r>
              <w:t> 5.4.4.3.</w:t>
            </w:r>
          </w:p>
          <w:p w14:paraId="2DA9D6F5" w14:textId="77777777" w:rsidR="00510D32" w:rsidRDefault="00510D32">
            <w:pPr>
              <w:pStyle w:val="TAN"/>
            </w:pPr>
            <w:r>
              <w:t>NOTE 2:</w:t>
            </w:r>
            <w:r>
              <w:tab/>
              <w:t>Access identity 2 is used by UEs configured for MCS and is valid when:</w:t>
            </w:r>
            <w:r>
              <w:br/>
              <w:t>- the USIM file EF</w:t>
            </w:r>
            <w:r>
              <w:rPr>
                <w:vertAlign w:val="subscript"/>
              </w:rPr>
              <w:t>UAC_AIC</w:t>
            </w:r>
            <w:r>
              <w:t xml:space="preserve"> indicates the UE is configured for access identity 2 and the selected PLMN, if a new PLMN is selected, or RPLMN is the HPLMN (if the EHPLMN list is not present or is empty) or EHPLMN (if the EHPLMN list is present), or a visited PLMN of the home country;</w:t>
            </w:r>
            <w:r>
              <w:br/>
              <w:t xml:space="preserve">- the UE receives the 5GS network feature support IE with the MCS indicator bit set to "Access identity 2 valid" from the RPLMN as described in </w:t>
            </w:r>
            <w:proofErr w:type="spellStart"/>
            <w:r>
              <w:t>subclause</w:t>
            </w:r>
            <w:proofErr w:type="spellEnd"/>
            <w:r>
              <w:t xml:space="preserve"> 5.5.1.2.4 and </w:t>
            </w:r>
            <w:proofErr w:type="spellStart"/>
            <w:r>
              <w:t>subclause</w:t>
            </w:r>
            <w:proofErr w:type="spellEnd"/>
            <w:r>
              <w:t xml:space="preserve"> 5.5.1.3.4;or </w:t>
            </w:r>
          </w:p>
          <w:p w14:paraId="67A83F55" w14:textId="77777777" w:rsidR="00510D32" w:rsidRDefault="00510D32">
            <w:pPr>
              <w:pStyle w:val="TAN"/>
            </w:pPr>
            <w:r>
              <w:t xml:space="preserve">- the UE receives the Priority indicator IE with the MCS indicator bit set to "Access identity 2 valid" from the RPLMN as described in </w:t>
            </w:r>
            <w:proofErr w:type="spellStart"/>
            <w:r>
              <w:t>subclause</w:t>
            </w:r>
            <w:proofErr w:type="spellEnd"/>
            <w:r>
              <w:t> 5.4.4.3.</w:t>
            </w:r>
          </w:p>
          <w:p w14:paraId="3C9280E9" w14:textId="77777777" w:rsidR="00510D32" w:rsidRDefault="00510D32">
            <w:pPr>
              <w:pStyle w:val="TAN"/>
            </w:pPr>
            <w:r>
              <w:t>NOTE 3:</w:t>
            </w:r>
            <w:r>
              <w:tab/>
              <w:t>Access identities 11 and 15 are valid in HPLMN (if the EHPLMN list is not present or is empty) or EHPLMN (if the EHPLMN list is present). Access Identities 12, 13 and 14 are only valid in HPLMN and visited PLMNs of home country only.</w:t>
            </w:r>
          </w:p>
          <w:p w14:paraId="0F142A3B" w14:textId="77777777" w:rsidR="00510D32" w:rsidRDefault="00510D32">
            <w:pPr>
              <w:pStyle w:val="TAN"/>
              <w:rPr>
                <w:lang w:eastAsia="ja-JP"/>
              </w:rPr>
            </w:pPr>
            <w:r>
              <w:rPr>
                <w:lang w:eastAsia="ja-JP"/>
              </w:rPr>
              <w:t>NOTE 4:</w:t>
            </w:r>
            <w:r>
              <w:rPr>
                <w:lang w:eastAsia="ja-JP"/>
              </w:rPr>
              <w:tab/>
              <w:t xml:space="preserve">Access Identity 3 is valid when the UE is registering or registered for disaster roaming services (see </w:t>
            </w:r>
            <w:r>
              <w:t>3GPP TS 23.122 [5])</w:t>
            </w:r>
            <w:r>
              <w:rPr>
                <w:lang w:eastAsia="ja-JP"/>
              </w:rPr>
              <w:t>.</w:t>
            </w:r>
          </w:p>
          <w:p w14:paraId="5B684D19" w14:textId="5CAAA2FF" w:rsidR="00510D32" w:rsidRPr="00510D32" w:rsidRDefault="00510D32" w:rsidP="00510D32">
            <w:pPr>
              <w:pStyle w:val="TAN"/>
              <w:rPr>
                <w:u w:val="single"/>
                <w:lang w:eastAsia="ja-JP"/>
              </w:rPr>
            </w:pPr>
            <w:r w:rsidRPr="00510D32">
              <w:rPr>
                <w:highlight w:val="cyan"/>
                <w:u w:val="single"/>
                <w:lang w:eastAsia="ja-JP"/>
              </w:rPr>
              <w:t xml:space="preserve">NOTE </w:t>
            </w:r>
            <w:r>
              <w:rPr>
                <w:highlight w:val="cyan"/>
                <w:u w:val="single"/>
                <w:lang w:eastAsia="ja-JP"/>
              </w:rPr>
              <w:t>5</w:t>
            </w:r>
            <w:r w:rsidRPr="00510D32">
              <w:rPr>
                <w:highlight w:val="cyan"/>
                <w:u w:val="single"/>
                <w:lang w:eastAsia="ja-JP"/>
              </w:rPr>
              <w:t>:</w:t>
            </w:r>
            <w:r w:rsidRPr="00510D32">
              <w:rPr>
                <w:highlight w:val="cyan"/>
                <w:u w:val="single"/>
                <w:lang w:eastAsia="ja-JP"/>
              </w:rPr>
              <w:tab/>
              <w:t xml:space="preserve">Access Identity </w:t>
            </w:r>
            <w:r w:rsidRPr="00510D32">
              <w:rPr>
                <w:highlight w:val="cyan"/>
                <w:u w:val="single"/>
                <w:lang w:eastAsia="ja-JP"/>
              </w:rPr>
              <w:t>4</w:t>
            </w:r>
            <w:r w:rsidRPr="00510D32">
              <w:rPr>
                <w:highlight w:val="cyan"/>
                <w:u w:val="single"/>
                <w:lang w:eastAsia="ja-JP"/>
              </w:rPr>
              <w:t xml:space="preserve"> is valid when the UE is </w:t>
            </w:r>
            <w:r w:rsidRPr="00510D32">
              <w:rPr>
                <w:highlight w:val="cyan"/>
                <w:u w:val="single"/>
                <w:lang w:eastAsia="ja-JP"/>
              </w:rPr>
              <w:t>roaming while the MCC of the HPLMN is same as the current PLMN.</w:t>
            </w:r>
          </w:p>
        </w:tc>
      </w:tr>
    </w:tbl>
    <w:p w14:paraId="205966AF" w14:textId="2ACFF9CC" w:rsidR="0051549B" w:rsidRPr="00510D32" w:rsidRDefault="0051549B" w:rsidP="0051549B">
      <w:bookmarkStart w:id="2" w:name="_GoBack"/>
      <w:bookmarkEnd w:id="2"/>
    </w:p>
    <w:p w14:paraId="4418C2C5" w14:textId="22911E08" w:rsidR="0051549B" w:rsidRDefault="0051549B" w:rsidP="0051549B">
      <w:pPr>
        <w:rPr>
          <w:lang w:val="en-US"/>
        </w:rPr>
      </w:pPr>
      <w:r>
        <w:rPr>
          <w:lang w:val="en-US"/>
        </w:rPr>
        <w:t xml:space="preserve">Since the UAC has been used since Rel-15 from the beginning of 5G, adding a new access identity is simpler compared to implementing RAT utilization list mechanisms. Still utilizing UAC for RAT utilization control has some limitations, such as the fact that </w:t>
      </w:r>
      <w:r w:rsidR="00642788">
        <w:rPr>
          <w:lang w:val="en-US"/>
        </w:rPr>
        <w:t>UAC is only applicable for 5GS, so the proposed solution of new UAC AI might not a complete stand-alone solution for all the cases, but still can be a complementary solution that can solve the limitations mentioned above.</w:t>
      </w:r>
    </w:p>
    <w:p w14:paraId="57153EDB" w14:textId="2073795A" w:rsidR="00642788" w:rsidRDefault="00642788" w:rsidP="00642788">
      <w:pPr>
        <w:rPr>
          <w:lang w:val="en-US"/>
        </w:rPr>
      </w:pPr>
      <w:r w:rsidRPr="0051549B">
        <w:rPr>
          <w:b/>
          <w:u w:val="single"/>
          <w:lang w:val="en-US"/>
        </w:rPr>
        <w:t xml:space="preserve">Observation </w:t>
      </w:r>
      <w:r>
        <w:rPr>
          <w:b/>
          <w:u w:val="single"/>
          <w:lang w:val="en-US"/>
        </w:rPr>
        <w:t>3</w:t>
      </w:r>
      <w:r>
        <w:rPr>
          <w:lang w:val="en-US"/>
        </w:rPr>
        <w:t>. Using UAC can be a complementary way to the current RAT utilization list based mechanism.</w:t>
      </w:r>
    </w:p>
    <w:p w14:paraId="0A8C2929" w14:textId="01CD4763" w:rsidR="0051549B" w:rsidRDefault="005D1CE0" w:rsidP="00126126">
      <w:pPr>
        <w:rPr>
          <w:lang w:val="en-US"/>
        </w:rPr>
      </w:pPr>
      <w:r w:rsidRPr="005D1CE0">
        <w:rPr>
          <w:lang w:val="en-US"/>
        </w:rPr>
        <w:t xml:space="preserve">For the network operator, it can configure </w:t>
      </w:r>
      <w:r>
        <w:rPr>
          <w:lang w:val="en-US"/>
        </w:rPr>
        <w:t>its</w:t>
      </w:r>
      <w:r w:rsidRPr="005D1CE0">
        <w:rPr>
          <w:lang w:val="en-US"/>
        </w:rPr>
        <w:t xml:space="preserve"> RAN nodes with certain access technology, within a specific area, with access control parameters associated with a new access identity dedicated to inbound national roaming UEs, e.g. high barring rate and long barring time to restrict the access attempt from those UEs.</w:t>
      </w:r>
      <w:r>
        <w:rPr>
          <w:lang w:val="en-US"/>
        </w:rPr>
        <w:t xml:space="preserve"> For example, if the operator wants to totally restrict the usage of specific RATs for the national inbound roamers, the operator can set the barring factor as 100 percent of barring, which will prevent the national inbound roamers to access the RAT broadcasting the barring factor for new access identity.</w:t>
      </w:r>
    </w:p>
    <w:p w14:paraId="5C1153FD" w14:textId="7458CADE" w:rsidR="00642788" w:rsidRDefault="00642788" w:rsidP="00126126">
      <w:pPr>
        <w:rPr>
          <w:lang w:val="en-US"/>
        </w:rPr>
      </w:pPr>
      <w:r>
        <w:rPr>
          <w:lang w:val="en-US"/>
        </w:rPr>
        <w:t>Since the access identities shall be defined by SA1, we would like to ask the group if the proposed solution of utilizing new access identity for national inbound roamers is acceptable technically, and would like to send an LS to SA1 for their confirmation on the service requirement as well as the introduction of new access identity in TS 22.261.</w:t>
      </w:r>
    </w:p>
    <w:p w14:paraId="0D6B959F" w14:textId="13EFD0C5" w:rsidR="00642788" w:rsidRPr="00126126" w:rsidRDefault="00642788" w:rsidP="00126126">
      <w:pPr>
        <w:rPr>
          <w:lang w:val="en-US"/>
        </w:rPr>
      </w:pPr>
      <w:r w:rsidRPr="00642788">
        <w:rPr>
          <w:b/>
          <w:u w:val="single"/>
          <w:lang w:val="en-US"/>
        </w:rPr>
        <w:t>Proposal.</w:t>
      </w:r>
      <w:r>
        <w:rPr>
          <w:lang w:val="en-US"/>
        </w:rPr>
        <w:t xml:space="preserve"> If the UAC based RAT utilization is agreeable, the LS also needs to be sent to SA1.</w:t>
      </w:r>
    </w:p>
    <w:p w14:paraId="47812961" w14:textId="411D3B57" w:rsidR="006604A5" w:rsidRDefault="006604A5" w:rsidP="00F113C9">
      <w:pPr>
        <w:rPr>
          <w:b/>
          <w:noProof/>
          <w:lang w:eastAsia="zh-CN"/>
        </w:rPr>
      </w:pPr>
    </w:p>
    <w:p w14:paraId="19CD6D61" w14:textId="57B6F5CB" w:rsidR="00CD2478" w:rsidRPr="006B5418" w:rsidRDefault="00CD2478" w:rsidP="00CD2478">
      <w:pPr>
        <w:pStyle w:val="CRCoverPage"/>
        <w:rPr>
          <w:b/>
          <w:lang w:val="en-US"/>
        </w:rPr>
      </w:pPr>
      <w:r w:rsidRPr="006B5418">
        <w:rPr>
          <w:b/>
          <w:lang w:val="en-US"/>
        </w:rPr>
        <w:t>3. Conclusions</w:t>
      </w:r>
    </w:p>
    <w:p w14:paraId="2AB80464" w14:textId="3141B5AC" w:rsidR="00642788" w:rsidRDefault="00642788" w:rsidP="000A2DA5">
      <w:pPr>
        <w:rPr>
          <w:lang w:val="en-US"/>
        </w:rPr>
      </w:pPr>
      <w:r>
        <w:rPr>
          <w:lang w:val="en-US"/>
        </w:rPr>
        <w:lastRenderedPageBreak/>
        <w:t>Due to the limitations of the existing mechanism for controlling RAT utilization, we would like to propose an alternative, but complementary solution using UAC, by introducing a dedicated access identity for national inbound roamers.</w:t>
      </w:r>
    </w:p>
    <w:p w14:paraId="40317915" w14:textId="423BDCF0" w:rsidR="00642788" w:rsidRDefault="00642788" w:rsidP="00642788">
      <w:pPr>
        <w:rPr>
          <w:lang w:val="en-US"/>
        </w:rPr>
      </w:pPr>
      <w:r>
        <w:rPr>
          <w:lang w:val="en-US"/>
        </w:rPr>
        <w:t>As we said, if the UAC based RAT utilization is agreeable, the LS also needs to be sent to SA1. A draft LS out is submitted in C1-250471.</w:t>
      </w:r>
    </w:p>
    <w:p w14:paraId="3C798233" w14:textId="31C0E2C1" w:rsidR="00055C8E" w:rsidRDefault="00055C8E" w:rsidP="00055C8E">
      <w:pPr>
        <w:rPr>
          <w:lang w:val="en-US"/>
        </w:rPr>
      </w:pPr>
    </w:p>
    <w:sectPr w:rsidR="00055C8E">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90CF8D" w14:textId="77777777" w:rsidR="00422B4C" w:rsidRDefault="00422B4C">
      <w:r>
        <w:separator/>
      </w:r>
    </w:p>
  </w:endnote>
  <w:endnote w:type="continuationSeparator" w:id="0">
    <w:p w14:paraId="459D5924" w14:textId="77777777" w:rsidR="00422B4C" w:rsidRDefault="00422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D0C4C" w14:textId="77777777" w:rsidR="00422B4C" w:rsidRDefault="00422B4C">
      <w:r>
        <w:separator/>
      </w:r>
    </w:p>
  </w:footnote>
  <w:footnote w:type="continuationSeparator" w:id="0">
    <w:p w14:paraId="58CD632B" w14:textId="77777777" w:rsidR="00422B4C" w:rsidRDefault="00422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7B79FF"/>
    <w:multiLevelType w:val="hybridMultilevel"/>
    <w:tmpl w:val="185E1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9023BB9"/>
    <w:multiLevelType w:val="hybridMultilevel"/>
    <w:tmpl w:val="A282F1A8"/>
    <w:lvl w:ilvl="0" w:tplc="BE683020">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4D4666"/>
    <w:multiLevelType w:val="hybridMultilevel"/>
    <w:tmpl w:val="ECE6E212"/>
    <w:lvl w:ilvl="0" w:tplc="320675C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47AB3"/>
    <w:rsid w:val="00055C8E"/>
    <w:rsid w:val="00055F0D"/>
    <w:rsid w:val="00062124"/>
    <w:rsid w:val="00066856"/>
    <w:rsid w:val="00070F86"/>
    <w:rsid w:val="00072AAF"/>
    <w:rsid w:val="00072DD2"/>
    <w:rsid w:val="00080105"/>
    <w:rsid w:val="00094B88"/>
    <w:rsid w:val="000A2DA5"/>
    <w:rsid w:val="000B1216"/>
    <w:rsid w:val="000B14A6"/>
    <w:rsid w:val="000C6598"/>
    <w:rsid w:val="000D21C2"/>
    <w:rsid w:val="000D759A"/>
    <w:rsid w:val="000E4BCD"/>
    <w:rsid w:val="000F2C43"/>
    <w:rsid w:val="00116BDF"/>
    <w:rsid w:val="00126126"/>
    <w:rsid w:val="00130F69"/>
    <w:rsid w:val="0013241F"/>
    <w:rsid w:val="00142F65"/>
    <w:rsid w:val="00143552"/>
    <w:rsid w:val="00182401"/>
    <w:rsid w:val="00183134"/>
    <w:rsid w:val="00191E6B"/>
    <w:rsid w:val="001B185C"/>
    <w:rsid w:val="001B5C2B"/>
    <w:rsid w:val="001B77E2"/>
    <w:rsid w:val="001C146A"/>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A7F34"/>
    <w:rsid w:val="002B1A87"/>
    <w:rsid w:val="002B3C88"/>
    <w:rsid w:val="002E48BE"/>
    <w:rsid w:val="002E6115"/>
    <w:rsid w:val="002F4FF2"/>
    <w:rsid w:val="002F6340"/>
    <w:rsid w:val="00305C60"/>
    <w:rsid w:val="00315BD4"/>
    <w:rsid w:val="00324E79"/>
    <w:rsid w:val="00330643"/>
    <w:rsid w:val="003317C9"/>
    <w:rsid w:val="0033437B"/>
    <w:rsid w:val="00350012"/>
    <w:rsid w:val="003509FF"/>
    <w:rsid w:val="003554E8"/>
    <w:rsid w:val="003617F4"/>
    <w:rsid w:val="003658C8"/>
    <w:rsid w:val="00370766"/>
    <w:rsid w:val="00371954"/>
    <w:rsid w:val="00382B4A"/>
    <w:rsid w:val="00383C7B"/>
    <w:rsid w:val="0039050F"/>
    <w:rsid w:val="00394E81"/>
    <w:rsid w:val="003A59CB"/>
    <w:rsid w:val="003A6D89"/>
    <w:rsid w:val="003A7A42"/>
    <w:rsid w:val="003B2CE5"/>
    <w:rsid w:val="003B79F5"/>
    <w:rsid w:val="003E29EF"/>
    <w:rsid w:val="00401225"/>
    <w:rsid w:val="00411094"/>
    <w:rsid w:val="00413493"/>
    <w:rsid w:val="00422B4C"/>
    <w:rsid w:val="00435765"/>
    <w:rsid w:val="00435799"/>
    <w:rsid w:val="00436BAB"/>
    <w:rsid w:val="00440825"/>
    <w:rsid w:val="00443403"/>
    <w:rsid w:val="004825C6"/>
    <w:rsid w:val="00497F14"/>
    <w:rsid w:val="004A4BEC"/>
    <w:rsid w:val="004B45A4"/>
    <w:rsid w:val="004C1E90"/>
    <w:rsid w:val="004D077E"/>
    <w:rsid w:val="0050780D"/>
    <w:rsid w:val="00510D32"/>
    <w:rsid w:val="00511527"/>
    <w:rsid w:val="0051277C"/>
    <w:rsid w:val="00514411"/>
    <w:rsid w:val="0051549B"/>
    <w:rsid w:val="005275CB"/>
    <w:rsid w:val="0054453D"/>
    <w:rsid w:val="00553692"/>
    <w:rsid w:val="005651FD"/>
    <w:rsid w:val="005900B8"/>
    <w:rsid w:val="00592829"/>
    <w:rsid w:val="0059653F"/>
    <w:rsid w:val="00597BF4"/>
    <w:rsid w:val="005A6150"/>
    <w:rsid w:val="005A634D"/>
    <w:rsid w:val="005B25F0"/>
    <w:rsid w:val="005C11F0"/>
    <w:rsid w:val="005D1CE0"/>
    <w:rsid w:val="005D7121"/>
    <w:rsid w:val="005E2C44"/>
    <w:rsid w:val="0060287A"/>
    <w:rsid w:val="00606094"/>
    <w:rsid w:val="0061048B"/>
    <w:rsid w:val="00642788"/>
    <w:rsid w:val="00643317"/>
    <w:rsid w:val="006604A5"/>
    <w:rsid w:val="00661116"/>
    <w:rsid w:val="006B5418"/>
    <w:rsid w:val="006E21FB"/>
    <w:rsid w:val="006E292A"/>
    <w:rsid w:val="00710497"/>
    <w:rsid w:val="00712563"/>
    <w:rsid w:val="00714B2E"/>
    <w:rsid w:val="00727AC1"/>
    <w:rsid w:val="0074184E"/>
    <w:rsid w:val="007439B9"/>
    <w:rsid w:val="00747B7F"/>
    <w:rsid w:val="007760E6"/>
    <w:rsid w:val="00785119"/>
    <w:rsid w:val="007938F2"/>
    <w:rsid w:val="007B4183"/>
    <w:rsid w:val="007B512A"/>
    <w:rsid w:val="007C2097"/>
    <w:rsid w:val="007C2F14"/>
    <w:rsid w:val="007C7597"/>
    <w:rsid w:val="007E6510"/>
    <w:rsid w:val="007F0625"/>
    <w:rsid w:val="00814EEC"/>
    <w:rsid w:val="0081571C"/>
    <w:rsid w:val="00824725"/>
    <w:rsid w:val="008275AA"/>
    <w:rsid w:val="008302F3"/>
    <w:rsid w:val="00852011"/>
    <w:rsid w:val="00856A30"/>
    <w:rsid w:val="008672D3"/>
    <w:rsid w:val="00870EE7"/>
    <w:rsid w:val="00874A54"/>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35A70"/>
    <w:rsid w:val="00943DC1"/>
    <w:rsid w:val="00945AAD"/>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553CF"/>
    <w:rsid w:val="00A57241"/>
    <w:rsid w:val="00A72DCE"/>
    <w:rsid w:val="00A752C5"/>
    <w:rsid w:val="00A8159C"/>
    <w:rsid w:val="00A83ECE"/>
    <w:rsid w:val="00A84816"/>
    <w:rsid w:val="00A9104D"/>
    <w:rsid w:val="00AA5EF7"/>
    <w:rsid w:val="00AD2594"/>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74D51"/>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1BD9"/>
    <w:rsid w:val="00BF3228"/>
    <w:rsid w:val="00C0336F"/>
    <w:rsid w:val="00C0610D"/>
    <w:rsid w:val="00C21836"/>
    <w:rsid w:val="00C31593"/>
    <w:rsid w:val="00C37922"/>
    <w:rsid w:val="00C415C3"/>
    <w:rsid w:val="00C5497E"/>
    <w:rsid w:val="00C713E0"/>
    <w:rsid w:val="00C83E4E"/>
    <w:rsid w:val="00C84595"/>
    <w:rsid w:val="00C85AD4"/>
    <w:rsid w:val="00C95985"/>
    <w:rsid w:val="00C96EAE"/>
    <w:rsid w:val="00C9780B"/>
    <w:rsid w:val="00CA2EA4"/>
    <w:rsid w:val="00CA7D10"/>
    <w:rsid w:val="00CB1493"/>
    <w:rsid w:val="00CB6C7C"/>
    <w:rsid w:val="00CC30BB"/>
    <w:rsid w:val="00CC5026"/>
    <w:rsid w:val="00CD2478"/>
    <w:rsid w:val="00CD541D"/>
    <w:rsid w:val="00CE22D1"/>
    <w:rsid w:val="00CE4346"/>
    <w:rsid w:val="00CF0EE8"/>
    <w:rsid w:val="00CF39F5"/>
    <w:rsid w:val="00D11584"/>
    <w:rsid w:val="00D12FF1"/>
    <w:rsid w:val="00D1376F"/>
    <w:rsid w:val="00D51C49"/>
    <w:rsid w:val="00D53BE5"/>
    <w:rsid w:val="00D641A9"/>
    <w:rsid w:val="00D908E8"/>
    <w:rsid w:val="00D9432A"/>
    <w:rsid w:val="00DB72BB"/>
    <w:rsid w:val="00DC2EEA"/>
    <w:rsid w:val="00DE7A55"/>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13C9"/>
    <w:rsid w:val="00F1278B"/>
    <w:rsid w:val="00F21CC1"/>
    <w:rsid w:val="00F25D98"/>
    <w:rsid w:val="00F26950"/>
    <w:rsid w:val="00F300FB"/>
    <w:rsid w:val="00F34816"/>
    <w:rsid w:val="00F432E2"/>
    <w:rsid w:val="00F66A88"/>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04A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ListParagraph">
    <w:name w:val="List Paragraph"/>
    <w:basedOn w:val="Normal"/>
    <w:uiPriority w:val="34"/>
    <w:qFormat/>
    <w:rsid w:val="00AD2594"/>
    <w:pPr>
      <w:ind w:left="720"/>
      <w:contextualSpacing/>
    </w:pPr>
  </w:style>
  <w:style w:type="table" w:styleId="TableGrid">
    <w:name w:val="Table Grid"/>
    <w:basedOn w:val="TableNormal"/>
    <w:rsid w:val="001B1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aragraph">
    <w:name w:val="Normal Paragraph"/>
    <w:qFormat/>
    <w:rsid w:val="001B185C"/>
    <w:pPr>
      <w:spacing w:after="200" w:line="276" w:lineRule="auto"/>
    </w:pPr>
    <w:rPr>
      <w:rFonts w:ascii="Arial" w:eastAsia="SimSun" w:hAnsi="Arial"/>
      <w:sz w:val="22"/>
      <w:szCs w:val="22"/>
    </w:rPr>
  </w:style>
  <w:style w:type="character" w:customStyle="1" w:styleId="B2Char">
    <w:name w:val="B2 Char"/>
    <w:link w:val="B2"/>
    <w:qFormat/>
    <w:locked/>
    <w:rsid w:val="001B185C"/>
    <w:rPr>
      <w:rFonts w:ascii="Times New Roman" w:hAnsi="Times New Roman"/>
      <w:lang w:eastAsia="en-US"/>
    </w:rPr>
  </w:style>
  <w:style w:type="character" w:customStyle="1" w:styleId="B3Car">
    <w:name w:val="B3 Car"/>
    <w:link w:val="B3"/>
    <w:locked/>
    <w:rsid w:val="001B185C"/>
    <w:rPr>
      <w:rFonts w:ascii="Times New Roman" w:hAnsi="Times New Roman"/>
      <w:lang w:eastAsia="en-US"/>
    </w:rPr>
  </w:style>
  <w:style w:type="character" w:customStyle="1" w:styleId="TANChar">
    <w:name w:val="TAN Char"/>
    <w:link w:val="TAN"/>
    <w:qFormat/>
    <w:locked/>
    <w:rsid w:val="00510D32"/>
    <w:rPr>
      <w:rFonts w:ascii="Arial" w:hAnsi="Arial"/>
      <w:sz w:val="18"/>
      <w:lang w:eastAsia="en-US"/>
    </w:rPr>
  </w:style>
  <w:style w:type="character" w:customStyle="1" w:styleId="TAHCar">
    <w:name w:val="TAH Car"/>
    <w:qFormat/>
    <w:locked/>
    <w:rsid w:val="00510D32"/>
    <w:rPr>
      <w:rFonts w:ascii="Arial" w:eastAsia="Times New Roman" w:hAnsi="Arial" w:cs="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285914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26919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3865581">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031090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6777305">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8765663">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5853104">
      <w:bodyDiv w:val="1"/>
      <w:marLeft w:val="0"/>
      <w:marRight w:val="0"/>
      <w:marTop w:val="0"/>
      <w:marBottom w:val="0"/>
      <w:divBdr>
        <w:top w:val="none" w:sz="0" w:space="0" w:color="auto"/>
        <w:left w:val="none" w:sz="0" w:space="0" w:color="auto"/>
        <w:bottom w:val="none" w:sz="0" w:space="0" w:color="auto"/>
        <w:right w:val="none" w:sz="0" w:space="0" w:color="auto"/>
      </w:divBdr>
    </w:div>
    <w:div w:id="1516186770">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795642">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6F72A-2C24-4BA1-A7B1-CF1CE8DA0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1187</Words>
  <Characters>6769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Google_SangMin</cp:lastModifiedBy>
  <cp:revision>2</cp:revision>
  <cp:lastPrinted>1900-01-01T00:00:00Z</cp:lastPrinted>
  <dcterms:created xsi:type="dcterms:W3CDTF">2025-02-10T10:50:00Z</dcterms:created>
  <dcterms:modified xsi:type="dcterms:W3CDTF">2025-02-10T10:50:00Z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