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007A9" w14:textId="3F62DBCC" w:rsidR="00B57E66" w:rsidRDefault="00B57E66" w:rsidP="00B57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324FB" w:rsidRPr="00A324FB">
        <w:rPr>
          <w:b/>
          <w:noProof/>
          <w:sz w:val="24"/>
        </w:rPr>
        <w:t>C1-243329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51D763" w:rsidR="00463675" w:rsidRPr="007479E5" w:rsidRDefault="00463675" w:rsidP="000B31A4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0B31A4" w:rsidRPr="000B31A4">
        <w:t>LS on Clarification on Dual Registration Indication</w:t>
      </w:r>
    </w:p>
    <w:p w14:paraId="65004854" w14:textId="3BD66C3F" w:rsidR="00463675" w:rsidRPr="000F4E43" w:rsidRDefault="00463675" w:rsidP="000B31A4">
      <w:pPr>
        <w:pStyle w:val="Title"/>
      </w:pPr>
      <w:r w:rsidRPr="000F4E43">
        <w:t>Response to:</w:t>
      </w:r>
      <w:r w:rsidRPr="000F4E43">
        <w:tab/>
      </w:r>
      <w:r w:rsidR="000B31A4" w:rsidRPr="000B31A4">
        <w:t>LS on Clarification on Dual Registration Indication</w:t>
      </w:r>
      <w:r w:rsidR="000B31A4">
        <w:t xml:space="preserve"> </w:t>
      </w:r>
      <w:r w:rsidR="0001710A">
        <w:t>(</w:t>
      </w:r>
      <w:r w:rsidR="00FA37AF" w:rsidRPr="00FA37AF">
        <w:t>C1-243009</w:t>
      </w:r>
      <w:r w:rsidR="00C361ED">
        <w:t xml:space="preserve"> </w:t>
      </w:r>
      <w:r w:rsidR="0001710A">
        <w:t>/</w:t>
      </w:r>
      <w:r w:rsidR="000B31A4" w:rsidRPr="000B31A4">
        <w:t>C4-241547</w:t>
      </w:r>
      <w:r w:rsidR="0001710A">
        <w:t>)</w:t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03957566" w:rsidR="00463675" w:rsidRPr="00113BFD" w:rsidRDefault="00463675" w:rsidP="00C15881">
      <w:pPr>
        <w:pStyle w:val="Title"/>
      </w:pPr>
      <w:r w:rsidRPr="00113BFD">
        <w:t>Work Item:</w:t>
      </w:r>
      <w:r w:rsidRPr="00113BFD">
        <w:tab/>
      </w:r>
      <w:r w:rsidR="00C15881" w:rsidRPr="00C15881">
        <w:t>TEI18, 5GS_</w:t>
      </w:r>
      <w:proofErr w:type="gramStart"/>
      <w:r w:rsidR="00C15881" w:rsidRPr="00C15881">
        <w:t>Ph1</w:t>
      </w:r>
      <w:proofErr w:type="gramEnd"/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15584578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691928" w:rsidRPr="00691928">
        <w:rPr>
          <w:b w:val="0"/>
        </w:rPr>
        <w:t>CT4</w:t>
      </w:r>
    </w:p>
    <w:p w14:paraId="033E954A" w14:textId="19CF05AA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FD7742" w:rsidRPr="00FD7742">
        <w:rPr>
          <w:b w:val="0"/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7750D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FE14C7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178F7E82" w:rsidR="00691928" w:rsidRDefault="001F5339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C73C04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 </w:t>
      </w:r>
      <w:r w:rsidR="00C73C04" w:rsidRPr="00C73C04">
        <w:rPr>
          <w:rFonts w:ascii="Arial" w:hAnsi="Arial" w:cs="Arial"/>
        </w:rPr>
        <w:t>C1-243009 /C4-241547</w:t>
      </w:r>
      <w:r w:rsidR="00C73C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C73C04" w:rsidRPr="00C73C04">
        <w:rPr>
          <w:rFonts w:ascii="Arial" w:hAnsi="Arial" w:cs="Arial"/>
        </w:rPr>
        <w:t>Clarification on Dual Registration Indication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FF1E15" w14:textId="49D4B22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has asked the following questions in their LS:</w:t>
      </w:r>
    </w:p>
    <w:p w14:paraId="45F4490B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B5EB4B" w14:textId="1DFE362C" w:rsidR="00774B1D" w:rsidRDefault="00000000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noProof/>
        </w:rPr>
        <w:pict w14:anchorId="7F5BAFA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in;height:2in;z-index:1;mso-wrap-style:none;mso-position-horizontal-relative:text;mso-position-vertical-relative:text">
            <v:textbox style="mso-fit-shape-to-text:t">
              <w:txbxContent>
                <w:p w14:paraId="7B6DCAB1" w14:textId="77777777" w:rsidR="00C73C04" w:rsidRDefault="00C73C04" w:rsidP="00C73C0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To assist understanding how the dual registration mode </w:t>
                  </w:r>
                  <w:proofErr w:type="gramStart"/>
                  <w:r>
                    <w:rPr>
                      <w:rFonts w:ascii="Arial" w:hAnsi="Arial" w:cs="Arial"/>
                    </w:rPr>
                    <w:t>actually works</w:t>
                  </w:r>
                  <w:proofErr w:type="gramEnd"/>
                  <w:r>
                    <w:rPr>
                      <w:rFonts w:ascii="Arial" w:hAnsi="Arial" w:cs="Arial"/>
                    </w:rPr>
                    <w:t>, CT4 would like to ask the following questions to CT1:</w:t>
                  </w:r>
                </w:p>
                <w:p w14:paraId="3E05D76B" w14:textId="77777777" w:rsidR="00C73C04" w:rsidRDefault="00C73C04" w:rsidP="00C73C04">
                  <w:pPr>
                    <w:rPr>
                      <w:rFonts w:ascii="Arial" w:hAnsi="Arial" w:cs="Arial"/>
                    </w:rPr>
                  </w:pPr>
                </w:p>
                <w:p w14:paraId="01260C1A" w14:textId="77777777" w:rsidR="00C73C04" w:rsidRDefault="00C73C04" w:rsidP="00C73C04">
                  <w:pPr>
                    <w:ind w:left="720"/>
                    <w:rPr>
                      <w:rFonts w:ascii="Arial" w:hAnsi="Arial" w:cs="Arial"/>
                    </w:rPr>
                  </w:pPr>
                  <w:r w:rsidRPr="000C5ECE">
                    <w:rPr>
                      <w:rFonts w:ascii="Arial" w:hAnsi="Arial" w:cs="Arial"/>
                      <w:b/>
                    </w:rPr>
                    <w:t>Q1</w:t>
                  </w:r>
                  <w:r>
                    <w:rPr>
                      <w:rFonts w:ascii="Arial" w:hAnsi="Arial" w:cs="Arial"/>
                    </w:rPr>
                    <w:t xml:space="preserve">: Does a UE operating in dual registration mode only indicate the EMM state of EMM-REGISTERED in the initial registration procedure? </w:t>
                  </w:r>
                  <w:proofErr w:type="gramStart"/>
                  <w:r>
                    <w:rPr>
                      <w:rFonts w:ascii="Arial" w:hAnsi="Arial" w:cs="Arial"/>
                    </w:rPr>
                    <w:t>Or,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should the UE also indicate the EMM registration status in periodic registration procedure or mobility registration procedure?</w:t>
                  </w:r>
                </w:p>
                <w:p w14:paraId="2BAAE7F6" w14:textId="77777777" w:rsidR="00C73C04" w:rsidRDefault="00C73C04" w:rsidP="00C73C04">
                  <w:pPr>
                    <w:ind w:left="720"/>
                    <w:rPr>
                      <w:rFonts w:ascii="Arial" w:hAnsi="Arial" w:cs="Arial"/>
                    </w:rPr>
                  </w:pPr>
                </w:p>
                <w:p w14:paraId="569189C8" w14:textId="77777777" w:rsidR="00C73C04" w:rsidRPr="00705540" w:rsidRDefault="00C73C04" w:rsidP="00705540">
                  <w:pPr>
                    <w:ind w:left="720"/>
                    <w:rPr>
                      <w:rFonts w:ascii="Arial" w:hAnsi="Arial" w:cs="Arial"/>
                      <w:b/>
                    </w:rPr>
                  </w:pPr>
                  <w:r w:rsidRPr="000C5ECE">
                    <w:rPr>
                      <w:rFonts w:ascii="Arial" w:hAnsi="Arial" w:cs="Arial"/>
                      <w:b/>
                    </w:rPr>
                    <w:t>Q2</w:t>
                  </w:r>
                  <w:r>
                    <w:rPr>
                      <w:rFonts w:ascii="Arial" w:hAnsi="Arial" w:cs="Arial"/>
                    </w:rPr>
                    <w:t xml:space="preserve">: If a UE's registration mode (single/dual registration mode) is altered due to it turns off the dual registration mode or detaches from EPS, or if a UE is not registered to EPS during the initial registration to 5GS but </w:t>
                  </w:r>
                  <w:proofErr w:type="gramStart"/>
                  <w:r>
                    <w:rPr>
                      <w:rFonts w:ascii="Arial" w:hAnsi="Arial" w:cs="Arial"/>
                    </w:rPr>
                    <w:t>later on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it registers to the EPS, what information will the UE indicate to the AMF and in which procedure?</w:t>
                  </w:r>
                </w:p>
              </w:txbxContent>
            </v:textbox>
            <w10:wrap type="square"/>
          </v:shape>
        </w:pict>
      </w:r>
      <w:r w:rsidR="00DD791F">
        <w:rPr>
          <w:rFonts w:ascii="Arial" w:hAnsi="Arial" w:cs="Arial"/>
        </w:rPr>
        <w:t xml:space="preserve">CT1 </w:t>
      </w:r>
      <w:r w:rsidR="00C73C04">
        <w:rPr>
          <w:rFonts w:ascii="Arial" w:hAnsi="Arial" w:cs="Arial"/>
        </w:rPr>
        <w:t>would like to provide the following answers:</w:t>
      </w:r>
    </w:p>
    <w:p w14:paraId="56B597A1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8A30940" w14:textId="1ADAE449" w:rsidR="0091471B" w:rsidRDefault="00C73C04" w:rsidP="000D1B8A">
      <w:pPr>
        <w:pStyle w:val="Header"/>
        <w:rPr>
          <w:rFonts w:ascii="Arial" w:hAnsi="Arial" w:cs="Arial"/>
        </w:rPr>
      </w:pPr>
      <w:r w:rsidRPr="00C73C04">
        <w:rPr>
          <w:rFonts w:ascii="Arial" w:hAnsi="Arial" w:cs="Arial"/>
          <w:b/>
          <w:bCs/>
        </w:rPr>
        <w:t>Answer to Q1</w:t>
      </w:r>
      <w:r>
        <w:rPr>
          <w:rFonts w:ascii="Arial" w:hAnsi="Arial" w:cs="Arial"/>
        </w:rPr>
        <w:t>:</w:t>
      </w:r>
      <w:r w:rsidRPr="00C73C04">
        <w:rPr>
          <w:rFonts w:ascii="Arial" w:hAnsi="Arial" w:cs="Arial"/>
        </w:rPr>
        <w:t xml:space="preserve"> Yes, </w:t>
      </w:r>
      <w:r w:rsidR="00B40015">
        <w:rPr>
          <w:rFonts w:ascii="Arial" w:hAnsi="Arial" w:cs="Arial"/>
        </w:rPr>
        <w:t xml:space="preserve">when interworking without </w:t>
      </w:r>
      <w:r w:rsidR="00B40015" w:rsidRPr="00B40015">
        <w:rPr>
          <w:rFonts w:ascii="Arial" w:hAnsi="Arial" w:cs="Arial"/>
        </w:rPr>
        <w:t>N26 interface</w:t>
      </w:r>
      <w:r w:rsidR="00B40015">
        <w:rPr>
          <w:rFonts w:ascii="Arial" w:hAnsi="Arial" w:cs="Arial"/>
        </w:rPr>
        <w:t xml:space="preserve"> is supported, </w:t>
      </w:r>
      <w:r w:rsidRPr="00C73C04">
        <w:rPr>
          <w:rFonts w:ascii="Arial" w:hAnsi="Arial" w:cs="Arial"/>
        </w:rPr>
        <w:t xml:space="preserve">the UE operating </w:t>
      </w:r>
      <w:r w:rsidRPr="0006161D">
        <w:rPr>
          <w:rFonts w:ascii="Arial" w:hAnsi="Arial" w:cs="Arial"/>
          <w:u w:val="single"/>
        </w:rPr>
        <w:t>in dual registration mode</w:t>
      </w:r>
      <w:r w:rsidRPr="00C73C04">
        <w:rPr>
          <w:rFonts w:ascii="Arial" w:hAnsi="Arial" w:cs="Arial"/>
        </w:rPr>
        <w:t xml:space="preserve"> </w:t>
      </w:r>
      <w:r w:rsidR="00164DAD">
        <w:rPr>
          <w:rFonts w:ascii="Arial" w:hAnsi="Arial" w:cs="Arial"/>
        </w:rPr>
        <w:t xml:space="preserve">and registered in EPC </w:t>
      </w:r>
      <w:r w:rsidRPr="00C73C04">
        <w:rPr>
          <w:rFonts w:ascii="Arial" w:hAnsi="Arial" w:cs="Arial"/>
        </w:rPr>
        <w:t xml:space="preserve">indicates the </w:t>
      </w:r>
      <w:r w:rsidR="000D1B8A" w:rsidRPr="000D1B8A">
        <w:rPr>
          <w:rFonts w:ascii="Arial" w:hAnsi="Arial" w:cs="Arial"/>
        </w:rPr>
        <w:t xml:space="preserve">EMM registration status </w:t>
      </w:r>
      <w:r w:rsidR="000D1B8A">
        <w:rPr>
          <w:rFonts w:ascii="Arial" w:hAnsi="Arial" w:cs="Arial"/>
        </w:rPr>
        <w:t xml:space="preserve">in the </w:t>
      </w:r>
      <w:r w:rsidR="000D1B8A" w:rsidRPr="000D1B8A">
        <w:rPr>
          <w:rFonts w:ascii="Arial" w:hAnsi="Arial" w:cs="Arial"/>
        </w:rPr>
        <w:t xml:space="preserve">UE status IE </w:t>
      </w:r>
      <w:r w:rsidR="000D1B8A">
        <w:rPr>
          <w:rFonts w:ascii="Arial" w:hAnsi="Arial" w:cs="Arial"/>
        </w:rPr>
        <w:t>set to</w:t>
      </w:r>
      <w:r w:rsidRPr="00C73C04">
        <w:rPr>
          <w:rFonts w:ascii="Arial" w:hAnsi="Arial" w:cs="Arial"/>
        </w:rPr>
        <w:t xml:space="preserve"> </w:t>
      </w:r>
      <w:r w:rsidR="000D1B8A" w:rsidRPr="000D1B8A">
        <w:rPr>
          <w:rFonts w:ascii="Arial" w:hAnsi="Arial" w:cs="Arial"/>
        </w:rPr>
        <w:t>"UE is in EMM-REGISTERED state"</w:t>
      </w:r>
      <w:r w:rsidR="000D1B8A">
        <w:rPr>
          <w:rFonts w:ascii="Arial" w:hAnsi="Arial" w:cs="Arial"/>
        </w:rPr>
        <w:t xml:space="preserve"> </w:t>
      </w:r>
      <w:r w:rsidRPr="00B20B1A">
        <w:rPr>
          <w:rFonts w:ascii="Arial" w:hAnsi="Arial" w:cs="Arial"/>
          <w:u w:val="single"/>
        </w:rPr>
        <w:t>only in the initial registration procedure</w:t>
      </w:r>
      <w:r w:rsidR="004B2EA9" w:rsidRPr="004B2EA9">
        <w:rPr>
          <w:rFonts w:ascii="Arial" w:hAnsi="Arial" w:cs="Arial"/>
        </w:rPr>
        <w:t xml:space="preserve">, as specified in TS 24.501 clause </w:t>
      </w:r>
      <w:r w:rsidR="00284CB8" w:rsidRPr="00284CB8">
        <w:rPr>
          <w:rFonts w:ascii="Arial" w:hAnsi="Arial" w:cs="Arial"/>
        </w:rPr>
        <w:t>5.5.1.2.2</w:t>
      </w:r>
      <w:r w:rsidRPr="00C73C04">
        <w:rPr>
          <w:rFonts w:ascii="Arial" w:hAnsi="Arial" w:cs="Arial"/>
        </w:rPr>
        <w:t>.</w:t>
      </w:r>
      <w:r w:rsidR="00C26A8F">
        <w:rPr>
          <w:rFonts w:ascii="Arial" w:hAnsi="Arial" w:cs="Arial"/>
        </w:rPr>
        <w:t xml:space="preserve"> This is aligned with how the feature works as per stage-2 spec</w:t>
      </w:r>
      <w:r w:rsidR="008B2E8E">
        <w:rPr>
          <w:rFonts w:ascii="Arial" w:hAnsi="Arial" w:cs="Arial"/>
        </w:rPr>
        <w:t>s</w:t>
      </w:r>
      <w:r w:rsidR="00C26A8F">
        <w:rPr>
          <w:rFonts w:ascii="Arial" w:hAnsi="Arial" w:cs="Arial"/>
        </w:rPr>
        <w:t xml:space="preserve"> TS 23.501 (clause </w:t>
      </w:r>
      <w:r w:rsidR="00C26A8F" w:rsidRPr="00C26A8F">
        <w:rPr>
          <w:rFonts w:ascii="Arial" w:hAnsi="Arial" w:cs="Arial"/>
        </w:rPr>
        <w:t>5.17.2.3</w:t>
      </w:r>
      <w:r w:rsidR="00C26A8F">
        <w:rPr>
          <w:rFonts w:ascii="Arial" w:hAnsi="Arial" w:cs="Arial"/>
        </w:rPr>
        <w:t xml:space="preserve">) and TS 23.502 (clause </w:t>
      </w:r>
      <w:r w:rsidR="00C26A8F" w:rsidRPr="00C26A8F">
        <w:rPr>
          <w:rFonts w:ascii="Arial" w:hAnsi="Arial" w:cs="Arial"/>
        </w:rPr>
        <w:t>4.11.2.3</w:t>
      </w:r>
      <w:r w:rsidR="00C26A8F">
        <w:rPr>
          <w:rFonts w:ascii="Arial" w:hAnsi="Arial" w:cs="Arial"/>
        </w:rPr>
        <w:t>).</w:t>
      </w:r>
    </w:p>
    <w:p w14:paraId="6263EE57" w14:textId="77777777" w:rsidR="00EB28BC" w:rsidRDefault="00EB28BC" w:rsidP="00EB28BC">
      <w:pPr>
        <w:pStyle w:val="Header"/>
        <w:rPr>
          <w:rFonts w:ascii="Arial" w:hAnsi="Arial" w:cs="Arial"/>
        </w:rPr>
      </w:pPr>
    </w:p>
    <w:p w14:paraId="0E6B859E" w14:textId="58D3A99C" w:rsidR="009F511A" w:rsidRDefault="0091471B" w:rsidP="006B127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A71F0">
        <w:rPr>
          <w:rFonts w:ascii="Arial" w:hAnsi="Arial" w:cs="Arial"/>
        </w:rPr>
        <w:t xml:space="preserve"> to that</w:t>
      </w:r>
      <w:r>
        <w:rPr>
          <w:rFonts w:ascii="Arial" w:hAnsi="Arial" w:cs="Arial"/>
        </w:rPr>
        <w:t xml:space="preserve">, CT1 would like to </w:t>
      </w:r>
      <w:r w:rsidR="000A28E9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highlight that:</w:t>
      </w:r>
      <w:r w:rsidR="00B40015">
        <w:rPr>
          <w:rFonts w:ascii="Arial" w:hAnsi="Arial" w:cs="Arial"/>
        </w:rPr>
        <w:t xml:space="preserve"> </w:t>
      </w:r>
      <w:r w:rsidR="00B40015" w:rsidRPr="00B40015">
        <w:rPr>
          <w:rFonts w:ascii="Arial" w:hAnsi="Arial" w:cs="Arial"/>
        </w:rPr>
        <w:t>when interworking without N26 interface is supported</w:t>
      </w:r>
      <w:r w:rsidR="00B400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91471B">
        <w:rPr>
          <w:rFonts w:ascii="Arial" w:hAnsi="Arial" w:cs="Arial"/>
        </w:rPr>
        <w:t xml:space="preserve">the UE operating in </w:t>
      </w:r>
      <w:r w:rsidRPr="0091471B">
        <w:rPr>
          <w:rFonts w:ascii="Arial" w:hAnsi="Arial" w:cs="Arial"/>
          <w:u w:val="single"/>
        </w:rPr>
        <w:t>single registration mode</w:t>
      </w:r>
      <w:r w:rsidRPr="0091471B">
        <w:rPr>
          <w:rFonts w:ascii="Arial" w:hAnsi="Arial" w:cs="Arial"/>
        </w:rPr>
        <w:t xml:space="preserve"> indicates the </w:t>
      </w:r>
      <w:r w:rsidR="006B1278" w:rsidRPr="006B1278">
        <w:rPr>
          <w:rFonts w:ascii="Arial" w:hAnsi="Arial" w:cs="Arial"/>
        </w:rPr>
        <w:t>EMM registration status in the UE status IE set to "UE is in EMM-REGISTERED state"</w:t>
      </w:r>
      <w:r w:rsidR="006B12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during </w:t>
      </w:r>
      <w:r w:rsidRPr="00EB28BC">
        <w:rPr>
          <w:rFonts w:ascii="Arial" w:hAnsi="Arial" w:cs="Arial"/>
          <w:u w:val="single"/>
        </w:rPr>
        <w:t>mobility registration procedure</w:t>
      </w:r>
      <w:r w:rsidRPr="009147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is triggered due to </w:t>
      </w:r>
      <w:r w:rsidRPr="0091471B">
        <w:rPr>
          <w:rFonts w:ascii="Arial" w:hAnsi="Arial" w:cs="Arial"/>
        </w:rPr>
        <w:t xml:space="preserve">inter-system change </w:t>
      </w:r>
      <w:r w:rsidRPr="0091471B">
        <w:rPr>
          <w:rFonts w:ascii="Arial" w:hAnsi="Arial" w:cs="Arial" w:hint="eastAsia"/>
        </w:rPr>
        <w:t>from S1 mode to N1 mode</w:t>
      </w:r>
      <w:r>
        <w:rPr>
          <w:rFonts w:ascii="Arial" w:hAnsi="Arial" w:cs="Arial"/>
        </w:rPr>
        <w:t xml:space="preserve">, as specified in TS 24.501 clause </w:t>
      </w:r>
      <w:r w:rsidRPr="0091471B">
        <w:rPr>
          <w:rFonts w:ascii="Arial" w:hAnsi="Arial" w:cs="Arial"/>
        </w:rPr>
        <w:t>5.5.1.3.2</w:t>
      </w:r>
      <w:r>
        <w:rPr>
          <w:rFonts w:ascii="Arial" w:hAnsi="Arial" w:cs="Arial"/>
        </w:rPr>
        <w:t>.</w:t>
      </w:r>
      <w:r w:rsidR="00FD3FA6">
        <w:rPr>
          <w:rFonts w:ascii="Arial" w:hAnsi="Arial" w:cs="Arial"/>
        </w:rPr>
        <w:t xml:space="preserve"> </w:t>
      </w:r>
      <w:r w:rsidR="00FD3FA6" w:rsidRPr="00FD3FA6">
        <w:rPr>
          <w:rFonts w:ascii="Arial" w:hAnsi="Arial" w:cs="Arial"/>
        </w:rPr>
        <w:t xml:space="preserve">This is </w:t>
      </w:r>
      <w:r w:rsidR="00FD3FA6" w:rsidRPr="00FD3FA6">
        <w:rPr>
          <w:rFonts w:ascii="Arial" w:hAnsi="Arial" w:cs="Arial"/>
        </w:rPr>
        <w:lastRenderedPageBreak/>
        <w:t>aligned with how the feature works as per stage-2 specs TS 23.501 (clause 5.17.2.3) and TS 23.502 (clause 4.11.2.3).</w:t>
      </w:r>
    </w:p>
    <w:p w14:paraId="67BBD58B" w14:textId="77777777" w:rsidR="00EB28BC" w:rsidRDefault="00EB28BC" w:rsidP="009F511A">
      <w:pPr>
        <w:pStyle w:val="Header"/>
        <w:rPr>
          <w:rFonts w:ascii="Arial" w:hAnsi="Arial" w:cs="Arial"/>
          <w:b/>
          <w:bCs/>
        </w:rPr>
      </w:pPr>
    </w:p>
    <w:p w14:paraId="41DB32E3" w14:textId="7C38D4B4" w:rsidR="00C73C04" w:rsidRDefault="00C73C04" w:rsidP="009F511A">
      <w:pPr>
        <w:pStyle w:val="Header"/>
        <w:rPr>
          <w:rFonts w:ascii="Arial" w:hAnsi="Arial" w:cs="Arial"/>
        </w:rPr>
      </w:pPr>
      <w:r w:rsidRPr="00C73C04">
        <w:rPr>
          <w:rFonts w:ascii="Arial" w:hAnsi="Arial" w:cs="Arial"/>
          <w:b/>
          <w:bCs/>
        </w:rPr>
        <w:t>Answer to Q2</w:t>
      </w:r>
      <w:r>
        <w:rPr>
          <w:rFonts w:ascii="Arial" w:hAnsi="Arial" w:cs="Arial"/>
        </w:rPr>
        <w:t>:</w:t>
      </w:r>
      <w:r w:rsidRPr="00C73C04">
        <w:rPr>
          <w:rFonts w:ascii="Arial" w:hAnsi="Arial" w:cs="Arial"/>
        </w:rPr>
        <w:t xml:space="preserve"> If a UE's registration mode (single/dual registration mode) is altered, then an initial registration/Attach procedure or De-registration/Detach procedure would be triggered, based on the situation, which makes </w:t>
      </w:r>
      <w:r w:rsidR="00DE79F6">
        <w:rPr>
          <w:rFonts w:ascii="Arial" w:hAnsi="Arial" w:cs="Arial"/>
        </w:rPr>
        <w:t xml:space="preserve">the </w:t>
      </w:r>
      <w:proofErr w:type="gramStart"/>
      <w:r w:rsidRPr="00C73C04">
        <w:rPr>
          <w:rFonts w:ascii="Arial" w:hAnsi="Arial" w:cs="Arial"/>
        </w:rPr>
        <w:t>UE</w:t>
      </w:r>
      <w:proofErr w:type="gramEnd"/>
      <w:r w:rsidRPr="00C73C04">
        <w:rPr>
          <w:rFonts w:ascii="Arial" w:hAnsi="Arial" w:cs="Arial"/>
        </w:rPr>
        <w:t xml:space="preserve"> and all </w:t>
      </w:r>
      <w:r w:rsidR="00DE79F6">
        <w:rPr>
          <w:rFonts w:ascii="Arial" w:hAnsi="Arial" w:cs="Arial"/>
        </w:rPr>
        <w:t xml:space="preserve">the </w:t>
      </w:r>
      <w:r w:rsidRPr="00C73C04">
        <w:rPr>
          <w:rFonts w:ascii="Arial" w:hAnsi="Arial" w:cs="Arial"/>
        </w:rPr>
        <w:t xml:space="preserve">Network Functions stay in sync. For </w:t>
      </w:r>
      <w:r w:rsidR="00DE79F6" w:rsidRPr="00C73C04">
        <w:rPr>
          <w:rFonts w:ascii="Arial" w:hAnsi="Arial" w:cs="Arial"/>
        </w:rPr>
        <w:t>example,</w:t>
      </w:r>
      <w:r w:rsidRPr="00C73C04">
        <w:rPr>
          <w:rFonts w:ascii="Arial" w:hAnsi="Arial" w:cs="Arial"/>
        </w:rPr>
        <w:t xml:space="preserve"> if the UE is in dual registration mode for 5GC and EPC, and the UE wants to Detach from EPC, then a Detach procedure (on EPC) is triggered towards the network</w:t>
      </w:r>
      <w:r w:rsidR="00BB7875">
        <w:rPr>
          <w:rFonts w:ascii="Arial" w:hAnsi="Arial" w:cs="Arial"/>
        </w:rPr>
        <w:t xml:space="preserve"> (MME)</w:t>
      </w:r>
      <w:r w:rsidRPr="00C73C04">
        <w:rPr>
          <w:rFonts w:ascii="Arial" w:hAnsi="Arial" w:cs="Arial"/>
        </w:rPr>
        <w:t>.</w:t>
      </w:r>
    </w:p>
    <w:p w14:paraId="547E31A3" w14:textId="77777777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A60DD7" w14:textId="77777777" w:rsidR="00C73C04" w:rsidRPr="00CB77D9" w:rsidRDefault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11F12F0F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691928">
        <w:rPr>
          <w:rFonts w:ascii="Arial" w:hAnsi="Arial" w:cs="Arial"/>
          <w:b/>
        </w:rPr>
        <w:t>CT4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61882FBF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</w:t>
      </w:r>
      <w:r w:rsidR="00691928">
        <w:rPr>
          <w:rFonts w:ascii="Arial" w:hAnsi="Arial" w:cs="Arial"/>
        </w:rPr>
        <w:t>CT4 group</w:t>
      </w:r>
      <w:r w:rsidR="00A70BB6" w:rsidRPr="00A70BB6">
        <w:rPr>
          <w:rFonts w:ascii="Arial" w:hAnsi="Arial" w:cs="Arial"/>
        </w:rPr>
        <w:t xml:space="preserve"> to take the above </w:t>
      </w:r>
      <w:r w:rsidR="00C73C04">
        <w:rPr>
          <w:rFonts w:ascii="Arial" w:hAnsi="Arial" w:cs="Arial"/>
        </w:rPr>
        <w:t>answers</w:t>
      </w:r>
      <w:r w:rsidR="00A70BB6" w:rsidRPr="00A70BB6">
        <w:rPr>
          <w:rFonts w:ascii="Arial" w:hAnsi="Arial" w:cs="Arial"/>
        </w:rPr>
        <w:t xml:space="preserve"> into account and do any necessary updates in their specifications</w:t>
      </w:r>
      <w:r w:rsidR="00B96AE9">
        <w:rPr>
          <w:rFonts w:ascii="Arial" w:hAnsi="Arial" w:cs="Arial"/>
        </w:rPr>
        <w:t xml:space="preserve">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16719EE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520B2" w14:textId="77777777" w:rsidR="003A6C0F" w:rsidRDefault="003A6C0F">
      <w:r>
        <w:separator/>
      </w:r>
    </w:p>
  </w:endnote>
  <w:endnote w:type="continuationSeparator" w:id="0">
    <w:p w14:paraId="5FB54E8C" w14:textId="77777777" w:rsidR="003A6C0F" w:rsidRDefault="003A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41147" w14:textId="77777777" w:rsidR="003A6C0F" w:rsidRDefault="003A6C0F">
      <w:r>
        <w:separator/>
      </w:r>
    </w:p>
  </w:footnote>
  <w:footnote w:type="continuationSeparator" w:id="0">
    <w:p w14:paraId="2CAD8364" w14:textId="77777777" w:rsidR="003A6C0F" w:rsidRDefault="003A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10A"/>
    <w:rsid w:val="00027ACA"/>
    <w:rsid w:val="00033FA1"/>
    <w:rsid w:val="00046056"/>
    <w:rsid w:val="00061460"/>
    <w:rsid w:val="0006161D"/>
    <w:rsid w:val="00090A2A"/>
    <w:rsid w:val="000A28E9"/>
    <w:rsid w:val="000B1AA1"/>
    <w:rsid w:val="000B31A4"/>
    <w:rsid w:val="000C0F46"/>
    <w:rsid w:val="000C574A"/>
    <w:rsid w:val="000D1B8A"/>
    <w:rsid w:val="000E6B22"/>
    <w:rsid w:val="000E766B"/>
    <w:rsid w:val="000F4E43"/>
    <w:rsid w:val="00105899"/>
    <w:rsid w:val="00110871"/>
    <w:rsid w:val="001121A3"/>
    <w:rsid w:val="00113BFD"/>
    <w:rsid w:val="0014703D"/>
    <w:rsid w:val="001608BF"/>
    <w:rsid w:val="00160E89"/>
    <w:rsid w:val="00164DAD"/>
    <w:rsid w:val="00165C82"/>
    <w:rsid w:val="001734EB"/>
    <w:rsid w:val="001848F5"/>
    <w:rsid w:val="001A4AF7"/>
    <w:rsid w:val="001B7DB4"/>
    <w:rsid w:val="001D0FD9"/>
    <w:rsid w:val="001E60FD"/>
    <w:rsid w:val="001F5339"/>
    <w:rsid w:val="001F6498"/>
    <w:rsid w:val="00240B07"/>
    <w:rsid w:val="00241727"/>
    <w:rsid w:val="00252421"/>
    <w:rsid w:val="002627D6"/>
    <w:rsid w:val="00275FF1"/>
    <w:rsid w:val="00284CB8"/>
    <w:rsid w:val="00295A7B"/>
    <w:rsid w:val="002E5688"/>
    <w:rsid w:val="002F5CEA"/>
    <w:rsid w:val="00324107"/>
    <w:rsid w:val="00326B06"/>
    <w:rsid w:val="0034008E"/>
    <w:rsid w:val="0034153B"/>
    <w:rsid w:val="00347947"/>
    <w:rsid w:val="003621C9"/>
    <w:rsid w:val="00363A81"/>
    <w:rsid w:val="003663C4"/>
    <w:rsid w:val="00367678"/>
    <w:rsid w:val="00376AA3"/>
    <w:rsid w:val="003901E1"/>
    <w:rsid w:val="003A6C0F"/>
    <w:rsid w:val="003B7403"/>
    <w:rsid w:val="00401229"/>
    <w:rsid w:val="00405B39"/>
    <w:rsid w:val="00415B04"/>
    <w:rsid w:val="004234FF"/>
    <w:rsid w:val="00445241"/>
    <w:rsid w:val="0044786C"/>
    <w:rsid w:val="0045665D"/>
    <w:rsid w:val="004567C2"/>
    <w:rsid w:val="004634F1"/>
    <w:rsid w:val="00463675"/>
    <w:rsid w:val="004643F7"/>
    <w:rsid w:val="0048467E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708A5"/>
    <w:rsid w:val="00584B08"/>
    <w:rsid w:val="005E5C97"/>
    <w:rsid w:val="00600476"/>
    <w:rsid w:val="00615177"/>
    <w:rsid w:val="0065013C"/>
    <w:rsid w:val="00654758"/>
    <w:rsid w:val="00675D3A"/>
    <w:rsid w:val="006800AC"/>
    <w:rsid w:val="006866EF"/>
    <w:rsid w:val="00687A0B"/>
    <w:rsid w:val="00691928"/>
    <w:rsid w:val="006B1278"/>
    <w:rsid w:val="006B22EE"/>
    <w:rsid w:val="006C52B6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939B0"/>
    <w:rsid w:val="007A71F0"/>
    <w:rsid w:val="007A76F8"/>
    <w:rsid w:val="007D1BF1"/>
    <w:rsid w:val="007F2AD1"/>
    <w:rsid w:val="008955A7"/>
    <w:rsid w:val="0089666F"/>
    <w:rsid w:val="008B2E8E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B2144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C079B"/>
    <w:rsid w:val="00AC2ED0"/>
    <w:rsid w:val="00AC438C"/>
    <w:rsid w:val="00AD51BB"/>
    <w:rsid w:val="00AE489C"/>
    <w:rsid w:val="00B144F4"/>
    <w:rsid w:val="00B20B1A"/>
    <w:rsid w:val="00B2266E"/>
    <w:rsid w:val="00B37BC6"/>
    <w:rsid w:val="00B40015"/>
    <w:rsid w:val="00B57E66"/>
    <w:rsid w:val="00B96AE9"/>
    <w:rsid w:val="00BA531A"/>
    <w:rsid w:val="00BB7875"/>
    <w:rsid w:val="00BC10F5"/>
    <w:rsid w:val="00BF7EE2"/>
    <w:rsid w:val="00C15881"/>
    <w:rsid w:val="00C165D1"/>
    <w:rsid w:val="00C26A8F"/>
    <w:rsid w:val="00C361ED"/>
    <w:rsid w:val="00C37707"/>
    <w:rsid w:val="00C63C80"/>
    <w:rsid w:val="00C6700A"/>
    <w:rsid w:val="00C7312A"/>
    <w:rsid w:val="00C73C04"/>
    <w:rsid w:val="00C800AB"/>
    <w:rsid w:val="00CA2623"/>
    <w:rsid w:val="00CA2FB0"/>
    <w:rsid w:val="00CA77AA"/>
    <w:rsid w:val="00CB77D9"/>
    <w:rsid w:val="00CC5CA8"/>
    <w:rsid w:val="00CD074A"/>
    <w:rsid w:val="00CD2DC1"/>
    <w:rsid w:val="00D23B4F"/>
    <w:rsid w:val="00D53018"/>
    <w:rsid w:val="00D676CD"/>
    <w:rsid w:val="00DA5361"/>
    <w:rsid w:val="00DB777F"/>
    <w:rsid w:val="00DD791F"/>
    <w:rsid w:val="00DE79F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163</cp:revision>
  <cp:lastPrinted>2002-04-23T07:10:00Z</cp:lastPrinted>
  <dcterms:created xsi:type="dcterms:W3CDTF">2019-01-14T13:28:00Z</dcterms:created>
  <dcterms:modified xsi:type="dcterms:W3CDTF">2024-05-20T08:21:00Z</dcterms:modified>
</cp:coreProperties>
</file>