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6FAA724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="00B61305">
        <w:rPr>
          <w:rFonts w:cs="Arial"/>
          <w:noProof w:val="0"/>
          <w:sz w:val="22"/>
          <w:szCs w:val="22"/>
        </w:rPr>
        <w:t>CT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B61305">
        <w:rPr>
          <w:rFonts w:cs="Arial"/>
          <w:bCs/>
          <w:sz w:val="22"/>
          <w:szCs w:val="22"/>
        </w:rPr>
        <w:t>1</w:t>
      </w:r>
      <w:r w:rsidRPr="00B12766">
        <w:rPr>
          <w:rFonts w:cs="Arial"/>
          <w:bCs/>
          <w:sz w:val="22"/>
          <w:szCs w:val="22"/>
        </w:rPr>
        <w:t xml:space="preserve">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B61305">
        <w:rPr>
          <w:rFonts w:cs="Arial"/>
          <w:noProof w:val="0"/>
          <w:sz w:val="22"/>
          <w:szCs w:val="22"/>
        </w:rPr>
        <w:t>39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B61305">
        <w:rPr>
          <w:rFonts w:cs="Arial"/>
          <w:bCs/>
          <w:sz w:val="22"/>
          <w:szCs w:val="22"/>
        </w:rPr>
        <w:t>C1</w:t>
      </w:r>
      <w:r w:rsidRPr="00B12766">
        <w:rPr>
          <w:rFonts w:cs="Arial"/>
          <w:bCs/>
          <w:sz w:val="22"/>
          <w:szCs w:val="22"/>
        </w:rPr>
        <w:t>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4D2D05">
        <w:rPr>
          <w:rFonts w:cs="Arial"/>
          <w:bCs/>
          <w:sz w:val="22"/>
          <w:szCs w:val="22"/>
        </w:rPr>
        <w:t>71</w:t>
      </w:r>
      <w:r w:rsidR="008B4793">
        <w:rPr>
          <w:rFonts w:cs="Arial"/>
          <w:bCs/>
          <w:sz w:val="22"/>
          <w:szCs w:val="22"/>
        </w:rPr>
        <w:t>9</w:t>
      </w:r>
      <w:r w:rsidR="00A22F18">
        <w:rPr>
          <w:rFonts w:cs="Arial"/>
          <w:bCs/>
          <w:sz w:val="22"/>
          <w:szCs w:val="22"/>
        </w:rPr>
        <w:t>6</w:t>
      </w:r>
    </w:p>
    <w:p w14:paraId="09B50E1A" w14:textId="278BA24E" w:rsidR="00F07126" w:rsidRPr="00B12766" w:rsidRDefault="00B6130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Toulouse, France, November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 xml:space="preserve">4 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4E24DA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CC04073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130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60060D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61305" w:rsidRPr="00D25404">
        <w:rPr>
          <w:rFonts w:ascii="Arial" w:hAnsi="Arial" w:cs="Arial"/>
          <w:b/>
          <w:sz w:val="22"/>
          <w:szCs w:val="22"/>
        </w:rPr>
        <w:t>on</w:t>
      </w:r>
      <w:r w:rsidR="00B61305">
        <w:rPr>
          <w:rFonts w:ascii="Arial" w:hAnsi="Arial" w:cs="Arial"/>
          <w:b/>
          <w:sz w:val="22"/>
          <w:szCs w:val="22"/>
        </w:rPr>
        <w:t xml:space="preserve"> Satellite </w:t>
      </w:r>
      <w:r w:rsidR="00B613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B613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7132FE07" w:rsidR="00B97703" w:rsidRPr="00B613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Source:</w:t>
      </w:r>
      <w:r w:rsidRPr="00B61305">
        <w:rPr>
          <w:rFonts w:ascii="Arial" w:hAnsi="Arial" w:cs="Arial"/>
          <w:b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4CFC29F3" w14:textId="746928A4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61305">
        <w:rPr>
          <w:rFonts w:ascii="Arial" w:hAnsi="Arial" w:cs="Arial"/>
          <w:b/>
          <w:sz w:val="22"/>
          <w:szCs w:val="22"/>
          <w:lang w:val="en-US"/>
        </w:rPr>
        <w:t>To: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 w:rsidRPr="00B61305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A2</w:t>
      </w:r>
    </w:p>
    <w:p w14:paraId="00E235EF" w14:textId="6CD3D426" w:rsidR="00B97703" w:rsidRPr="00B613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B61305">
        <w:rPr>
          <w:rFonts w:ascii="Arial" w:hAnsi="Arial" w:cs="Arial"/>
          <w:b/>
          <w:sz w:val="22"/>
          <w:szCs w:val="22"/>
          <w:lang w:val="en-US"/>
        </w:rPr>
        <w:t>Cc:</w:t>
      </w:r>
      <w:r w:rsidRPr="00B6130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1305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013BBF76" w14:textId="68DFECBB" w:rsidR="00B97703" w:rsidRPr="00B6130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C2CB6BB" w14:textId="05ED0E9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 Catovic</w:t>
      </w:r>
    </w:p>
    <w:p w14:paraId="0A6B175D" w14:textId="2FB1770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1305">
        <w:rPr>
          <w:rFonts w:ascii="Arial" w:hAnsi="Arial" w:cs="Arial"/>
          <w:b/>
          <w:bCs/>
          <w:sz w:val="22"/>
          <w:szCs w:val="22"/>
        </w:rPr>
        <w:t>amerc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754F7A" w14:textId="45E5CA84" w:rsidR="00661D4C" w:rsidRDefault="00661D4C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CT1 would like to thank SA2 </w:t>
      </w:r>
      <w:r w:rsidR="00C029C0">
        <w:rPr>
          <w:sz w:val="22"/>
          <w:szCs w:val="22"/>
        </w:rPr>
        <w:t>for</w:t>
      </w:r>
      <w:r>
        <w:rPr>
          <w:sz w:val="22"/>
          <w:szCs w:val="22"/>
        </w:rPr>
        <w:t xml:space="preserve"> their </w:t>
      </w:r>
      <w:r w:rsidRPr="00661D4C">
        <w:rPr>
          <w:sz w:val="22"/>
          <w:szCs w:val="22"/>
        </w:rPr>
        <w:t>LS on Satellite coverage data transfer to a UE using UP versus CP</w:t>
      </w:r>
      <w:r>
        <w:rPr>
          <w:sz w:val="22"/>
          <w:szCs w:val="22"/>
        </w:rPr>
        <w:t>.</w:t>
      </w:r>
    </w:p>
    <w:p w14:paraId="1BA8FCD3" w14:textId="3D0F417A" w:rsidR="00661D4C" w:rsidRPr="00992E19" w:rsidRDefault="00A31FB7" w:rsidP="00C8245B">
      <w:pPr>
        <w:rPr>
          <w:sz w:val="22"/>
          <w:szCs w:val="22"/>
        </w:rPr>
      </w:pPr>
      <w:r>
        <w:rPr>
          <w:sz w:val="22"/>
          <w:szCs w:val="22"/>
        </w:rPr>
        <w:t xml:space="preserve">Overall, CT1 could </w:t>
      </w:r>
      <w:r w:rsidR="007C4EF2">
        <w:rPr>
          <w:sz w:val="22"/>
          <w:szCs w:val="22"/>
        </w:rPr>
        <w:t xml:space="preserve">in principle </w:t>
      </w:r>
      <w:r>
        <w:rPr>
          <w:sz w:val="22"/>
          <w:szCs w:val="22"/>
        </w:rPr>
        <w:t xml:space="preserve">provide </w:t>
      </w:r>
      <w:r w:rsidR="007C4EF2">
        <w:rPr>
          <w:sz w:val="22"/>
          <w:szCs w:val="22"/>
        </w:rPr>
        <w:t xml:space="preserve">a </w:t>
      </w:r>
      <w:r>
        <w:rPr>
          <w:sz w:val="22"/>
          <w:szCs w:val="22"/>
        </w:rPr>
        <w:t>stage 3 solution for stage 2</w:t>
      </w:r>
      <w:r w:rsidR="008B4793">
        <w:rPr>
          <w:sz w:val="22"/>
          <w:szCs w:val="22"/>
        </w:rPr>
        <w:t xml:space="preserve"> normative</w:t>
      </w:r>
      <w:r>
        <w:rPr>
          <w:sz w:val="22"/>
          <w:szCs w:val="22"/>
        </w:rPr>
        <w:t xml:space="preserve"> requirements to </w:t>
      </w:r>
      <w:r w:rsidRPr="00A31FB7">
        <w:rPr>
          <w:sz w:val="22"/>
          <w:szCs w:val="22"/>
        </w:rPr>
        <w:t>support transfer of coverage map data to a UE for one or more satellite RATs</w:t>
      </w:r>
      <w:r w:rsidR="00C8245B">
        <w:rPr>
          <w:sz w:val="22"/>
          <w:szCs w:val="22"/>
        </w:rPr>
        <w:t xml:space="preserve"> using either a control plane or a user plane transfer. CT1 has designed both CP and UP protocols for various features in the past.</w:t>
      </w:r>
      <w:r>
        <w:rPr>
          <w:sz w:val="22"/>
          <w:szCs w:val="22"/>
        </w:rPr>
        <w:t xml:space="preserve"> </w:t>
      </w:r>
    </w:p>
    <w:p w14:paraId="1E4E378B" w14:textId="4BB56CD2" w:rsidR="00C8245B" w:rsidRDefault="00C8245B" w:rsidP="00B70E95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FD3CB6">
        <w:rPr>
          <w:sz w:val="22"/>
          <w:szCs w:val="22"/>
        </w:rPr>
        <w:t xml:space="preserve">ontrol plane data transfer via NAS is used for </w:t>
      </w:r>
      <w:r w:rsidR="00F67D8D">
        <w:rPr>
          <w:sz w:val="22"/>
          <w:szCs w:val="22"/>
        </w:rPr>
        <w:t>power-</w:t>
      </w:r>
      <w:r w:rsidR="00400BE3">
        <w:rPr>
          <w:sz w:val="22"/>
          <w:szCs w:val="22"/>
        </w:rPr>
        <w:t xml:space="preserve">efficient, </w:t>
      </w:r>
      <w:r w:rsidR="00FD3CB6">
        <w:rPr>
          <w:sz w:val="22"/>
          <w:szCs w:val="22"/>
        </w:rPr>
        <w:t>relatively infrequent transfers of small amounts of data, that do not require protocol functions like packet numbering, in-sequence delivery, and acknowledgments to be provided by the NAS transfer</w:t>
      </w:r>
      <w:r w:rsidR="00DB7322">
        <w:rPr>
          <w:sz w:val="22"/>
          <w:szCs w:val="22"/>
        </w:rPr>
        <w:t xml:space="preserve"> (d</w:t>
      </w:r>
      <w:r w:rsidR="00DB7322" w:rsidRPr="00DB7322">
        <w:rPr>
          <w:sz w:val="22"/>
          <w:szCs w:val="22"/>
        </w:rPr>
        <w:t>epending on the protocol endpoint in the 5GS, these protocol functions may be provided by the RDS protocol</w:t>
      </w:r>
      <w:r w:rsidR="00DB7322">
        <w:rPr>
          <w:sz w:val="22"/>
          <w:szCs w:val="22"/>
        </w:rPr>
        <w:t xml:space="preserve">, </w:t>
      </w:r>
      <w:r w:rsidR="00DB7322" w:rsidRPr="00DB7322">
        <w:rPr>
          <w:sz w:val="22"/>
          <w:szCs w:val="22"/>
        </w:rPr>
        <w:t>see T</w:t>
      </w:r>
      <w:r w:rsidR="00DB7322">
        <w:rPr>
          <w:sz w:val="22"/>
          <w:szCs w:val="22"/>
        </w:rPr>
        <w:t>S</w:t>
      </w:r>
      <w:r w:rsidR="00DB7322" w:rsidRPr="00DB7322">
        <w:rPr>
          <w:sz w:val="22"/>
          <w:szCs w:val="22"/>
        </w:rPr>
        <w:t xml:space="preserve"> 24.250)</w:t>
      </w:r>
      <w:r w:rsidR="00FD3CB6">
        <w:rPr>
          <w:sz w:val="22"/>
          <w:szCs w:val="22"/>
        </w:rPr>
        <w:t>. It also requires a 5GC entity</w:t>
      </w:r>
      <w:r w:rsidR="00A31FB7">
        <w:rPr>
          <w:sz w:val="22"/>
          <w:szCs w:val="22"/>
        </w:rPr>
        <w:t xml:space="preserve"> to be the other endpoint of the </w:t>
      </w:r>
      <w:r w:rsidR="008B4793">
        <w:rPr>
          <w:sz w:val="22"/>
          <w:szCs w:val="22"/>
        </w:rPr>
        <w:t xml:space="preserve">coverage map </w:t>
      </w:r>
      <w:r w:rsidR="00A31FB7">
        <w:rPr>
          <w:sz w:val="22"/>
          <w:szCs w:val="22"/>
        </w:rPr>
        <w:t xml:space="preserve">data transfer. </w:t>
      </w:r>
      <w:r w:rsidRPr="00C8245B">
        <w:rPr>
          <w:sz w:val="22"/>
          <w:szCs w:val="22"/>
        </w:rPr>
        <w:t xml:space="preserve">For a control plane solution via NAS, </w:t>
      </w:r>
      <w:r>
        <w:rPr>
          <w:sz w:val="22"/>
          <w:szCs w:val="22"/>
        </w:rPr>
        <w:t>the</w:t>
      </w:r>
      <w:r w:rsidRPr="00C8245B">
        <w:rPr>
          <w:sz w:val="22"/>
          <w:szCs w:val="22"/>
        </w:rPr>
        <w:t xml:space="preserve"> coverage data c</w:t>
      </w:r>
      <w:r>
        <w:rPr>
          <w:sz w:val="22"/>
          <w:szCs w:val="22"/>
        </w:rPr>
        <w:t>ould</w:t>
      </w:r>
      <w:r w:rsidRPr="00C8245B">
        <w:rPr>
          <w:sz w:val="22"/>
          <w:szCs w:val="22"/>
        </w:rPr>
        <w:t xml:space="preserve"> be provided either via transparent containers or via defined NAS IE(s). </w:t>
      </w:r>
    </w:p>
    <w:p w14:paraId="60DF0BED" w14:textId="702623A5" w:rsidR="00661D4C" w:rsidRDefault="00FD3CB6" w:rsidP="00B70E95">
      <w:pPr>
        <w:rPr>
          <w:sz w:val="22"/>
          <w:szCs w:val="22"/>
        </w:rPr>
      </w:pPr>
      <w:r>
        <w:rPr>
          <w:sz w:val="22"/>
          <w:szCs w:val="22"/>
        </w:rPr>
        <w:t>For transfers of more frequent and/or larger amounts of data</w:t>
      </w:r>
      <w:r w:rsidR="00A31FB7">
        <w:rPr>
          <w:sz w:val="22"/>
          <w:szCs w:val="22"/>
        </w:rPr>
        <w:t xml:space="preserve">, for data that originates from external servers, and/or if the above protocol functions are needed to be provided along with the transfer, a user plane option is usually more suitable. </w:t>
      </w:r>
      <w:r w:rsidR="00121755">
        <w:rPr>
          <w:sz w:val="22"/>
          <w:szCs w:val="22"/>
        </w:rPr>
        <w:t>S</w:t>
      </w:r>
      <w:r w:rsidR="00C8245B" w:rsidRPr="00C8245B">
        <w:rPr>
          <w:sz w:val="22"/>
          <w:szCs w:val="22"/>
        </w:rPr>
        <w:t>ubscription and charging</w:t>
      </w:r>
      <w:r w:rsidR="00121755">
        <w:rPr>
          <w:sz w:val="22"/>
          <w:szCs w:val="22"/>
        </w:rPr>
        <w:t xml:space="preserve"> are out of the scope of CT1 expertise.</w:t>
      </w:r>
    </w:p>
    <w:p w14:paraId="7136D5FA" w14:textId="47D1DC9E" w:rsidR="00C8245B" w:rsidRDefault="00AC59EF" w:rsidP="00AC59EF">
      <w:pPr>
        <w:rPr>
          <w:sz w:val="22"/>
          <w:szCs w:val="22"/>
        </w:rPr>
      </w:pPr>
      <w:r>
        <w:rPr>
          <w:sz w:val="22"/>
          <w:szCs w:val="22"/>
        </w:rPr>
        <w:t>In order to provide a more detailed evaluation of the feasibility of the CP and the UP option, the CT1 would require more information about the requirements for the</w:t>
      </w:r>
      <w:r w:rsidR="008B4793">
        <w:rPr>
          <w:sz w:val="22"/>
          <w:szCs w:val="22"/>
        </w:rPr>
        <w:t xml:space="preserve"> coverage map</w:t>
      </w:r>
      <w:r>
        <w:rPr>
          <w:sz w:val="22"/>
          <w:szCs w:val="22"/>
        </w:rPr>
        <w:t xml:space="preserve"> data transfer, including but not limited to: expected payload size,</w:t>
      </w:r>
      <w:r w:rsidR="008B4793">
        <w:rPr>
          <w:sz w:val="22"/>
          <w:szCs w:val="22"/>
        </w:rPr>
        <w:t xml:space="preserve"> the contents of coverage map data,</w:t>
      </w:r>
      <w:r>
        <w:rPr>
          <w:sz w:val="22"/>
          <w:szCs w:val="22"/>
        </w:rPr>
        <w:t xml:space="preserve"> the target layer in the UE and the expected frequency of </w:t>
      </w:r>
      <w:r w:rsidR="008B4793">
        <w:rPr>
          <w:sz w:val="22"/>
          <w:szCs w:val="22"/>
        </w:rPr>
        <w:t xml:space="preserve">coverage map </w:t>
      </w:r>
      <w:r>
        <w:rPr>
          <w:sz w:val="22"/>
          <w:szCs w:val="22"/>
        </w:rPr>
        <w:t xml:space="preserve">data updates. 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8830A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1512E">
        <w:rPr>
          <w:rFonts w:ascii="Arial" w:hAnsi="Arial" w:cs="Arial"/>
          <w:b/>
        </w:rPr>
        <w:t>SA2</w:t>
      </w:r>
    </w:p>
    <w:p w14:paraId="6C0EE4AD" w14:textId="0015F86E" w:rsidR="006178DF" w:rsidRPr="00A31FB7" w:rsidRDefault="00B97703" w:rsidP="007E3E71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b/>
          <w:lang w:val="en-US"/>
        </w:rPr>
        <w:t xml:space="preserve">ACTION: </w:t>
      </w:r>
      <w:r w:rsidRPr="00A31FB7">
        <w:rPr>
          <w:rFonts w:ascii="Arial" w:hAnsi="Arial" w:cs="Arial"/>
          <w:b/>
          <w:color w:val="0070C0"/>
          <w:lang w:val="en-US"/>
        </w:rPr>
        <w:tab/>
      </w:r>
      <w:r w:rsidR="00A31FB7" w:rsidRPr="00A31FB7">
        <w:rPr>
          <w:rFonts w:ascii="Arial" w:hAnsi="Arial" w:cs="Arial"/>
          <w:lang w:val="en-US"/>
        </w:rPr>
        <w:t>CT1 asks SA2 to</w:t>
      </w:r>
      <w:r w:rsidR="00A31FB7">
        <w:rPr>
          <w:rFonts w:ascii="Arial" w:hAnsi="Arial" w:cs="Arial"/>
          <w:lang w:val="en-US"/>
        </w:rPr>
        <w:t xml:space="preserve"> </w:t>
      </w:r>
      <w:r w:rsidR="00A31FB7" w:rsidRPr="00A31FB7">
        <w:rPr>
          <w:rFonts w:ascii="Arial" w:hAnsi="Arial" w:cs="Arial"/>
          <w:lang w:val="en-US"/>
        </w:rPr>
        <w:t>take th</w:t>
      </w:r>
      <w:r w:rsidR="00A31FB7">
        <w:rPr>
          <w:rFonts w:ascii="Arial" w:hAnsi="Arial" w:cs="Arial"/>
          <w:lang w:val="en-US"/>
        </w:rPr>
        <w:t>e above into account and to provide further details, when available, o</w:t>
      </w:r>
      <w:r w:rsidR="00B10183">
        <w:rPr>
          <w:rFonts w:ascii="Arial" w:hAnsi="Arial" w:cs="Arial"/>
          <w:lang w:val="en-US"/>
        </w:rPr>
        <w:t>n</w:t>
      </w:r>
      <w:r w:rsidR="00A31FB7">
        <w:rPr>
          <w:rFonts w:ascii="Arial" w:hAnsi="Arial" w:cs="Arial"/>
          <w:lang w:val="en-US"/>
        </w:rPr>
        <w:t xml:space="preserve"> the requirements </w:t>
      </w:r>
      <w:r w:rsidR="00A31FB7" w:rsidRPr="00A31FB7">
        <w:rPr>
          <w:rFonts w:ascii="Arial" w:hAnsi="Arial" w:cs="Arial"/>
          <w:lang w:val="en-US"/>
        </w:rPr>
        <w:t>to support transfer of coverage map data to a UE for one or more satellite RATs</w:t>
      </w:r>
      <w:r w:rsidR="00A31FB7">
        <w:rPr>
          <w:rFonts w:ascii="Arial" w:hAnsi="Arial" w:cs="Arial"/>
          <w:lang w:val="en-US"/>
        </w:rPr>
        <w:t>.</w:t>
      </w:r>
    </w:p>
    <w:p w14:paraId="6626FAE4" w14:textId="266F55C2" w:rsidR="00B97703" w:rsidRPr="00A31FB7" w:rsidRDefault="00891008">
      <w:pPr>
        <w:spacing w:after="120"/>
        <w:ind w:left="993" w:hanging="993"/>
        <w:rPr>
          <w:rFonts w:ascii="Arial" w:hAnsi="Arial" w:cs="Arial"/>
          <w:lang w:val="en-US"/>
        </w:rPr>
      </w:pPr>
      <w:r w:rsidRPr="00A31FB7">
        <w:rPr>
          <w:rFonts w:ascii="Arial" w:hAnsi="Arial" w:cs="Arial"/>
          <w:lang w:val="en-US"/>
        </w:rPr>
        <w:t xml:space="preserve"> </w:t>
      </w:r>
    </w:p>
    <w:p w14:paraId="0073FC23" w14:textId="19BD85F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1512E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1151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6E97319" w:rsidR="00E05313" w:rsidRPr="00C56472" w:rsidRDefault="00C56472" w:rsidP="00E05313">
      <w:pPr>
        <w:rPr>
          <w:lang w:val="en-US"/>
        </w:rPr>
      </w:pPr>
      <w:r w:rsidRPr="00C56472">
        <w:rPr>
          <w:lang w:val="en-US"/>
        </w:rPr>
        <w:t>CT1</w:t>
      </w:r>
      <w:r w:rsidR="00E05313" w:rsidRPr="00C56472">
        <w:rPr>
          <w:lang w:val="en-US"/>
        </w:rPr>
        <w:t>#1</w:t>
      </w:r>
      <w:r w:rsidRPr="00C56472">
        <w:rPr>
          <w:lang w:val="en-US"/>
        </w:rPr>
        <w:t>40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 w:rsidR="00F42CF4" w:rsidRPr="00C56472">
        <w:rPr>
          <w:lang w:val="en-US"/>
        </w:rPr>
        <w:tab/>
      </w:r>
      <w:r w:rsidRPr="00C56472">
        <w:rPr>
          <w:lang w:val="en-US"/>
        </w:rPr>
        <w:t>27 February</w:t>
      </w:r>
      <w:r>
        <w:rPr>
          <w:lang w:val="en-US"/>
        </w:rPr>
        <w:t xml:space="preserve"> </w:t>
      </w:r>
      <w:r w:rsidR="00D13E05" w:rsidRPr="00C56472">
        <w:rPr>
          <w:lang w:val="en-US"/>
        </w:rPr>
        <w:t>-</w:t>
      </w:r>
      <w:r>
        <w:rPr>
          <w:lang w:val="en-US"/>
        </w:rPr>
        <w:t xml:space="preserve"> </w:t>
      </w:r>
      <w:r w:rsidRPr="00C56472">
        <w:rPr>
          <w:lang w:val="en-US"/>
        </w:rPr>
        <w:t>3</w:t>
      </w:r>
      <w:r w:rsidR="00D13E05" w:rsidRPr="00C56472">
        <w:rPr>
          <w:lang w:val="en-US"/>
        </w:rPr>
        <w:t xml:space="preserve"> </w:t>
      </w:r>
      <w:r>
        <w:rPr>
          <w:lang w:val="en-US"/>
        </w:rPr>
        <w:t>March</w:t>
      </w:r>
      <w:r w:rsidR="00D13E05" w:rsidRPr="00C56472">
        <w:rPr>
          <w:lang w:val="en-US"/>
        </w:rPr>
        <w:t xml:space="preserve"> 2022</w:t>
      </w:r>
      <w:r w:rsidR="00E05313" w:rsidRPr="00C56472">
        <w:rPr>
          <w:lang w:val="en-US"/>
        </w:rPr>
        <w:tab/>
      </w:r>
      <w:r w:rsidR="00E05313" w:rsidRPr="00C56472">
        <w:rPr>
          <w:lang w:val="en-US"/>
        </w:rPr>
        <w:tab/>
      </w:r>
      <w:r>
        <w:rPr>
          <w:lang w:val="en-US"/>
        </w:rPr>
        <w:t>Athens, Greece</w:t>
      </w:r>
    </w:p>
    <w:p w14:paraId="7EFD0EA2" w14:textId="4AC4AA50" w:rsidR="00891008" w:rsidRPr="00C56472" w:rsidRDefault="00891008" w:rsidP="00891008">
      <w:pPr>
        <w:rPr>
          <w:lang w:val="en-US"/>
        </w:rPr>
      </w:pPr>
    </w:p>
    <w:p w14:paraId="55EC24C5" w14:textId="77777777" w:rsidR="00891008" w:rsidRPr="00C56472" w:rsidRDefault="00891008" w:rsidP="00E77DAB">
      <w:pPr>
        <w:rPr>
          <w:lang w:val="en-US"/>
        </w:rPr>
      </w:pPr>
    </w:p>
    <w:p w14:paraId="3C23B5F0" w14:textId="0218D755" w:rsidR="002F1940" w:rsidRPr="00C56472" w:rsidRDefault="002F1940" w:rsidP="00E77DAB">
      <w:pPr>
        <w:rPr>
          <w:lang w:val="en-US"/>
        </w:rPr>
      </w:pPr>
    </w:p>
    <w:sectPr w:rsidR="002F1940" w:rsidRPr="00C564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2654B" w14:textId="77777777" w:rsidR="001279CF" w:rsidRDefault="001279CF">
      <w:pPr>
        <w:spacing w:after="0"/>
      </w:pPr>
      <w:r>
        <w:separator/>
      </w:r>
    </w:p>
  </w:endnote>
  <w:endnote w:type="continuationSeparator" w:id="0">
    <w:p w14:paraId="0EF20908" w14:textId="77777777" w:rsidR="001279CF" w:rsidRDefault="00127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D7E2" w14:textId="77777777" w:rsidR="001279CF" w:rsidRDefault="001279CF">
      <w:pPr>
        <w:spacing w:after="0"/>
      </w:pPr>
      <w:r>
        <w:separator/>
      </w:r>
    </w:p>
  </w:footnote>
  <w:footnote w:type="continuationSeparator" w:id="0">
    <w:p w14:paraId="07C63728" w14:textId="77777777" w:rsidR="001279CF" w:rsidRDefault="001279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A4E72"/>
    <w:multiLevelType w:val="hybridMultilevel"/>
    <w:tmpl w:val="557CC746"/>
    <w:lvl w:ilvl="0" w:tplc="98A4769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2778065">
    <w:abstractNumId w:val="8"/>
  </w:num>
  <w:num w:numId="2" w16cid:durableId="1334138544">
    <w:abstractNumId w:val="5"/>
  </w:num>
  <w:num w:numId="3" w16cid:durableId="237911279">
    <w:abstractNumId w:val="4"/>
  </w:num>
  <w:num w:numId="4" w16cid:durableId="1527206617">
    <w:abstractNumId w:val="2"/>
  </w:num>
  <w:num w:numId="5" w16cid:durableId="876894317">
    <w:abstractNumId w:val="1"/>
  </w:num>
  <w:num w:numId="6" w16cid:durableId="1598562018">
    <w:abstractNumId w:val="0"/>
  </w:num>
  <w:num w:numId="7" w16cid:durableId="395515319">
    <w:abstractNumId w:val="6"/>
  </w:num>
  <w:num w:numId="8" w16cid:durableId="1107195563">
    <w:abstractNumId w:val="7"/>
  </w:num>
  <w:num w:numId="9" w16cid:durableId="14903683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1512E"/>
    <w:rsid w:val="00121755"/>
    <w:rsid w:val="001227E9"/>
    <w:rsid w:val="001279CF"/>
    <w:rsid w:val="00132CD5"/>
    <w:rsid w:val="00151FE2"/>
    <w:rsid w:val="00152161"/>
    <w:rsid w:val="00160D93"/>
    <w:rsid w:val="00164C7C"/>
    <w:rsid w:val="001947B9"/>
    <w:rsid w:val="001A281F"/>
    <w:rsid w:val="001A33AF"/>
    <w:rsid w:val="001B7349"/>
    <w:rsid w:val="001C4523"/>
    <w:rsid w:val="00217F62"/>
    <w:rsid w:val="00266A8F"/>
    <w:rsid w:val="002A5498"/>
    <w:rsid w:val="002C228E"/>
    <w:rsid w:val="002F0A2A"/>
    <w:rsid w:val="002F114D"/>
    <w:rsid w:val="002F164C"/>
    <w:rsid w:val="002F1940"/>
    <w:rsid w:val="00353393"/>
    <w:rsid w:val="003627F2"/>
    <w:rsid w:val="00374DBB"/>
    <w:rsid w:val="00383545"/>
    <w:rsid w:val="003930F8"/>
    <w:rsid w:val="003961F3"/>
    <w:rsid w:val="003D0926"/>
    <w:rsid w:val="003D1DCD"/>
    <w:rsid w:val="003F15B2"/>
    <w:rsid w:val="003F1CD1"/>
    <w:rsid w:val="003F2F65"/>
    <w:rsid w:val="003F510C"/>
    <w:rsid w:val="00400BE3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D2D05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61D4C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C4EF2"/>
    <w:rsid w:val="007D5141"/>
    <w:rsid w:val="007E3E71"/>
    <w:rsid w:val="007E74EA"/>
    <w:rsid w:val="007F4B6D"/>
    <w:rsid w:val="007F4F92"/>
    <w:rsid w:val="007F54C9"/>
    <w:rsid w:val="00802CE8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4793"/>
    <w:rsid w:val="008B5840"/>
    <w:rsid w:val="008B6FF1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2E19"/>
    <w:rsid w:val="0099764C"/>
    <w:rsid w:val="009A2DD5"/>
    <w:rsid w:val="009C52B1"/>
    <w:rsid w:val="009F2F0C"/>
    <w:rsid w:val="009F7DB9"/>
    <w:rsid w:val="00A2290B"/>
    <w:rsid w:val="00A22F18"/>
    <w:rsid w:val="00A30E6D"/>
    <w:rsid w:val="00A31FB7"/>
    <w:rsid w:val="00AB14E8"/>
    <w:rsid w:val="00AC59EF"/>
    <w:rsid w:val="00AE5EBF"/>
    <w:rsid w:val="00B05BFF"/>
    <w:rsid w:val="00B10183"/>
    <w:rsid w:val="00B335B8"/>
    <w:rsid w:val="00B356FB"/>
    <w:rsid w:val="00B541C1"/>
    <w:rsid w:val="00B61305"/>
    <w:rsid w:val="00B61D7B"/>
    <w:rsid w:val="00B6219D"/>
    <w:rsid w:val="00B62A25"/>
    <w:rsid w:val="00B70E95"/>
    <w:rsid w:val="00B832F9"/>
    <w:rsid w:val="00B962F8"/>
    <w:rsid w:val="00B97703"/>
    <w:rsid w:val="00BC2A89"/>
    <w:rsid w:val="00BC5ED3"/>
    <w:rsid w:val="00BC7463"/>
    <w:rsid w:val="00BC7F8F"/>
    <w:rsid w:val="00BD4D5E"/>
    <w:rsid w:val="00BE2FC0"/>
    <w:rsid w:val="00C01721"/>
    <w:rsid w:val="00C029C0"/>
    <w:rsid w:val="00C25781"/>
    <w:rsid w:val="00C56472"/>
    <w:rsid w:val="00C61D92"/>
    <w:rsid w:val="00C65F2F"/>
    <w:rsid w:val="00C8245B"/>
    <w:rsid w:val="00CC5460"/>
    <w:rsid w:val="00CE255C"/>
    <w:rsid w:val="00CE47B3"/>
    <w:rsid w:val="00CF6087"/>
    <w:rsid w:val="00D13E05"/>
    <w:rsid w:val="00D25404"/>
    <w:rsid w:val="00D32D4E"/>
    <w:rsid w:val="00D40F13"/>
    <w:rsid w:val="00D66E50"/>
    <w:rsid w:val="00D727FA"/>
    <w:rsid w:val="00D75B6B"/>
    <w:rsid w:val="00D82CFD"/>
    <w:rsid w:val="00DA1CC6"/>
    <w:rsid w:val="00DB7322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A2906"/>
    <w:rsid w:val="00EB79C5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67D8D"/>
    <w:rsid w:val="00FA3C09"/>
    <w:rsid w:val="00FC76ED"/>
    <w:rsid w:val="00FD3CB6"/>
    <w:rsid w:val="00FD537E"/>
    <w:rsid w:val="00FE309F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Qualcomm-Amer-r2</cp:lastModifiedBy>
  <cp:revision>4</cp:revision>
  <cp:lastPrinted>2002-04-23T07:10:00Z</cp:lastPrinted>
  <dcterms:created xsi:type="dcterms:W3CDTF">2022-11-18T13:48:00Z</dcterms:created>
  <dcterms:modified xsi:type="dcterms:W3CDTF">2022-11-18T13:58:00Z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