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2A0F1F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15FFE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D22DC0">
        <w:rPr>
          <w:b/>
          <w:noProof/>
          <w:sz w:val="24"/>
          <w:lang w:eastAsia="zh-CN"/>
        </w:rPr>
        <w:t>3578</w:t>
      </w:r>
    </w:p>
    <w:p w14:paraId="5DC21640" w14:textId="57585C7B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215FFE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-</w:t>
      </w:r>
      <w:r w:rsidR="00215FFE">
        <w:rPr>
          <w:b/>
          <w:noProof/>
          <w:sz w:val="24"/>
        </w:rPr>
        <w:t>10</w:t>
      </w:r>
      <w:r w:rsidR="004A6835">
        <w:rPr>
          <w:b/>
          <w:noProof/>
          <w:sz w:val="24"/>
        </w:rPr>
        <w:t xml:space="preserve"> </w:t>
      </w:r>
      <w:r w:rsidR="00215FFE">
        <w:rPr>
          <w:rFonts w:hint="eastAsia"/>
          <w:b/>
          <w:noProof/>
          <w:sz w:val="24"/>
          <w:lang w:eastAsia="zh-CN"/>
        </w:rPr>
        <w:t>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08FB1EE" w:rsidR="001E41F3" w:rsidRPr="00410371" w:rsidRDefault="0064338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E621D88" w:rsidR="001E41F3" w:rsidRPr="00410371" w:rsidRDefault="005A028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A645E3B" w:rsidR="001E41F3" w:rsidRPr="00410371" w:rsidRDefault="00215FF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1DC900E" w:rsidR="001E41F3" w:rsidRPr="00410371" w:rsidRDefault="0064338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C6739C3" w:rsidR="00F25D98" w:rsidRDefault="0064338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44FFD1D" w:rsidR="001E41F3" w:rsidRDefault="00207B3F">
            <w:pPr>
              <w:pStyle w:val="CRCoverPage"/>
              <w:spacing w:after="0"/>
              <w:ind w:left="100"/>
              <w:rPr>
                <w:noProof/>
              </w:rPr>
            </w:pPr>
            <w:r w:rsidRPr="00207B3F">
              <w:rPr>
                <w:lang w:eastAsia="zh-CN"/>
              </w:rPr>
              <w:t>Correction for the target user info in the DIRECT LINK ESTABLISHMENT REQUEST message</w:t>
            </w:r>
            <w:bookmarkStart w:id="1" w:name="_GoBack"/>
            <w:bookmarkEnd w:id="1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1D13EC8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0501C80" w:rsidR="001E41F3" w:rsidRDefault="005C18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795A427" w:rsidR="001E41F3" w:rsidRDefault="0064338B" w:rsidP="004D12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4D12C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4D12C0">
              <w:rPr>
                <w:noProof/>
              </w:rPr>
              <w:t>25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083B5E5" w:rsidR="001E41F3" w:rsidRDefault="0064338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9E90708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0CAC05" w14:textId="77777777" w:rsidR="001E41F3" w:rsidRDefault="001965D3">
            <w:pPr>
              <w:pStyle w:val="CRCoverPage"/>
              <w:spacing w:after="0"/>
              <w:ind w:left="100"/>
            </w:pPr>
            <w:r w:rsidRPr="001965D3">
              <w:rPr>
                <w:noProof/>
              </w:rPr>
              <w:t>Based on stage 2 in 3GPP TS 23.287,</w:t>
            </w:r>
            <w:r w:rsidR="00ED6C60">
              <w:rPr>
                <w:noProof/>
              </w:rPr>
              <w:t xml:space="preserve"> </w:t>
            </w:r>
            <w:r w:rsidR="00ED6C60">
              <w:t>the target user info set to the target UE’s application layer ID shall be included</w:t>
            </w:r>
            <w:r w:rsidR="00ED6C60" w:rsidRPr="00183538">
              <w:t xml:space="preserve"> </w:t>
            </w:r>
            <w:r w:rsidR="00ED6C60">
              <w:t xml:space="preserve">if </w:t>
            </w:r>
            <w:r w:rsidR="00ED6C60" w:rsidRPr="00183538">
              <w:t>received from upp</w:t>
            </w:r>
            <w:r w:rsidR="00ED6C60">
              <w:t>er layers, quote of clause 6.3.3.1:</w:t>
            </w:r>
          </w:p>
          <w:p w14:paraId="34221A0F" w14:textId="77777777" w:rsidR="00ED6C60" w:rsidRPr="00ED6C60" w:rsidRDefault="00ED6C60" w:rsidP="00ED6C60">
            <w:pPr>
              <w:pStyle w:val="B2"/>
              <w:ind w:leftChars="31" w:left="346"/>
              <w:rPr>
                <w:i/>
                <w:lang w:eastAsia="ko-KR"/>
              </w:rPr>
            </w:pPr>
            <w:r w:rsidRPr="00ED6C60">
              <w:rPr>
                <w:i/>
                <w:lang w:eastAsia="ko-KR"/>
              </w:rPr>
              <w:t>If the V2X application layer provided the target UE's Application Layer ID in step 2, the following information is included:</w:t>
            </w:r>
          </w:p>
          <w:p w14:paraId="4AB1CFBA" w14:textId="2BB050AF" w:rsidR="00ED6C60" w:rsidRPr="00ED6C60" w:rsidRDefault="00ED6C60" w:rsidP="00ED6C60">
            <w:pPr>
              <w:pStyle w:val="B3"/>
              <w:ind w:leftChars="173" w:left="630"/>
              <w:rPr>
                <w:lang w:eastAsia="ko-KR"/>
              </w:rPr>
            </w:pPr>
            <w:r w:rsidRPr="00ED6C60">
              <w:rPr>
                <w:i/>
                <w:lang w:eastAsia="ko-KR"/>
              </w:rPr>
              <w:t>-</w:t>
            </w:r>
            <w:r w:rsidRPr="00ED6C60">
              <w:rPr>
                <w:i/>
                <w:lang w:eastAsia="ko-KR"/>
              </w:rPr>
              <w:tab/>
              <w:t xml:space="preserve">Target User Info: </w:t>
            </w:r>
            <w:r w:rsidRPr="00ED6C60">
              <w:rPr>
                <w:i/>
                <w:noProof/>
                <w:lang w:eastAsia="ko-KR"/>
              </w:rPr>
              <w:t>the target UE's Application Layer ID (i.e. UE-2's Application Layer ID).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294183A" w:rsidR="001E41F3" w:rsidRDefault="00ED6C60" w:rsidP="00ED6C60">
            <w:pPr>
              <w:pStyle w:val="CRCoverPage"/>
              <w:spacing w:after="0"/>
              <w:rPr>
                <w:noProof/>
              </w:rPr>
            </w:pPr>
            <w:r>
              <w:t xml:space="preserve">The target user info set to the target UE’s application layer ID if </w:t>
            </w:r>
            <w:r w:rsidRPr="00183538">
              <w:t>received from upp</w:t>
            </w:r>
            <w:r>
              <w:t>er layers</w:t>
            </w:r>
            <w:r w:rsidR="00481B14">
              <w:t xml:space="preserve"> is changed</w:t>
            </w:r>
            <w:r>
              <w:t xml:space="preserve"> to “shall be</w:t>
            </w:r>
            <w:r w:rsidR="00481B14">
              <w:t xml:space="preserve"> included</w:t>
            </w:r>
            <w:r>
              <w:t>”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F3F58EE" w:rsidR="001E41F3" w:rsidRDefault="00656BCC" w:rsidP="00C1246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isallignment with SA2.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DB94854" w:rsidR="001E41F3" w:rsidRDefault="00215F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.1.2.2.2, 7.3.1.2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38A85B09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5D410049" w:rsidR="008863B9" w:rsidRDefault="00155D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Rev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2 added </w:t>
            </w:r>
            <w:r>
              <w:t>the missing clause affected in the cover sheet.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1525F5" w14:textId="77777777" w:rsidR="00E17553" w:rsidRPr="00C21836" w:rsidRDefault="00E17553" w:rsidP="00E1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65EF388B" w14:textId="77777777" w:rsidR="00E17553" w:rsidRPr="00183538" w:rsidRDefault="00E17553" w:rsidP="00E17553">
      <w:pPr>
        <w:pStyle w:val="5"/>
      </w:pPr>
      <w:bookmarkStart w:id="3" w:name="_Toc22039973"/>
      <w:bookmarkStart w:id="4" w:name="_Toc25070683"/>
      <w:bookmarkStart w:id="5" w:name="_Toc34388598"/>
      <w:bookmarkStart w:id="6" w:name="_Toc34404369"/>
      <w:r>
        <w:t>6.1.2.2.</w:t>
      </w:r>
      <w:r w:rsidRPr="00183538">
        <w:t>2</w:t>
      </w:r>
      <w:r w:rsidRPr="00183538">
        <w:tab/>
      </w:r>
      <w:r>
        <w:t>PC5 unicast link establishment</w:t>
      </w:r>
      <w:r w:rsidRPr="00183538">
        <w:t xml:space="preserve"> procedure initiation by initiating UE</w:t>
      </w:r>
      <w:bookmarkEnd w:id="3"/>
      <w:bookmarkEnd w:id="4"/>
      <w:bookmarkEnd w:id="5"/>
      <w:bookmarkEnd w:id="6"/>
    </w:p>
    <w:p w14:paraId="25592056" w14:textId="77777777" w:rsidR="00E17553" w:rsidRDefault="00E17553" w:rsidP="00E17553">
      <w:pPr>
        <w:pStyle w:val="EditorsNote"/>
      </w:pPr>
      <w:r>
        <w:t>Editor’s note:</w:t>
      </w:r>
      <w:r>
        <w:tab/>
        <w:t>This section needs to be revisited after SA3 have determined the full set of security requirements for unicast link establishment.</w:t>
      </w:r>
    </w:p>
    <w:p w14:paraId="673A5609" w14:textId="77777777" w:rsidR="00E17553" w:rsidRPr="00183538" w:rsidRDefault="00E17553" w:rsidP="00E17553">
      <w:r w:rsidRPr="00183538">
        <w:t>The initiating UE shall meet the following pre-conditions before initiating this procedure:</w:t>
      </w:r>
    </w:p>
    <w:p w14:paraId="44038C75" w14:textId="77777777" w:rsidR="00E17553" w:rsidRPr="00183538" w:rsidRDefault="00E17553" w:rsidP="00E17553">
      <w:pPr>
        <w:pStyle w:val="B1"/>
      </w:pPr>
      <w:r>
        <w:t>a)</w:t>
      </w:r>
      <w:r w:rsidRPr="00183538">
        <w:tab/>
      </w:r>
      <w:proofErr w:type="gramStart"/>
      <w:r w:rsidRPr="00183538">
        <w:t>a</w:t>
      </w:r>
      <w:proofErr w:type="gramEnd"/>
      <w:r w:rsidRPr="00183538">
        <w:t xml:space="preserve"> request from upper layers to</w:t>
      </w:r>
      <w:r>
        <w:t xml:space="preserve"> transmit the packet for V2X service over PC5</w:t>
      </w:r>
      <w:r w:rsidRPr="00183538">
        <w:t>;</w:t>
      </w:r>
    </w:p>
    <w:p w14:paraId="573041A4" w14:textId="77777777" w:rsidR="00E17553" w:rsidRPr="00183538" w:rsidRDefault="00E17553" w:rsidP="00E17553">
      <w:pPr>
        <w:pStyle w:val="B1"/>
      </w:pPr>
      <w:r>
        <w:t>b)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link layer identifier for the </w:t>
      </w:r>
      <w:r w:rsidRPr="00183538">
        <w:rPr>
          <w:rFonts w:hint="eastAsia"/>
          <w:lang w:eastAsia="ko-KR"/>
        </w:rPr>
        <w:t>initiating</w:t>
      </w:r>
      <w:r>
        <w:t xml:space="preserve"> UE (i.e. l</w:t>
      </w:r>
      <w:r w:rsidRPr="00183538">
        <w:t>ayer 2 ID used for unicast communication) is available</w:t>
      </w:r>
      <w:r w:rsidRPr="00183538">
        <w:rPr>
          <w:rFonts w:hint="eastAsia"/>
          <w:lang w:eastAsia="ko-KR"/>
        </w:rPr>
        <w:t xml:space="preserve"> </w:t>
      </w:r>
      <w:r>
        <w:t>(e.g. p</w:t>
      </w:r>
      <w:r w:rsidRPr="00183538">
        <w:rPr>
          <w:rFonts w:hint="eastAsia"/>
          <w:lang w:eastAsia="ko-KR"/>
        </w:rPr>
        <w:t>re-configured or self-assigned</w:t>
      </w:r>
      <w:r w:rsidRPr="00183538">
        <w:t>);</w:t>
      </w:r>
    </w:p>
    <w:p w14:paraId="715301F3" w14:textId="77777777" w:rsidR="00E17553" w:rsidRPr="00183538" w:rsidRDefault="00E17553" w:rsidP="00E17553">
      <w:pPr>
        <w:pStyle w:val="B1"/>
      </w:pPr>
      <w:r>
        <w:t>c)</w:t>
      </w:r>
      <w:r w:rsidRPr="00183538">
        <w:tab/>
        <w:t>the link la</w:t>
      </w:r>
      <w:r>
        <w:t xml:space="preserve">yer identifier for the </w:t>
      </w:r>
      <w:r>
        <w:rPr>
          <w:lang w:val="en-US" w:eastAsia="zh-CN"/>
        </w:rPr>
        <w:t>unicast initial signaling</w:t>
      </w:r>
      <w:r>
        <w:t xml:space="preserve"> (i.e. destination layer 2 ID used for </w:t>
      </w:r>
      <w:r>
        <w:rPr>
          <w:lang w:val="en-US" w:eastAsia="zh-CN"/>
        </w:rPr>
        <w:t>unicast initial signaling</w:t>
      </w:r>
      <w:r w:rsidRPr="00183538">
        <w:t>) is avail</w:t>
      </w:r>
      <w:r>
        <w:t>able to the initiating UE (e.g.</w:t>
      </w:r>
      <w:r w:rsidRPr="00183538">
        <w:t xml:space="preserve"> pre-c</w:t>
      </w:r>
      <w:r>
        <w:t xml:space="preserve">onfigured,  obtained as specified in clause 5.2.3 or known </w:t>
      </w:r>
      <w:r w:rsidRPr="005931B6">
        <w:t>via prior V2X communication</w:t>
      </w:r>
      <w:r w:rsidRPr="00183538">
        <w:t>);</w:t>
      </w:r>
    </w:p>
    <w:p w14:paraId="187EAB29" w14:textId="77777777" w:rsidR="00E17553" w:rsidRDefault="00E17553" w:rsidP="00E17553">
      <w:pPr>
        <w:pStyle w:val="B1"/>
      </w:pPr>
      <w:r>
        <w:t>d)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initiating UE is either authorised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 </w:t>
      </w:r>
      <w:r w:rsidRPr="00183538">
        <w:t>in the serving PLMN</w:t>
      </w:r>
      <w:r>
        <w:t xml:space="preserve">, or </w:t>
      </w:r>
      <w:r w:rsidRPr="00183538">
        <w:t xml:space="preserve">has a valid authorization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 </w:t>
      </w:r>
      <w:r w:rsidRPr="00183538">
        <w:t>when not served by E-UTRAN</w:t>
      </w:r>
      <w:r>
        <w:t xml:space="preserve"> and not served by NR; and</w:t>
      </w:r>
    </w:p>
    <w:p w14:paraId="4E78FC51" w14:textId="77777777" w:rsidR="00E17553" w:rsidRDefault="00E17553" w:rsidP="00E17553">
      <w:pPr>
        <w:pStyle w:val="B1"/>
      </w:pPr>
      <w:r>
        <w:t>e)</w:t>
      </w:r>
      <w:r>
        <w:tab/>
      </w:r>
      <w:proofErr w:type="gramStart"/>
      <w:r>
        <w:t>there</w:t>
      </w:r>
      <w:proofErr w:type="gramEnd"/>
      <w:r>
        <w:t xml:space="preserve"> is no</w:t>
      </w:r>
      <w:r w:rsidRPr="00DC2D40">
        <w:t xml:space="preserve"> existing PC5 unicast link </w:t>
      </w:r>
      <w:r>
        <w:t>for the pair of peer a</w:t>
      </w:r>
      <w:r w:rsidRPr="00DC2D40">
        <w:t xml:space="preserve">pplication </w:t>
      </w:r>
      <w:r>
        <w:t>l</w:t>
      </w:r>
      <w:r w:rsidRPr="00DC2D40">
        <w:t xml:space="preserve">ayer IDs and the network layer protocol of this PC5 unicast link are identical to those required by the </w:t>
      </w:r>
      <w:r>
        <w:t>upper</w:t>
      </w:r>
      <w:r w:rsidRPr="00DC2D40">
        <w:t xml:space="preserve"> layer in the initiating UE for this V2X service</w:t>
      </w:r>
      <w:r>
        <w:t>.</w:t>
      </w:r>
    </w:p>
    <w:p w14:paraId="127480A7" w14:textId="77777777" w:rsidR="00E17553" w:rsidRPr="00183538" w:rsidRDefault="00E17553" w:rsidP="00E17553">
      <w:r w:rsidRPr="00440029">
        <w:t xml:space="preserve">In order to initiate the </w:t>
      </w:r>
      <w:r>
        <w:t xml:space="preserve">PC5 unicast link </w:t>
      </w:r>
      <w:r w:rsidRPr="00440029">
        <w:t xml:space="preserve">establishment procedure, the </w:t>
      </w:r>
      <w:r>
        <w:t xml:space="preserve">initiating </w:t>
      </w:r>
      <w:r w:rsidRPr="00440029">
        <w:t xml:space="preserve">UE shall create a </w:t>
      </w:r>
      <w:r>
        <w:t xml:space="preserve">DIRECT LINK ESTABLISHMENT </w:t>
      </w:r>
      <w:r w:rsidRPr="00183538">
        <w:t>REQUEST</w:t>
      </w:r>
      <w:r w:rsidRPr="00440029">
        <w:t xml:space="preserve"> message.</w:t>
      </w:r>
      <w:r w:rsidRPr="00840631">
        <w:t xml:space="preserve"> </w:t>
      </w:r>
      <w:r w:rsidRPr="00913BB3">
        <w:t xml:space="preserve">The </w:t>
      </w:r>
      <w:r>
        <w:t>initiating UE:</w:t>
      </w:r>
    </w:p>
    <w:p w14:paraId="1A783640" w14:textId="77777777" w:rsidR="00E17553" w:rsidRDefault="00E17553" w:rsidP="00E17553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the source user info set to the initiating UE’s application layer ID</w:t>
      </w:r>
      <w:r w:rsidRPr="00183538">
        <w:t xml:space="preserve"> received from upp</w:t>
      </w:r>
      <w:r>
        <w:t>er layers</w:t>
      </w:r>
      <w:r w:rsidRPr="00183538">
        <w:t xml:space="preserve">; </w:t>
      </w:r>
    </w:p>
    <w:p w14:paraId="10C5F5D7" w14:textId="77777777" w:rsidR="00E17553" w:rsidRDefault="00E17553" w:rsidP="00E17553">
      <w:pPr>
        <w:pStyle w:val="B1"/>
      </w:pPr>
      <w:r>
        <w:t>b)</w:t>
      </w:r>
      <w:r>
        <w:tab/>
      </w:r>
      <w:proofErr w:type="gramStart"/>
      <w:r>
        <w:t>shall</w:t>
      </w:r>
      <w:proofErr w:type="gramEnd"/>
      <w:r>
        <w:t xml:space="preserve"> include the V2X service identifier received from upper layer;</w:t>
      </w:r>
    </w:p>
    <w:p w14:paraId="1575029D" w14:textId="14664C5C" w:rsidR="00E17553" w:rsidRPr="00B85723" w:rsidRDefault="00E17553" w:rsidP="00E17553">
      <w:pPr>
        <w:pStyle w:val="B1"/>
      </w:pPr>
      <w:r>
        <w:t>c)</w:t>
      </w:r>
      <w:r>
        <w:tab/>
      </w:r>
      <w:del w:id="7" w:author="Huawei/CXG" w:date="2020-03-28T09:34:00Z">
        <w:r w:rsidDel="00872D79">
          <w:delText xml:space="preserve">may </w:delText>
        </w:r>
      </w:del>
      <w:proofErr w:type="gramStart"/>
      <w:ins w:id="8" w:author="Huawei/CXG" w:date="2020-03-28T09:34:00Z">
        <w:r w:rsidR="00872D79">
          <w:t>shall</w:t>
        </w:r>
        <w:proofErr w:type="gramEnd"/>
        <w:r w:rsidR="00872D79">
          <w:t xml:space="preserve"> </w:t>
        </w:r>
      </w:ins>
      <w:r>
        <w:t>include the target user info set to the target UE’s application layer ID</w:t>
      </w:r>
      <w:r w:rsidRPr="00183538">
        <w:t xml:space="preserve"> </w:t>
      </w:r>
      <w:r>
        <w:t xml:space="preserve">if </w:t>
      </w:r>
      <w:r w:rsidRPr="00183538">
        <w:t>received from upp</w:t>
      </w:r>
      <w:r>
        <w:t>er layers</w:t>
      </w:r>
      <w:r w:rsidRPr="00183538">
        <w:t xml:space="preserve">; </w:t>
      </w:r>
      <w:r>
        <w:t>and</w:t>
      </w:r>
    </w:p>
    <w:p w14:paraId="44F1FBC7" w14:textId="77777777" w:rsidR="00E17553" w:rsidRDefault="00E17553" w:rsidP="00E17553">
      <w:pPr>
        <w:pStyle w:val="B1"/>
      </w:pPr>
      <w:r>
        <w:t>d)</w:t>
      </w:r>
      <w:r>
        <w:tab/>
      </w:r>
      <w:proofErr w:type="gramStart"/>
      <w:r>
        <w:t>shall</w:t>
      </w:r>
      <w:proofErr w:type="gramEnd"/>
      <w:r>
        <w:t xml:space="preserve"> include the security establishment information.</w:t>
      </w:r>
    </w:p>
    <w:p w14:paraId="1254EAB8" w14:textId="77777777" w:rsidR="00E17553" w:rsidRPr="00CC1157" w:rsidRDefault="00E17553" w:rsidP="00E17553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ditor’s note:</w:t>
      </w:r>
      <w:r>
        <w:rPr>
          <w:lang w:eastAsia="zh-CN"/>
        </w:rPr>
        <w:tab/>
        <w:t>The parameters in the security establishment information will be defined by SA3.</w:t>
      </w:r>
    </w:p>
    <w:p w14:paraId="5EBD5E1F" w14:textId="77777777" w:rsidR="00E17553" w:rsidRPr="005922C5" w:rsidRDefault="00E17553" w:rsidP="00E17553">
      <w:pPr>
        <w:rPr>
          <w:lang w:eastAsia="x-none"/>
        </w:rPr>
      </w:pPr>
      <w:r w:rsidRPr="00183538">
        <w:rPr>
          <w:lang w:eastAsia="x-none"/>
        </w:rPr>
        <w:t xml:space="preserve">After the </w:t>
      </w:r>
      <w:r>
        <w:t xml:space="preserve">DIRECT LINK ESTABLISHMENT </w:t>
      </w:r>
      <w:r w:rsidRPr="00183538">
        <w:t>REQUEST</w:t>
      </w:r>
      <w:r w:rsidRPr="00183538">
        <w:rPr>
          <w:lang w:eastAsia="x-none"/>
        </w:rPr>
        <w:t xml:space="preserve"> message is generated, the initiating UE shall pass this message to the lower layers for transmission along with </w:t>
      </w:r>
      <w:r>
        <w:rPr>
          <w:lang w:eastAsia="x-none"/>
        </w:rPr>
        <w:t>the initiating UE's Layer 2 ID for unicast communication</w:t>
      </w:r>
      <w:r w:rsidRPr="00183538">
        <w:rPr>
          <w:lang w:eastAsia="x-none"/>
        </w:rPr>
        <w:t xml:space="preserve"> and the </w:t>
      </w:r>
      <w:r>
        <w:t xml:space="preserve">destination layer 2 ID used for </w:t>
      </w:r>
      <w:r>
        <w:rPr>
          <w:lang w:val="en-US" w:eastAsia="zh-CN"/>
        </w:rPr>
        <w:t>unicast initial signaling</w:t>
      </w:r>
      <w:r>
        <w:rPr>
          <w:lang w:eastAsia="x-none"/>
        </w:rPr>
        <w:t>, and start timer T5000</w:t>
      </w:r>
      <w:r w:rsidRPr="00183538">
        <w:rPr>
          <w:lang w:eastAsia="x-none"/>
        </w:rPr>
        <w:t>.</w:t>
      </w:r>
      <w:r>
        <w:rPr>
          <w:lang w:eastAsia="x-none"/>
        </w:rPr>
        <w:t xml:space="preserve"> </w:t>
      </w:r>
      <w:r w:rsidRPr="00D017E0">
        <w:rPr>
          <w:lang w:eastAsia="x-none"/>
        </w:rPr>
        <w:t xml:space="preserve">The UE shall not send a new </w:t>
      </w:r>
      <w:r>
        <w:t>DIRECT LINK ESTABLISHMENT</w:t>
      </w:r>
      <w:r>
        <w:rPr>
          <w:lang w:eastAsia="x-none"/>
        </w:rPr>
        <w:t xml:space="preserve"> </w:t>
      </w:r>
      <w:r w:rsidRPr="00D017E0">
        <w:rPr>
          <w:lang w:eastAsia="x-none"/>
        </w:rPr>
        <w:t>REQUEST message to the same target UE</w:t>
      </w:r>
      <w:r>
        <w:rPr>
          <w:lang w:eastAsia="x-none"/>
        </w:rPr>
        <w:t xml:space="preserve"> </w:t>
      </w:r>
      <w:r>
        <w:t>identified by the same application layer</w:t>
      </w:r>
      <w:r w:rsidRPr="00183538">
        <w:t xml:space="preserve"> ID</w:t>
      </w:r>
      <w:r w:rsidRPr="00D017E0">
        <w:rPr>
          <w:lang w:eastAsia="x-none"/>
        </w:rPr>
        <w:t xml:space="preserve"> while timer T</w:t>
      </w:r>
      <w:r>
        <w:rPr>
          <w:lang w:eastAsia="x-none"/>
        </w:rPr>
        <w:t>5000</w:t>
      </w:r>
      <w:r w:rsidRPr="00D017E0">
        <w:rPr>
          <w:lang w:eastAsia="x-none"/>
        </w:rPr>
        <w:t xml:space="preserve"> is running.</w:t>
      </w:r>
    </w:p>
    <w:p w14:paraId="21D0BDD4" w14:textId="77777777" w:rsidR="00E17553" w:rsidRPr="00183538" w:rsidRDefault="00E17553" w:rsidP="00E17553">
      <w:pPr>
        <w:pStyle w:val="TH"/>
        <w:rPr>
          <w:lang w:eastAsia="zh-CN"/>
        </w:rPr>
      </w:pPr>
      <w:r>
        <w:object w:dxaOrig="9450" w:dyaOrig="5791" w14:anchorId="514F2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21.25pt" o:ole="">
            <v:imagedata r:id="rId12" o:title=""/>
          </v:shape>
          <o:OLEObject Type="Embed" ProgID="Visio.Drawing.15" ShapeID="_x0000_i1025" DrawAspect="Content" ObjectID="_1652680704" r:id="rId13"/>
        </w:object>
      </w:r>
    </w:p>
    <w:p w14:paraId="1D4180E8" w14:textId="43B4E035" w:rsidR="00E17553" w:rsidRDefault="00E17553" w:rsidP="00E17553">
      <w:pPr>
        <w:pStyle w:val="TF"/>
      </w:pPr>
      <w:r w:rsidRPr="00183538">
        <w:t>Figure</w:t>
      </w:r>
      <w:r>
        <w:rPr>
          <w:rFonts w:cs="Arial"/>
        </w:rPr>
        <w:t> </w:t>
      </w:r>
      <w:r>
        <w:t>6.1.2.2.2</w:t>
      </w:r>
      <w:r w:rsidRPr="00183538">
        <w:t xml:space="preserve">: </w:t>
      </w:r>
      <w:r>
        <w:t>PC5 unicast link establishment</w:t>
      </w:r>
      <w:r w:rsidRPr="00183538">
        <w:t xml:space="preserve"> procedure</w:t>
      </w:r>
    </w:p>
    <w:p w14:paraId="2BC1C6B8" w14:textId="28FD2C70" w:rsidR="00E151DD" w:rsidRPr="00C21836" w:rsidRDefault="00E151DD" w:rsidP="00E1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95114F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2F0F758" w14:textId="77777777" w:rsidR="00E151DD" w:rsidRPr="00742FAE" w:rsidRDefault="00E151DD" w:rsidP="00E151DD">
      <w:pPr>
        <w:pStyle w:val="4"/>
      </w:pPr>
      <w:bookmarkStart w:id="9" w:name="_Toc34388690"/>
      <w:bookmarkStart w:id="10" w:name="_Toc34404461"/>
      <w:r>
        <w:t>7.3.1</w:t>
      </w:r>
      <w:r w:rsidRPr="00742FAE">
        <w:t>.</w:t>
      </w:r>
      <w:r>
        <w:t>2</w:t>
      </w:r>
      <w:r w:rsidRPr="00742FAE">
        <w:tab/>
      </w:r>
      <w:r>
        <w:t>Target user info</w:t>
      </w:r>
      <w:bookmarkEnd w:id="9"/>
      <w:bookmarkEnd w:id="10"/>
    </w:p>
    <w:p w14:paraId="241DF160" w14:textId="715CE1C5" w:rsidR="00E151DD" w:rsidRPr="00E151DD" w:rsidRDefault="00E151DD" w:rsidP="00E151DD">
      <w:r w:rsidRPr="00742FAE">
        <w:t>Th</w:t>
      </w:r>
      <w:r>
        <w:t xml:space="preserve">e UE </w:t>
      </w:r>
      <w:del w:id="11" w:author="Huawei/CXG" w:date="2020-04-17T10:00:00Z">
        <w:r w:rsidDel="008C1F3C">
          <w:delText xml:space="preserve">may </w:delText>
        </w:r>
      </w:del>
      <w:ins w:id="12" w:author="Huawei/CXG" w:date="2020-04-17T10:00:00Z">
        <w:r w:rsidR="008C1F3C">
          <w:t xml:space="preserve">shall </w:t>
        </w:r>
      </w:ins>
      <w:r>
        <w:t>include this IE if it has received the target UE’s application layer ID from upper layers.</w:t>
      </w:r>
    </w:p>
    <w:p w14:paraId="74FB1919" w14:textId="77777777" w:rsidR="00E17553" w:rsidRPr="00331B6E" w:rsidRDefault="00E17553" w:rsidP="00E1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64A59" w14:textId="77777777" w:rsidR="009F7A98" w:rsidRDefault="009F7A98">
      <w:r>
        <w:separator/>
      </w:r>
    </w:p>
  </w:endnote>
  <w:endnote w:type="continuationSeparator" w:id="0">
    <w:p w14:paraId="7920E0F9" w14:textId="77777777" w:rsidR="009F7A98" w:rsidRDefault="009F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E17E4" w14:textId="77777777" w:rsidR="009F7A98" w:rsidRDefault="009F7A98">
      <w:r>
        <w:separator/>
      </w:r>
    </w:p>
  </w:footnote>
  <w:footnote w:type="continuationSeparator" w:id="0">
    <w:p w14:paraId="6E86E545" w14:textId="77777777" w:rsidR="009F7A98" w:rsidRDefault="009F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">
    <w15:presenceInfo w15:providerId="None" w15:userId="Huawei/CX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55D90"/>
    <w:rsid w:val="00185EEA"/>
    <w:rsid w:val="00192C46"/>
    <w:rsid w:val="001931A7"/>
    <w:rsid w:val="001965D3"/>
    <w:rsid w:val="001A08B3"/>
    <w:rsid w:val="001A7B60"/>
    <w:rsid w:val="001B52F0"/>
    <w:rsid w:val="001B7A65"/>
    <w:rsid w:val="001E41F3"/>
    <w:rsid w:val="00207B3F"/>
    <w:rsid w:val="00215FFE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51872"/>
    <w:rsid w:val="003609EF"/>
    <w:rsid w:val="0036231A"/>
    <w:rsid w:val="00363DF6"/>
    <w:rsid w:val="003674C0"/>
    <w:rsid w:val="00367714"/>
    <w:rsid w:val="00374DD4"/>
    <w:rsid w:val="003B5371"/>
    <w:rsid w:val="003E1A36"/>
    <w:rsid w:val="00410371"/>
    <w:rsid w:val="004242F1"/>
    <w:rsid w:val="00481B14"/>
    <w:rsid w:val="004A6835"/>
    <w:rsid w:val="004B75B7"/>
    <w:rsid w:val="004D12C0"/>
    <w:rsid w:val="004E1669"/>
    <w:rsid w:val="0051260E"/>
    <w:rsid w:val="0051580D"/>
    <w:rsid w:val="00547111"/>
    <w:rsid w:val="00561DA0"/>
    <w:rsid w:val="00570453"/>
    <w:rsid w:val="00592D74"/>
    <w:rsid w:val="005A028F"/>
    <w:rsid w:val="005C1801"/>
    <w:rsid w:val="005E2C44"/>
    <w:rsid w:val="005E7CC7"/>
    <w:rsid w:val="00621188"/>
    <w:rsid w:val="006257ED"/>
    <w:rsid w:val="0064338B"/>
    <w:rsid w:val="00656BCC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72D79"/>
    <w:rsid w:val="008863B9"/>
    <w:rsid w:val="008A45A6"/>
    <w:rsid w:val="008C1F3C"/>
    <w:rsid w:val="008F686C"/>
    <w:rsid w:val="009148DE"/>
    <w:rsid w:val="00941BFE"/>
    <w:rsid w:val="00941E30"/>
    <w:rsid w:val="0095114F"/>
    <w:rsid w:val="009777D9"/>
    <w:rsid w:val="00991B88"/>
    <w:rsid w:val="009A5753"/>
    <w:rsid w:val="009A579D"/>
    <w:rsid w:val="009E3297"/>
    <w:rsid w:val="009E6C24"/>
    <w:rsid w:val="009F734F"/>
    <w:rsid w:val="009F7A98"/>
    <w:rsid w:val="00A246B6"/>
    <w:rsid w:val="00A47E70"/>
    <w:rsid w:val="00A50CF0"/>
    <w:rsid w:val="00A542A2"/>
    <w:rsid w:val="00A61F2E"/>
    <w:rsid w:val="00A7671C"/>
    <w:rsid w:val="00AA2CBC"/>
    <w:rsid w:val="00AA3CA9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12466"/>
    <w:rsid w:val="00C66BA2"/>
    <w:rsid w:val="00C670D0"/>
    <w:rsid w:val="00C75CB0"/>
    <w:rsid w:val="00C95985"/>
    <w:rsid w:val="00CC5026"/>
    <w:rsid w:val="00CC68D0"/>
    <w:rsid w:val="00D03F9A"/>
    <w:rsid w:val="00D06D51"/>
    <w:rsid w:val="00D22DC0"/>
    <w:rsid w:val="00D24991"/>
    <w:rsid w:val="00D50255"/>
    <w:rsid w:val="00D66520"/>
    <w:rsid w:val="00DA3849"/>
    <w:rsid w:val="00DE34CF"/>
    <w:rsid w:val="00E13F3D"/>
    <w:rsid w:val="00E151DD"/>
    <w:rsid w:val="00E17553"/>
    <w:rsid w:val="00E34898"/>
    <w:rsid w:val="00E8079D"/>
    <w:rsid w:val="00EB09B7"/>
    <w:rsid w:val="00ED6C60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1755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175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1755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E1755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17553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ED6C6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__1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6B90-5731-47AB-8417-EFBC7AB9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</cp:lastModifiedBy>
  <cp:revision>14</cp:revision>
  <cp:lastPrinted>1899-12-31T23:00:00Z</cp:lastPrinted>
  <dcterms:created xsi:type="dcterms:W3CDTF">2020-04-17T01:59:00Z</dcterms:created>
  <dcterms:modified xsi:type="dcterms:W3CDTF">2020-06-03T01:12:00Z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(2)sFkujA/FyLTfPqrCqDvjkbPHA3avmn0w+8vW2BYXUJ+BoFiBWY9P3bW8l5S05Eol1De+RvIS
OBH5U+gMCz99TFX9ckVuoHIEOnDUBBXoiYJ+2FGwvTbXRaT1bMo319ddCb5FjY4mWpc7G8Ad
Gwx52gVGp9xU2bGGo0gBHHTe+6KPVieQUatfGChYXRZgAKNaQbgyj9UfK0hG5J3a4onGlvdg
7c4O5pPpiFdGDLjSuI</vt:lpwstr>
  </property>
  <property fmtid="{D5CDD505-2E9C-101B-9397-08002B2CF9AE}" pid="22" name="_2015_ms_pID_7253431">
    <vt:lpwstr>d5quoh5GrULReguainsTADjA1lyIoJi4MrcFCUy6YtzGPYOzXR1WKc
tsmT0MzSLT0fsU+xyt7Y51lZHKnqzQcYx5ZLt9BmEuHrOgi1gc3bMvNdylLekdn3kf2Sbxsp
NTlBk18YpmhACAXK+Keif3xbWfed87Ce7FJotSBdre1b5u5Ia07ZazMw+NTxVkRypr3PsKla
+yd3/+K0l+WQp4zV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1591003607</vt:lpwstr>
  </property>
</Properties>
</file>