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DB27D" w14:textId="4C769DB6" w:rsidR="00C56E30" w:rsidRPr="001C332D" w:rsidRDefault="00C56E30" w:rsidP="00C56E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>3GPP TSG SA</w:t>
      </w:r>
      <w:r w:rsidR="00242FF3">
        <w:rPr>
          <w:rFonts w:ascii="Arial" w:eastAsia="MS Mincho" w:hAnsi="Arial" w:cs="Arial"/>
          <w:b/>
          <w:sz w:val="24"/>
          <w:szCs w:val="24"/>
        </w:rPr>
        <w:t>/CT/RAN</w:t>
      </w:r>
      <w:r w:rsidRPr="00881287">
        <w:rPr>
          <w:rFonts w:ascii="Arial" w:eastAsia="MS Mincho" w:hAnsi="Arial" w:cs="Arial"/>
          <w:b/>
          <w:sz w:val="24"/>
          <w:szCs w:val="24"/>
        </w:rPr>
        <w:t xml:space="preserve"> Meeting </w:t>
      </w:r>
      <w:r>
        <w:rPr>
          <w:rFonts w:ascii="Arial" w:eastAsia="MS Mincho" w:hAnsi="Arial" w:cs="Arial"/>
          <w:b/>
          <w:sz w:val="24"/>
          <w:szCs w:val="24"/>
        </w:rPr>
        <w:t>#1</w:t>
      </w:r>
      <w:r w:rsidR="00CA46B9">
        <w:rPr>
          <w:rFonts w:ascii="Arial" w:eastAsia="MS Mincho" w:hAnsi="Arial" w:cs="Arial"/>
          <w:b/>
          <w:sz w:val="24"/>
          <w:szCs w:val="24"/>
        </w:rPr>
        <w:t>0</w:t>
      </w:r>
      <w:r w:rsidR="00242FF3">
        <w:rPr>
          <w:rFonts w:ascii="Arial" w:eastAsia="MS Mincho" w:hAnsi="Arial" w:cs="Arial"/>
          <w:b/>
          <w:sz w:val="24"/>
          <w:szCs w:val="24"/>
        </w:rPr>
        <w:t>3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1B4C34" w:rsidRPr="001B4C34">
        <w:rPr>
          <w:rFonts w:ascii="Arial" w:eastAsia="MS Mincho" w:hAnsi="Arial" w:cs="Arial"/>
          <w:b/>
          <w:sz w:val="24"/>
          <w:szCs w:val="24"/>
        </w:rPr>
        <w:t>SP-240419 / RP-240037/ CP-240284</w:t>
      </w:r>
    </w:p>
    <w:p w14:paraId="22EDDD55" w14:textId="288CE35B" w:rsidR="00F749AF" w:rsidRDefault="001B4C34" w:rsidP="00C56E3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Maastricht</w:t>
      </w:r>
      <w:r w:rsidR="00CA46B9" w:rsidRPr="00CA46B9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The Netherlands</w:t>
      </w:r>
      <w:r w:rsidR="00CA46B9" w:rsidRPr="00CA46B9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 xml:space="preserve">18 </w:t>
      </w:r>
      <w:r w:rsidR="00CA46B9" w:rsidRPr="00CA46B9">
        <w:rPr>
          <w:rFonts w:ascii="Arial" w:eastAsia="MS Mincho" w:hAnsi="Arial" w:cs="Arial"/>
          <w:b/>
          <w:sz w:val="24"/>
          <w:szCs w:val="24"/>
        </w:rPr>
        <w:t xml:space="preserve">- </w:t>
      </w:r>
      <w:r>
        <w:rPr>
          <w:rFonts w:ascii="Arial" w:eastAsia="MS Mincho" w:hAnsi="Arial" w:cs="Arial"/>
          <w:b/>
          <w:sz w:val="24"/>
          <w:szCs w:val="24"/>
        </w:rPr>
        <w:t>22</w:t>
      </w:r>
      <w:r w:rsidR="00CA46B9" w:rsidRPr="00CA46B9">
        <w:rPr>
          <w:rFonts w:ascii="Arial" w:eastAsia="MS Mincho" w:hAnsi="Arial" w:cs="Arial"/>
          <w:b/>
          <w:sz w:val="24"/>
          <w:szCs w:val="24"/>
        </w:rPr>
        <w:t xml:space="preserve"> March 2024</w:t>
      </w:r>
      <w:r w:rsidR="006F129A">
        <w:rPr>
          <w:rFonts w:ascii="Arial" w:eastAsia="MS Mincho" w:hAnsi="Arial" w:cs="Arial"/>
          <w:b/>
          <w:sz w:val="24"/>
          <w:szCs w:val="24"/>
        </w:rPr>
        <w:tab/>
      </w:r>
    </w:p>
    <w:p w14:paraId="1A50C6D8" w14:textId="77777777" w:rsidR="00F749AF" w:rsidRDefault="00F749AF">
      <w:pPr>
        <w:rPr>
          <w:b/>
          <w:sz w:val="24"/>
        </w:rPr>
      </w:pPr>
    </w:p>
    <w:p w14:paraId="7BA2914D" w14:textId="0AF9D906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Rapporteur (</w:t>
      </w:r>
      <w:r w:rsidR="00242FF3">
        <w:rPr>
          <w:rFonts w:ascii="Arial" w:eastAsia="Batang" w:hAnsi="Arial"/>
          <w:b/>
          <w:lang w:val="en-US" w:eastAsia="zh-CN"/>
        </w:rPr>
        <w:t>ETSI MCC</w:t>
      </w:r>
      <w:r>
        <w:rPr>
          <w:rFonts w:ascii="Arial" w:eastAsia="Batang" w:hAnsi="Arial"/>
          <w:b/>
          <w:lang w:val="en-US" w:eastAsia="zh-CN"/>
        </w:rPr>
        <w:t>)</w:t>
      </w:r>
    </w:p>
    <w:p w14:paraId="26AD40C5" w14:textId="74956014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Cover sheet of the TR</w:t>
      </w:r>
      <w:r w:rsidR="005F4E8A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2</w:t>
      </w:r>
      <w:r w:rsidR="00242FF3">
        <w:rPr>
          <w:rFonts w:ascii="Arial" w:eastAsia="Batang" w:hAnsi="Arial" w:cs="Arial"/>
          <w:b/>
          <w:lang w:eastAsia="zh-CN"/>
        </w:rPr>
        <w:t>1</w:t>
      </w:r>
      <w:r>
        <w:rPr>
          <w:rFonts w:ascii="Arial" w:eastAsia="Batang" w:hAnsi="Arial" w:cs="Arial"/>
          <w:b/>
          <w:lang w:eastAsia="zh-CN"/>
        </w:rPr>
        <w:t>.</w:t>
      </w:r>
      <w:r w:rsidR="00242FF3">
        <w:rPr>
          <w:rFonts w:ascii="Arial" w:eastAsia="Batang" w:hAnsi="Arial" w:cs="Arial"/>
          <w:b/>
          <w:lang w:val="en-US" w:eastAsia="zh-CN"/>
        </w:rPr>
        <w:t>918</w:t>
      </w:r>
      <w:r>
        <w:rPr>
          <w:rFonts w:ascii="Arial" w:eastAsia="Batang" w:hAnsi="Arial" w:cs="Arial"/>
          <w:b/>
          <w:lang w:val="en-US" w:eastAsia="zh-CN"/>
        </w:rPr>
        <w:t xml:space="preserve"> </w:t>
      </w:r>
    </w:p>
    <w:p w14:paraId="5F9A7A8A" w14:textId="277649DF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242FF3">
        <w:rPr>
          <w:rFonts w:ascii="Arial" w:eastAsia="Batang" w:hAnsi="Arial"/>
          <w:b/>
          <w:lang w:val="en-US" w:eastAsia="zh-CN"/>
        </w:rPr>
        <w:t>Information</w:t>
      </w:r>
    </w:p>
    <w:p w14:paraId="445BEA15" w14:textId="57328AEC" w:rsidR="00F85D9F" w:rsidRDefault="00F85D9F" w:rsidP="00F85D9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5F4E8A">
        <w:rPr>
          <w:rFonts w:ascii="Arial" w:eastAsia="Batang" w:hAnsi="Arial"/>
          <w:b/>
          <w:lang w:eastAsia="zh-CN"/>
        </w:rPr>
        <w:t>6</w:t>
      </w:r>
      <w:r>
        <w:rPr>
          <w:rFonts w:ascii="Arial" w:eastAsia="Batang" w:hAnsi="Arial"/>
          <w:b/>
          <w:lang w:eastAsia="zh-CN"/>
        </w:rPr>
        <w:t>.1</w:t>
      </w:r>
    </w:p>
    <w:p w14:paraId="152FFB54" w14:textId="77777777" w:rsidR="00F85D9F" w:rsidRDefault="00F85D9F" w:rsidP="00F85D9F">
      <w:pPr>
        <w:rPr>
          <w:b/>
          <w:sz w:val="24"/>
        </w:rPr>
      </w:pPr>
    </w:p>
    <w:p w14:paraId="11155D22" w14:textId="77777777" w:rsidR="00F85D9F" w:rsidRDefault="00F85D9F">
      <w:pPr>
        <w:rPr>
          <w:b/>
          <w:sz w:val="24"/>
        </w:rPr>
      </w:pPr>
    </w:p>
    <w:p w14:paraId="27E91274" w14:textId="77777777" w:rsidR="00F749AF" w:rsidRDefault="00C20685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3375B8A5" w14:textId="0DB09C4C" w:rsidR="00F749AF" w:rsidRDefault="00C20685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C31D22">
        <w:rPr>
          <w:rFonts w:eastAsia="Malgun Gothic"/>
          <w:b/>
          <w:sz w:val="24"/>
          <w:lang w:eastAsia="ko-KR"/>
        </w:rPr>
        <w:t>10</w:t>
      </w:r>
      <w:r w:rsidR="005F4E8A">
        <w:rPr>
          <w:rFonts w:eastAsia="Malgun Gothic"/>
          <w:b/>
          <w:sz w:val="24"/>
          <w:lang w:eastAsia="ko-KR"/>
        </w:rPr>
        <w:t>3</w:t>
      </w:r>
    </w:p>
    <w:p w14:paraId="463956E0" w14:textId="1A2F6452" w:rsidR="00F749AF" w:rsidRDefault="00C20685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</w:t>
      </w:r>
      <w:r w:rsidR="000B7ECA">
        <w:rPr>
          <w:b/>
          <w:sz w:val="24"/>
        </w:rPr>
        <w:t>R</w:t>
      </w:r>
      <w:r>
        <w:rPr>
          <w:b/>
          <w:sz w:val="24"/>
          <w:lang w:eastAsia="zh-CN"/>
        </w:rPr>
        <w:t xml:space="preserve"> 2</w:t>
      </w:r>
      <w:r w:rsidR="00242FF3">
        <w:rPr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.</w:t>
      </w:r>
      <w:r w:rsidR="00242FF3">
        <w:rPr>
          <w:b/>
          <w:sz w:val="24"/>
          <w:lang w:eastAsia="zh-CN"/>
        </w:rPr>
        <w:t>918</w:t>
      </w:r>
      <w:r>
        <w:rPr>
          <w:b/>
          <w:sz w:val="24"/>
        </w:rPr>
        <w:t xml:space="preserve">, Version </w:t>
      </w:r>
      <w:r w:rsidR="00242FF3">
        <w:rPr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</w:t>
      </w:r>
      <w:r w:rsidR="00242FF3">
        <w:rPr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>.0</w:t>
      </w:r>
    </w:p>
    <w:p w14:paraId="20C6AD6A" w14:textId="2909682C" w:rsidR="00F749AF" w:rsidRDefault="00C20685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242FF3">
        <w:rPr>
          <w:b/>
          <w:sz w:val="24"/>
        </w:rPr>
        <w:t xml:space="preserve">“informal information” </w:t>
      </w:r>
      <w:r w:rsidR="00F85D9F">
        <w:rPr>
          <w:b/>
          <w:sz w:val="24"/>
        </w:rPr>
        <w:t>(</w:t>
      </w:r>
      <w:r w:rsidR="00242FF3">
        <w:rPr>
          <w:b/>
          <w:sz w:val="24"/>
        </w:rPr>
        <w:t>not to be raised to v.1.0.0</w:t>
      </w:r>
      <w:r w:rsidR="00F85D9F">
        <w:rPr>
          <w:b/>
          <w:sz w:val="24"/>
        </w:rPr>
        <w:t>)</w:t>
      </w:r>
    </w:p>
    <w:p w14:paraId="00F76D6A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4841ACA0" w14:textId="595E20CD" w:rsidR="005F4E8A" w:rsidRPr="00102CAA" w:rsidRDefault="00C20685" w:rsidP="00242FF3">
      <w:r>
        <w:rPr>
          <w:rFonts w:eastAsia="Times New Roman"/>
          <w:lang w:eastAsia="en-US"/>
        </w:rPr>
        <w:t>T</w:t>
      </w:r>
      <w:r w:rsidR="000B7ECA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 xml:space="preserve"> 2</w:t>
      </w:r>
      <w:r w:rsidR="00242FF3">
        <w:rPr>
          <w:rFonts w:eastAsia="Times New Roman"/>
          <w:lang w:eastAsia="en-US"/>
        </w:rPr>
        <w:t>1</w:t>
      </w:r>
      <w:r>
        <w:rPr>
          <w:rFonts w:eastAsia="Times New Roman"/>
          <w:lang w:eastAsia="en-US"/>
        </w:rPr>
        <w:t>.</w:t>
      </w:r>
      <w:r w:rsidR="00242FF3">
        <w:rPr>
          <w:rFonts w:eastAsia="Times New Roman"/>
          <w:lang w:eastAsia="en-US"/>
        </w:rPr>
        <w:t>918</w:t>
      </w:r>
      <w:r w:rsidR="00746533">
        <w:rPr>
          <w:lang w:val="en-US" w:eastAsia="zh-CN"/>
        </w:rPr>
        <w:t xml:space="preserve"> </w:t>
      </w:r>
      <w:r w:rsidR="00242FF3">
        <w:rPr>
          <w:lang w:val="en-US" w:eastAsia="zh-CN"/>
        </w:rPr>
        <w:t xml:space="preserve">provides </w:t>
      </w:r>
      <w:r w:rsidR="00242FF3" w:rsidRPr="00242FF3">
        <w:rPr>
          <w:lang w:val="en-US" w:eastAsia="zh-CN"/>
        </w:rPr>
        <w:t xml:space="preserve">a summary of </w:t>
      </w:r>
      <w:proofErr w:type="gramStart"/>
      <w:r w:rsidR="00242FF3" w:rsidRPr="00242FF3">
        <w:rPr>
          <w:lang w:val="en-US" w:eastAsia="zh-CN"/>
        </w:rPr>
        <w:t>each and every</w:t>
      </w:r>
      <w:proofErr w:type="gramEnd"/>
      <w:r w:rsidR="00242FF3" w:rsidRPr="00242FF3">
        <w:rPr>
          <w:lang w:val="en-US" w:eastAsia="zh-CN"/>
        </w:rPr>
        <w:t xml:space="preserve"> 3GPP Release 18 Feature, and more generally of all Work Items for which a summary has been agreed to be provided.</w:t>
      </w:r>
    </w:p>
    <w:p w14:paraId="4752FEDA" w14:textId="23A834FA" w:rsidR="00242FF3" w:rsidRPr="00F85D9F" w:rsidRDefault="00242FF3" w:rsidP="00F85D9F">
      <w:pPr>
        <w:rPr>
          <w:lang w:val="en-US" w:eastAsia="zh-CN"/>
        </w:rPr>
      </w:pPr>
      <w:r w:rsidRPr="00242FF3">
        <w:rPr>
          <w:lang w:val="en-US" w:eastAsia="zh-CN"/>
        </w:rPr>
        <w:t xml:space="preserve">These summaries are based on the inputs issued by the Work Item Rapporteurs, sometimes modified by the Work Plan manager to ensure overall consistency of this document. </w:t>
      </w:r>
    </w:p>
    <w:p w14:paraId="0E0D91BA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39188C21" w14:textId="6BD83CD1" w:rsidR="00F749AF" w:rsidRDefault="00D818C6">
      <w:pPr>
        <w:rPr>
          <w:lang w:eastAsia="ko-KR"/>
        </w:rPr>
      </w:pPr>
      <w:r>
        <w:rPr>
          <w:lang w:val="en-US" w:eastAsia="zh-CN"/>
        </w:rPr>
        <w:t>This is the f</w:t>
      </w:r>
      <w:r w:rsidR="000B7ECA">
        <w:rPr>
          <w:lang w:val="en-US" w:eastAsia="zh-CN"/>
        </w:rPr>
        <w:t>irst presentation</w:t>
      </w:r>
      <w:r w:rsidR="00D33EB2">
        <w:rPr>
          <w:lang w:val="en-US" w:eastAsia="zh-CN"/>
        </w:rPr>
        <w:t xml:space="preserve"> to TSG</w:t>
      </w:r>
      <w:r w:rsidR="000B7ECA">
        <w:rPr>
          <w:lang w:val="en-US" w:eastAsia="zh-CN"/>
        </w:rPr>
        <w:t>.</w:t>
      </w:r>
    </w:p>
    <w:p w14:paraId="7DC49C36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AA9B5BB" w14:textId="305558A2" w:rsidR="00F749AF" w:rsidRDefault="00242FF3">
      <w:pPr>
        <w:rPr>
          <w:lang w:val="en-US" w:eastAsia="zh-CN"/>
        </w:rPr>
      </w:pPr>
      <w:r>
        <w:rPr>
          <w:lang w:val="en-US" w:eastAsia="zh-CN"/>
        </w:rPr>
        <w:t xml:space="preserve">Summaries </w:t>
      </w:r>
      <w:r w:rsidR="007B7EE0">
        <w:rPr>
          <w:lang w:val="en-US" w:eastAsia="zh-CN"/>
        </w:rPr>
        <w:t xml:space="preserve">are </w:t>
      </w:r>
      <w:r>
        <w:rPr>
          <w:lang w:val="en-US" w:eastAsia="zh-CN"/>
        </w:rPr>
        <w:t>being provided by the rapporteurs at TSGs, expected to be provided until June 2024.</w:t>
      </w:r>
    </w:p>
    <w:p w14:paraId="275F28B3" w14:textId="46D0BD09" w:rsidR="007A2799" w:rsidRPr="007A2799" w:rsidRDefault="007A2799">
      <w:pPr>
        <w:rPr>
          <w:b/>
          <w:bCs/>
          <w:lang w:val="en-US" w:eastAsia="zh-CN"/>
        </w:rPr>
      </w:pPr>
      <w:r w:rsidRPr="007A2799">
        <w:rPr>
          <w:b/>
          <w:bCs/>
          <w:lang w:val="en-US" w:eastAsia="zh-CN"/>
        </w:rPr>
        <w:t xml:space="preserve">All Clauses from clause 5 onwards still </w:t>
      </w:r>
      <w:proofErr w:type="gramStart"/>
      <w:r w:rsidRPr="007A2799">
        <w:rPr>
          <w:b/>
          <w:bCs/>
          <w:lang w:val="en-US" w:eastAsia="zh-CN"/>
        </w:rPr>
        <w:t>have to</w:t>
      </w:r>
      <w:proofErr w:type="gramEnd"/>
      <w:r w:rsidRPr="007A2799">
        <w:rPr>
          <w:b/>
          <w:bCs/>
          <w:lang w:val="en-US" w:eastAsia="zh-CN"/>
        </w:rPr>
        <w:t xml:space="preserve"> be correctly numbered (this will be done when the draft becomes stable).</w:t>
      </w:r>
    </w:p>
    <w:p w14:paraId="70A0B424" w14:textId="4711B166" w:rsidR="00242FF3" w:rsidRDefault="00242FF3">
      <w:pPr>
        <w:rPr>
          <w:lang w:val="en-US" w:eastAsia="zh-CN"/>
        </w:rPr>
      </w:pPr>
      <w:r>
        <w:rPr>
          <w:lang w:val="en-US" w:eastAsia="zh-CN"/>
        </w:rPr>
        <w:t>Some reminders on guidance for summaries:</w:t>
      </w:r>
    </w:p>
    <w:p w14:paraId="2D62F52E" w14:textId="2CA844FA" w:rsidR="00242FF3" w:rsidRPr="00242FF3" w:rsidRDefault="00242FF3" w:rsidP="007B7EE0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 w:rsidR="007B7EE0">
        <w:rPr>
          <w:lang w:val="en-US" w:eastAsia="zh-CN"/>
        </w:rPr>
        <w:t>A summary should n</w:t>
      </w:r>
      <w:r w:rsidRPr="00242FF3">
        <w:rPr>
          <w:lang w:val="en-US" w:eastAsia="zh-CN"/>
        </w:rPr>
        <w:t xml:space="preserve">ot exceed one page long. </w:t>
      </w:r>
      <w:r>
        <w:rPr>
          <w:lang w:val="en-US" w:eastAsia="zh-CN"/>
        </w:rPr>
        <w:t xml:space="preserve">Exceptions are possible, </w:t>
      </w:r>
      <w:proofErr w:type="gramStart"/>
      <w:r>
        <w:rPr>
          <w:lang w:val="en-US" w:eastAsia="zh-CN"/>
        </w:rPr>
        <w:t>in particular for</w:t>
      </w:r>
      <w:proofErr w:type="gramEnd"/>
      <w:r>
        <w:rPr>
          <w:lang w:val="en-US" w:eastAsia="zh-CN"/>
        </w:rPr>
        <w:t xml:space="preserve"> items impacting several WGs/TSGs.</w:t>
      </w:r>
    </w:p>
    <w:p w14:paraId="596374EE" w14:textId="6876A0F4" w:rsidR="00242FF3" w:rsidRPr="00242FF3" w:rsidRDefault="00242FF3" w:rsidP="007B7EE0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 w:rsidR="007B7EE0">
        <w:rPr>
          <w:lang w:val="en-US" w:eastAsia="zh-CN"/>
        </w:rPr>
        <w:t>A s</w:t>
      </w:r>
      <w:r>
        <w:rPr>
          <w:lang w:val="en-US" w:eastAsia="zh-CN"/>
        </w:rPr>
        <w:t>ummar</w:t>
      </w:r>
      <w:r w:rsidR="007B7EE0">
        <w:rPr>
          <w:lang w:val="en-US" w:eastAsia="zh-CN"/>
        </w:rPr>
        <w:t>y</w:t>
      </w:r>
      <w:r>
        <w:rPr>
          <w:lang w:val="en-US" w:eastAsia="zh-CN"/>
        </w:rPr>
        <w:t xml:space="preserve"> shall answer 2 questions: “what does the feature bring/solve?” and “what are its main impact</w:t>
      </w:r>
      <w:r w:rsidR="007B7EE0">
        <w:rPr>
          <w:lang w:val="en-US" w:eastAsia="zh-CN"/>
        </w:rPr>
        <w:t>s</w:t>
      </w:r>
      <w:r>
        <w:rPr>
          <w:lang w:val="en-US" w:eastAsia="zh-CN"/>
        </w:rPr>
        <w:t xml:space="preserve"> on the system?”</w:t>
      </w:r>
      <w:r w:rsidRPr="00242FF3">
        <w:rPr>
          <w:lang w:val="en-US" w:eastAsia="zh-CN"/>
        </w:rPr>
        <w:t>.</w:t>
      </w:r>
    </w:p>
    <w:p w14:paraId="55CFC643" w14:textId="4F3EF10D" w:rsidR="007B7EE0" w:rsidRDefault="007B7EE0" w:rsidP="007B7EE0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Figures (or at least tables) are highly encourage</w:t>
      </w:r>
      <w:r w:rsidRPr="00242FF3">
        <w:rPr>
          <w:lang w:val="en-US" w:eastAsia="zh-CN"/>
        </w:rPr>
        <w:t xml:space="preserve">. </w:t>
      </w:r>
    </w:p>
    <w:p w14:paraId="1EF5EBCF" w14:textId="27EBE0AC" w:rsidR="007B7EE0" w:rsidRDefault="007B7EE0" w:rsidP="007B7EE0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 xml:space="preserve">A summary shall be readable (e.g. avoid </w:t>
      </w:r>
      <w:r w:rsidRPr="00242FF3">
        <w:rPr>
          <w:lang w:val="en-US" w:eastAsia="zh-CN"/>
        </w:rPr>
        <w:t>long list of bullet items</w:t>
      </w:r>
      <w:r>
        <w:rPr>
          <w:lang w:val="en-US" w:eastAsia="zh-CN"/>
        </w:rPr>
        <w:t>)</w:t>
      </w:r>
      <w:r w:rsidRPr="00242FF3">
        <w:rPr>
          <w:lang w:val="en-US" w:eastAsia="zh-CN"/>
        </w:rPr>
        <w:t xml:space="preserve">. </w:t>
      </w:r>
    </w:p>
    <w:p w14:paraId="6F2FE89D" w14:textId="1858F1FB" w:rsidR="007B7EE0" w:rsidRDefault="007B7EE0" w:rsidP="007B7EE0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A summary shall be understandable by non-specialist. The target audience is the broader 3GPP community and even outside.</w:t>
      </w:r>
    </w:p>
    <w:p w14:paraId="23333A9A" w14:textId="338E76FA" w:rsidR="007B7EE0" w:rsidRDefault="007B7EE0" w:rsidP="007B7EE0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every (non-obvious) acronym shall be explained</w:t>
      </w:r>
      <w:r w:rsidRPr="00242FF3">
        <w:rPr>
          <w:lang w:val="en-US" w:eastAsia="zh-CN"/>
        </w:rPr>
        <w:t xml:space="preserve">. </w:t>
      </w:r>
    </w:p>
    <w:p w14:paraId="06EB4024" w14:textId="49C15FAB" w:rsidR="00242FF3" w:rsidRPr="00242FF3" w:rsidRDefault="00242FF3" w:rsidP="007B7EE0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  <w:t xml:space="preserve">The work items’ UIDs </w:t>
      </w:r>
      <w:r w:rsidR="007B7EE0">
        <w:rPr>
          <w:lang w:val="en-US" w:eastAsia="zh-CN"/>
        </w:rPr>
        <w:t xml:space="preserve">shall be </w:t>
      </w:r>
      <w:r w:rsidRPr="00242FF3">
        <w:rPr>
          <w:lang w:val="en-US" w:eastAsia="zh-CN"/>
        </w:rPr>
        <w:t>mentioned</w:t>
      </w:r>
      <w:r w:rsidR="007B7EE0">
        <w:rPr>
          <w:lang w:val="en-US" w:eastAsia="zh-CN"/>
        </w:rPr>
        <w:t xml:space="preserve">. This </w:t>
      </w:r>
      <w:r w:rsidRPr="00242FF3">
        <w:rPr>
          <w:lang w:val="en-US" w:eastAsia="zh-CN"/>
        </w:rPr>
        <w:t xml:space="preserve">is the key identifier to tell what is being summarized. </w:t>
      </w:r>
    </w:p>
    <w:p w14:paraId="0A084AC5" w14:textId="1A7FF804" w:rsidR="00242FF3" w:rsidRPr="00242FF3" w:rsidRDefault="00242FF3" w:rsidP="007B7EE0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  <w:t>For the references, the CRs should not be directly listed. Instead, a link to 3GU should be provided.</w:t>
      </w:r>
    </w:p>
    <w:p w14:paraId="5BADB959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2AC7342" w14:textId="77777777" w:rsidR="00F749AF" w:rsidRDefault="00C20685">
      <w:pPr>
        <w:rPr>
          <w:lang w:eastAsia="ko-KR"/>
        </w:rPr>
      </w:pPr>
      <w:r>
        <w:rPr>
          <w:lang w:eastAsia="ko-KR"/>
        </w:rPr>
        <w:t>None</w:t>
      </w:r>
    </w:p>
    <w:p w14:paraId="1CCE8258" w14:textId="77777777" w:rsidR="00F749AF" w:rsidRDefault="00F749AF">
      <w:pPr>
        <w:rPr>
          <w:lang w:eastAsia="ko-KR"/>
        </w:rPr>
      </w:pPr>
    </w:p>
    <w:p w14:paraId="396B3BDE" w14:textId="77777777" w:rsidR="00F749AF" w:rsidRDefault="00F749AF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61E47B94" w14:textId="77777777" w:rsidR="00F749AF" w:rsidRDefault="00F749AF">
      <w:pPr>
        <w:tabs>
          <w:tab w:val="left" w:pos="3119"/>
        </w:tabs>
        <w:rPr>
          <w:b/>
          <w:sz w:val="24"/>
        </w:rPr>
      </w:pPr>
    </w:p>
    <w:sectPr w:rsidR="00F749A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986F4" w14:textId="77777777" w:rsidR="00C03ED9" w:rsidRDefault="00C03ED9">
      <w:pPr>
        <w:spacing w:after="0"/>
      </w:pPr>
      <w:r>
        <w:separator/>
      </w:r>
    </w:p>
  </w:endnote>
  <w:endnote w:type="continuationSeparator" w:id="0">
    <w:p w14:paraId="5A0C2503" w14:textId="77777777" w:rsidR="00C03ED9" w:rsidRDefault="00C03E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7F9D9" w14:textId="77777777" w:rsidR="00C03ED9" w:rsidRDefault="00C03ED9">
      <w:pPr>
        <w:spacing w:after="0"/>
      </w:pPr>
      <w:r>
        <w:separator/>
      </w:r>
    </w:p>
  </w:footnote>
  <w:footnote w:type="continuationSeparator" w:id="0">
    <w:p w14:paraId="7B7BB976" w14:textId="77777777" w:rsidR="00C03ED9" w:rsidRDefault="00C03E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2178"/>
    <w:multiLevelType w:val="hybridMultilevel"/>
    <w:tmpl w:val="1864FEFC"/>
    <w:lvl w:ilvl="0" w:tplc="6410118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556321"/>
    <w:multiLevelType w:val="hybridMultilevel"/>
    <w:tmpl w:val="51801646"/>
    <w:lvl w:ilvl="0" w:tplc="3342C1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0655242">
    <w:abstractNumId w:val="0"/>
  </w:num>
  <w:num w:numId="2" w16cid:durableId="109587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3C0F"/>
    <w:rsid w:val="00017ADE"/>
    <w:rsid w:val="00017B53"/>
    <w:rsid w:val="0002054D"/>
    <w:rsid w:val="00022972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925A3"/>
    <w:rsid w:val="000B55D9"/>
    <w:rsid w:val="000B5AD3"/>
    <w:rsid w:val="000B7ECA"/>
    <w:rsid w:val="000C1105"/>
    <w:rsid w:val="000C4F12"/>
    <w:rsid w:val="000C55A7"/>
    <w:rsid w:val="000D2C2F"/>
    <w:rsid w:val="000D304A"/>
    <w:rsid w:val="000E40DE"/>
    <w:rsid w:val="0012510E"/>
    <w:rsid w:val="00144D0C"/>
    <w:rsid w:val="00145ACE"/>
    <w:rsid w:val="00147057"/>
    <w:rsid w:val="0017055D"/>
    <w:rsid w:val="00176EF0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B4C34"/>
    <w:rsid w:val="001D0F15"/>
    <w:rsid w:val="00201F99"/>
    <w:rsid w:val="002029DA"/>
    <w:rsid w:val="00213835"/>
    <w:rsid w:val="0021433D"/>
    <w:rsid w:val="00236EB0"/>
    <w:rsid w:val="00242FF3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07B2B"/>
    <w:rsid w:val="003151A0"/>
    <w:rsid w:val="0033399F"/>
    <w:rsid w:val="0033674E"/>
    <w:rsid w:val="003375EA"/>
    <w:rsid w:val="00350E8F"/>
    <w:rsid w:val="003618A5"/>
    <w:rsid w:val="00364E71"/>
    <w:rsid w:val="00367472"/>
    <w:rsid w:val="00372FE2"/>
    <w:rsid w:val="003755ED"/>
    <w:rsid w:val="00396046"/>
    <w:rsid w:val="003A2C4B"/>
    <w:rsid w:val="003B0668"/>
    <w:rsid w:val="003D0105"/>
    <w:rsid w:val="003E28B7"/>
    <w:rsid w:val="003E7C52"/>
    <w:rsid w:val="003F2B3D"/>
    <w:rsid w:val="004100DC"/>
    <w:rsid w:val="00411165"/>
    <w:rsid w:val="00412FF0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277"/>
    <w:rsid w:val="00506815"/>
    <w:rsid w:val="0050706F"/>
    <w:rsid w:val="0052677A"/>
    <w:rsid w:val="0052682F"/>
    <w:rsid w:val="00560154"/>
    <w:rsid w:val="00562912"/>
    <w:rsid w:val="0058236B"/>
    <w:rsid w:val="00582700"/>
    <w:rsid w:val="00583763"/>
    <w:rsid w:val="005A5C47"/>
    <w:rsid w:val="005C55D2"/>
    <w:rsid w:val="005D590F"/>
    <w:rsid w:val="005E4574"/>
    <w:rsid w:val="005F3DDF"/>
    <w:rsid w:val="005F4366"/>
    <w:rsid w:val="005F4E8A"/>
    <w:rsid w:val="006214D6"/>
    <w:rsid w:val="006221CC"/>
    <w:rsid w:val="00623F79"/>
    <w:rsid w:val="00626D3E"/>
    <w:rsid w:val="006318CD"/>
    <w:rsid w:val="00652B69"/>
    <w:rsid w:val="0065359E"/>
    <w:rsid w:val="00656C15"/>
    <w:rsid w:val="00664D5E"/>
    <w:rsid w:val="00667FA9"/>
    <w:rsid w:val="00672106"/>
    <w:rsid w:val="00682F10"/>
    <w:rsid w:val="0068730E"/>
    <w:rsid w:val="00692218"/>
    <w:rsid w:val="0069566A"/>
    <w:rsid w:val="006B22EA"/>
    <w:rsid w:val="006C1CC8"/>
    <w:rsid w:val="006F129A"/>
    <w:rsid w:val="006F5E0F"/>
    <w:rsid w:val="007008ED"/>
    <w:rsid w:val="00715BD3"/>
    <w:rsid w:val="00723715"/>
    <w:rsid w:val="007266A4"/>
    <w:rsid w:val="00727DF7"/>
    <w:rsid w:val="00731783"/>
    <w:rsid w:val="00746533"/>
    <w:rsid w:val="0075462E"/>
    <w:rsid w:val="007834BF"/>
    <w:rsid w:val="00785D23"/>
    <w:rsid w:val="007938DF"/>
    <w:rsid w:val="007A2799"/>
    <w:rsid w:val="007B7EE0"/>
    <w:rsid w:val="007D0F79"/>
    <w:rsid w:val="007D21C8"/>
    <w:rsid w:val="007E3F5C"/>
    <w:rsid w:val="007F3FAA"/>
    <w:rsid w:val="00826752"/>
    <w:rsid w:val="0084534C"/>
    <w:rsid w:val="008526A6"/>
    <w:rsid w:val="0087494C"/>
    <w:rsid w:val="008839AE"/>
    <w:rsid w:val="00897C6F"/>
    <w:rsid w:val="008B176E"/>
    <w:rsid w:val="008B1D39"/>
    <w:rsid w:val="008C4334"/>
    <w:rsid w:val="008C4898"/>
    <w:rsid w:val="008C604C"/>
    <w:rsid w:val="008E1159"/>
    <w:rsid w:val="008F096F"/>
    <w:rsid w:val="00912B1A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C0930"/>
    <w:rsid w:val="009F2E35"/>
    <w:rsid w:val="00A00EE5"/>
    <w:rsid w:val="00A01FB9"/>
    <w:rsid w:val="00A13C46"/>
    <w:rsid w:val="00A22A28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B6394"/>
    <w:rsid w:val="00AC3E38"/>
    <w:rsid w:val="00AD0BF8"/>
    <w:rsid w:val="00AE14C4"/>
    <w:rsid w:val="00AF034E"/>
    <w:rsid w:val="00B2166D"/>
    <w:rsid w:val="00B34851"/>
    <w:rsid w:val="00B44067"/>
    <w:rsid w:val="00B7281E"/>
    <w:rsid w:val="00B95FB0"/>
    <w:rsid w:val="00BC2BEA"/>
    <w:rsid w:val="00BC3203"/>
    <w:rsid w:val="00BD6AF7"/>
    <w:rsid w:val="00BF2149"/>
    <w:rsid w:val="00BF7038"/>
    <w:rsid w:val="00C03ED9"/>
    <w:rsid w:val="00C0728C"/>
    <w:rsid w:val="00C07EEA"/>
    <w:rsid w:val="00C12156"/>
    <w:rsid w:val="00C12F42"/>
    <w:rsid w:val="00C14E32"/>
    <w:rsid w:val="00C20685"/>
    <w:rsid w:val="00C244C0"/>
    <w:rsid w:val="00C31D22"/>
    <w:rsid w:val="00C34E09"/>
    <w:rsid w:val="00C360ED"/>
    <w:rsid w:val="00C42D9E"/>
    <w:rsid w:val="00C42EFE"/>
    <w:rsid w:val="00C511A2"/>
    <w:rsid w:val="00C56E30"/>
    <w:rsid w:val="00C7419D"/>
    <w:rsid w:val="00C832FB"/>
    <w:rsid w:val="00C91227"/>
    <w:rsid w:val="00C91F6D"/>
    <w:rsid w:val="00CA17F6"/>
    <w:rsid w:val="00CA46B9"/>
    <w:rsid w:val="00CB0151"/>
    <w:rsid w:val="00CB175A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33EB2"/>
    <w:rsid w:val="00D55950"/>
    <w:rsid w:val="00D65EFE"/>
    <w:rsid w:val="00D665BD"/>
    <w:rsid w:val="00D66DC6"/>
    <w:rsid w:val="00D818C6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69DF"/>
    <w:rsid w:val="00E96DDF"/>
    <w:rsid w:val="00EB6968"/>
    <w:rsid w:val="00EC069C"/>
    <w:rsid w:val="00EC295D"/>
    <w:rsid w:val="00EC57FA"/>
    <w:rsid w:val="00ED42EE"/>
    <w:rsid w:val="00EE28F2"/>
    <w:rsid w:val="00EE57FE"/>
    <w:rsid w:val="00F020F1"/>
    <w:rsid w:val="00F0753C"/>
    <w:rsid w:val="00F07791"/>
    <w:rsid w:val="00F21713"/>
    <w:rsid w:val="00F2462A"/>
    <w:rsid w:val="00F36623"/>
    <w:rsid w:val="00F36A00"/>
    <w:rsid w:val="00F43EAE"/>
    <w:rsid w:val="00F62FBB"/>
    <w:rsid w:val="00F714A3"/>
    <w:rsid w:val="00F749AF"/>
    <w:rsid w:val="00F85D9F"/>
    <w:rsid w:val="00F93087"/>
    <w:rsid w:val="00F96850"/>
    <w:rsid w:val="00FE1D46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ABF84"/>
  <w15:docId w15:val="{E5732849-B9CC-4995-B3D2-6B7489A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semiHidden/>
    <w:qFormat/>
    <w:rPr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  <w:lang w:eastAsia="en-US"/>
    </w:rPr>
  </w:style>
  <w:style w:type="paragraph" w:styleId="ListParagraph">
    <w:name w:val="List Paragraph"/>
    <w:basedOn w:val="Normal"/>
    <w:uiPriority w:val="34"/>
    <w:qFormat/>
    <w:rsid w:val="00F85D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Template.dot</Template>
  <TotalTime>9</TotalTime>
  <Pages>2</Pages>
  <Words>311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to:</vt:lpstr>
    </vt:vector>
  </TitlesOfParts>
  <Company>Magenta AT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AS</cp:lastModifiedBy>
  <cp:revision>4</cp:revision>
  <dcterms:created xsi:type="dcterms:W3CDTF">2024-03-12T10:27:00Z</dcterms:created>
  <dcterms:modified xsi:type="dcterms:W3CDTF">2024-03-15T14:46:00Z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2023-02-24T10:30:35Z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9332b3ea-64d2-4275-b854-a5afdde19141</vt:lpwstr>
  </property>
  <property fmtid="{D5CDD505-2E9C-101B-9397-08002B2CF9AE}" pid="16" name="MSIP_Label_55339bf0-f345-473a-9ec8-6ca7c8197055_ContentBits">
    <vt:lpwstr>0</vt:lpwstr>
  </property>
</Properties>
</file>