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94BE3" w14:textId="68A108C1" w:rsidR="00BD3E97" w:rsidRDefault="00BD3E97" w:rsidP="00D059B5">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475E91">
        <w:rPr>
          <w:b/>
          <w:noProof/>
          <w:sz w:val="24"/>
        </w:rPr>
        <w:t>282</w:t>
      </w:r>
    </w:p>
    <w:p w14:paraId="4AC1131D" w14:textId="77777777" w:rsidR="00BD3E97" w:rsidRDefault="00BD3E97" w:rsidP="00BD3E97">
      <w:pPr>
        <w:pStyle w:val="CRCoverPage"/>
        <w:tabs>
          <w:tab w:val="right" w:pos="9639"/>
        </w:tabs>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97FDC" w:rsidR="001E41F3" w:rsidRPr="00410371" w:rsidRDefault="00BD3E97" w:rsidP="00E13F3D">
            <w:pPr>
              <w:pStyle w:val="CRCoverPage"/>
              <w:spacing w:after="0"/>
              <w:jc w:val="right"/>
              <w:rPr>
                <w:b/>
                <w:noProof/>
                <w:sz w:val="28"/>
              </w:rPr>
            </w:pPr>
            <w:r>
              <w:rPr>
                <w:b/>
                <w:noProof/>
                <w:sz w:val="28"/>
              </w:rPr>
              <w:t>23.632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27756" w:rsidR="001E41F3" w:rsidRPr="00410371" w:rsidRDefault="00BD3E97" w:rsidP="00547111">
            <w:pPr>
              <w:pStyle w:val="CRCoverPage"/>
              <w:spacing w:after="0"/>
              <w:rPr>
                <w:noProof/>
              </w:rPr>
            </w:pPr>
            <w:r>
              <w:rPr>
                <w:b/>
                <w:noProof/>
                <w:sz w:val="28"/>
              </w:rPr>
              <w:t>0</w:t>
            </w:r>
            <w:r w:rsidR="00475E91">
              <w:rPr>
                <w:b/>
                <w:noProof/>
                <w:sz w:val="28"/>
              </w:rPr>
              <w:t>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162B5" w:rsidR="001E41F3" w:rsidRPr="00410371" w:rsidRDefault="00BD3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15F2C" w:rsidR="001E41F3" w:rsidRPr="00410371" w:rsidRDefault="00BD3E97">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A6FD2" w:rsidR="001E41F3" w:rsidRDefault="00E724B2">
            <w:pPr>
              <w:pStyle w:val="CRCoverPage"/>
              <w:spacing w:after="0"/>
              <w:ind w:left="100"/>
              <w:rPr>
                <w:noProof/>
              </w:rPr>
            </w:pPr>
            <w:r>
              <w:t xml:space="preserve">Group </w:t>
            </w:r>
            <w:r w:rsidR="00C10EDE">
              <w:t xml:space="preserve">event </w:t>
            </w:r>
            <w:r>
              <w:t>based common network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54C3C" w:rsidR="001E41F3" w:rsidRDefault="00C10ED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4B333" w:rsidR="001E41F3" w:rsidRDefault="00F30945">
            <w:pPr>
              <w:pStyle w:val="CRCoverPage"/>
              <w:spacing w:after="0"/>
              <w:ind w:left="100"/>
              <w:rPr>
                <w:noProof/>
              </w:rPr>
            </w:pPr>
            <w:r>
              <w:t>UDICOM</w:t>
            </w:r>
            <w:r w:rsidR="00BD3E97">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5A26E" w:rsidR="001E41F3" w:rsidRDefault="00C10EDE">
            <w:pPr>
              <w:pStyle w:val="CRCoverPage"/>
              <w:spacing w:after="0"/>
              <w:ind w:left="100"/>
              <w:rPr>
                <w:noProof/>
              </w:rPr>
            </w:pPr>
            <w:r>
              <w:t>2023-</w:t>
            </w:r>
            <w:r w:rsidR="00BD3E97">
              <w:t>10</w:t>
            </w:r>
            <w:r>
              <w:t>-2</w:t>
            </w:r>
            <w:r w:rsidR="00BD3E9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9FF9A5" w:rsidR="001E41F3" w:rsidRPr="00BD3E97" w:rsidRDefault="00BD3E97" w:rsidP="00D24991">
            <w:pPr>
              <w:pStyle w:val="CRCoverPage"/>
              <w:spacing w:after="0"/>
              <w:ind w:left="100" w:right="-609"/>
              <w:rPr>
                <w:b/>
                <w:bCs/>
                <w:noProof/>
              </w:rPr>
            </w:pPr>
            <w:r w:rsidRPr="00BD3E9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F2ACD" w:rsidR="001E41F3" w:rsidRDefault="00C10ED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3B3C3" w14:textId="1BC4E658" w:rsidR="001E41F3" w:rsidRDefault="006B535A">
            <w:pPr>
              <w:pStyle w:val="CRCoverPage"/>
              <w:spacing w:after="0"/>
              <w:ind w:left="100"/>
              <w:rPr>
                <w:noProof/>
              </w:rPr>
            </w:pPr>
            <w:r>
              <w:rPr>
                <w:noProof/>
              </w:rPr>
              <w:t xml:space="preserve">For common network exposure, group event based common network exposure is not </w:t>
            </w:r>
            <w:r w:rsidR="00BD3E97">
              <w:rPr>
                <w:noProof/>
              </w:rPr>
              <w:t>described</w:t>
            </w:r>
            <w:r w:rsidR="00D16FF1">
              <w:rPr>
                <w:noProof/>
              </w:rPr>
              <w:t>.</w:t>
            </w:r>
          </w:p>
          <w:p w14:paraId="6BC57B1C" w14:textId="1210C368" w:rsidR="009A406B" w:rsidRDefault="009A406B">
            <w:pPr>
              <w:pStyle w:val="CRCoverPage"/>
              <w:spacing w:after="0"/>
              <w:ind w:left="100"/>
              <w:rPr>
                <w:noProof/>
              </w:rPr>
            </w:pPr>
          </w:p>
          <w:p w14:paraId="2825255B" w14:textId="086BA13E" w:rsidR="009A406B" w:rsidRDefault="009A406B">
            <w:pPr>
              <w:pStyle w:val="CRCoverPage"/>
              <w:spacing w:after="0"/>
              <w:ind w:left="100"/>
              <w:rPr>
                <w:noProof/>
              </w:rPr>
            </w:pPr>
            <w:r>
              <w:rPr>
                <w:noProof/>
              </w:rPr>
              <w:t>Note that stage-3 specifications (TS 29.563) included this support since Rel-17, but TS 23.632 was not aligned accordingly.</w:t>
            </w:r>
          </w:p>
          <w:p w14:paraId="708AA7DE" w14:textId="09B6B328" w:rsidR="00D16FF1" w:rsidRDefault="00D16F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4DAB7" w14:textId="1C34B474" w:rsidR="001E41F3" w:rsidRDefault="00D16FF1">
            <w:pPr>
              <w:pStyle w:val="CRCoverPage"/>
              <w:spacing w:after="0"/>
              <w:ind w:left="100"/>
              <w:rPr>
                <w:noProof/>
              </w:rPr>
            </w:pPr>
            <w:r>
              <w:rPr>
                <w:noProof/>
              </w:rPr>
              <w:t xml:space="preserve">Add the specification for </w:t>
            </w:r>
            <w:r w:rsidR="00D20CA1">
              <w:rPr>
                <w:noProof/>
              </w:rPr>
              <w:t xml:space="preserve">group event </w:t>
            </w:r>
            <w:r>
              <w:rPr>
                <w:noProof/>
              </w:rPr>
              <w:t xml:space="preserve">use cases </w:t>
            </w:r>
            <w:r w:rsidR="00D20CA1">
              <w:rPr>
                <w:noProof/>
              </w:rPr>
              <w:t xml:space="preserve">so </w:t>
            </w:r>
            <w:r>
              <w:rPr>
                <w:noProof/>
              </w:rPr>
              <w:t xml:space="preserve">that the </w:t>
            </w:r>
            <w:r w:rsidR="009E536E">
              <w:rPr>
                <w:noProof/>
              </w:rPr>
              <w:t>group event based common network exposure is supported.</w:t>
            </w:r>
          </w:p>
          <w:p w14:paraId="31C656EC" w14:textId="31805760" w:rsidR="009E536E" w:rsidRDefault="009E536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6508A" w14:textId="77777777" w:rsidR="001E41F3" w:rsidRDefault="00D20CA1">
            <w:pPr>
              <w:pStyle w:val="CRCoverPage"/>
              <w:spacing w:after="0"/>
              <w:ind w:left="100"/>
              <w:rPr>
                <w:noProof/>
              </w:rPr>
            </w:pPr>
            <w:r>
              <w:rPr>
                <w:noProof/>
              </w:rPr>
              <w:t>Unclear or incomplete of the specification to suppo</w:t>
            </w:r>
            <w:r w:rsidR="00261522">
              <w:rPr>
                <w:noProof/>
              </w:rPr>
              <w:t>rt group events on the UDICOM interworking interfaces.</w:t>
            </w:r>
          </w:p>
          <w:p w14:paraId="5C4BEB44" w14:textId="1DBF8963" w:rsidR="00261522" w:rsidRDefault="0026152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83041" w:rsidR="001E41F3" w:rsidRDefault="008153C4">
            <w:pPr>
              <w:pStyle w:val="CRCoverPage"/>
              <w:spacing w:after="0"/>
              <w:ind w:left="100"/>
              <w:rPr>
                <w:noProof/>
              </w:rPr>
            </w:pPr>
            <w:r>
              <w:rPr>
                <w:noProof/>
              </w:rPr>
              <w:t>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E1E993" w14:textId="77777777" w:rsidR="005C25A9" w:rsidRDefault="005C25A9" w:rsidP="005C25A9">
      <w:pPr>
        <w:pStyle w:val="Heading3"/>
      </w:pPr>
      <w:bookmarkStart w:id="1" w:name="_Toc44861171"/>
      <w:bookmarkStart w:id="2" w:name="_Toc51841315"/>
      <w:bookmarkStart w:id="3" w:name="_Toc57891959"/>
      <w:bookmarkStart w:id="4" w:name="_Toc146091875"/>
      <w:r>
        <w:t>5.6.2</w:t>
      </w:r>
      <w:r>
        <w:tab/>
        <w:t>Configuration of Monitoring Events in MME</w:t>
      </w:r>
      <w:bookmarkEnd w:id="1"/>
      <w:bookmarkEnd w:id="2"/>
      <w:bookmarkEnd w:id="3"/>
      <w:bookmarkEnd w:id="4"/>
    </w:p>
    <w:p w14:paraId="7ACA9034" w14:textId="77777777" w:rsidR="005C25A9" w:rsidRDefault="005C25A9" w:rsidP="005C25A9">
      <w:r>
        <w:t>Figure 5.6.2-1 shows the scenario where the UDM receives a request from a combined SCEF+NEF to configure a monitoring event that needs to be reported by EPC (e.g. location change).</w:t>
      </w:r>
    </w:p>
    <w:p w14:paraId="480B18FF" w14:textId="77777777" w:rsidR="005C25A9" w:rsidRPr="00E71710" w:rsidRDefault="005C25A9" w:rsidP="005C25A9">
      <w:pPr>
        <w:pStyle w:val="TH"/>
      </w:pPr>
      <w:r>
        <w:object w:dxaOrig="12120" w:dyaOrig="7455" w14:anchorId="465F1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15pt;height:298.7pt" o:ole="">
            <v:imagedata r:id="rId12" o:title=""/>
          </v:shape>
          <o:OLEObject Type="Embed" ProgID="Visio.Drawing.11" ShapeID="_x0000_i1025" DrawAspect="Content" ObjectID="_1760514949" r:id="rId13"/>
        </w:object>
      </w:r>
    </w:p>
    <w:p w14:paraId="6CCABD16" w14:textId="77777777" w:rsidR="005C25A9" w:rsidRDefault="005C25A9" w:rsidP="005C25A9">
      <w:pPr>
        <w:pStyle w:val="TF"/>
      </w:pPr>
      <w:r>
        <w:t>Figure 5.6.2-1: Configuration of Monitoring Events in MME</w:t>
      </w:r>
    </w:p>
    <w:p w14:paraId="38C4D5A7" w14:textId="62C99200" w:rsidR="005C25A9" w:rsidRDefault="005C25A9" w:rsidP="005C25A9">
      <w:pPr>
        <w:pStyle w:val="B1"/>
      </w:pPr>
      <w:r>
        <w:t>1.</w:t>
      </w:r>
      <w:r>
        <w:tab/>
        <w:t>The UDM receives a request from a combined SCEF+NEF to configure a monitoring event for a UE</w:t>
      </w:r>
      <w:ins w:id="5" w:author="Lawrence Long" w:date="2023-09-25T16:59:00Z">
        <w:r>
          <w:t xml:space="preserve"> or </w:t>
        </w:r>
      </w:ins>
      <w:ins w:id="6" w:author="Lawrence Long" w:date="2023-09-25T23:35:00Z">
        <w:r w:rsidR="00CF5A37">
          <w:t xml:space="preserve">for </w:t>
        </w:r>
      </w:ins>
      <w:ins w:id="7" w:author="Lawrence Long" w:date="2023-09-25T16:59:00Z">
        <w:r>
          <w:t xml:space="preserve">a group of </w:t>
        </w:r>
      </w:ins>
      <w:ins w:id="8" w:author="Lawrence Long" w:date="2023-09-25T17:00:00Z">
        <w:r>
          <w:t>UEs</w:t>
        </w:r>
      </w:ins>
      <w:r>
        <w:t xml:space="preserve">. The request indicates that the subscription applies also to EPC and the monitoring event is to be reported by the MME (e.g. location change). The request </w:t>
      </w:r>
      <w:r w:rsidRPr="00F84BB3">
        <w:t>includes the notification addresses of both the NEF and the SCEF.</w:t>
      </w:r>
    </w:p>
    <w:p w14:paraId="7245276E" w14:textId="77777777" w:rsidR="005C25A9" w:rsidRDefault="005C25A9" w:rsidP="005C25A9">
      <w:pPr>
        <w:pStyle w:val="B1"/>
      </w:pPr>
      <w:r>
        <w:t>2.</w:t>
      </w:r>
      <w:r>
        <w:tab/>
        <w:t>The UDM configures the monitoring event for the UE</w:t>
      </w:r>
      <w:ins w:id="9" w:author="Lawrence Long" w:date="2023-09-25T16:59:00Z">
        <w:r>
          <w:t xml:space="preserve"> or </w:t>
        </w:r>
      </w:ins>
      <w:ins w:id="10" w:author="Lawrence Long" w:date="2023-09-25T17:00:00Z">
        <w:r>
          <w:t xml:space="preserve">for the </w:t>
        </w:r>
      </w:ins>
      <w:ins w:id="11" w:author="Lawrence Long" w:date="2023-09-25T16:59:00Z">
        <w:r>
          <w:t>group of UEs</w:t>
        </w:r>
      </w:ins>
      <w:r>
        <w:t xml:space="preserve"> in 5GC.</w:t>
      </w:r>
      <w:r w:rsidRPr="00414AA3">
        <w:t xml:space="preserve"> </w:t>
      </w:r>
      <w:r w:rsidRPr="00244099">
        <w:t xml:space="preserve">If the 5GS UDR is used, the UDM </w:t>
      </w:r>
      <w:r>
        <w:t xml:space="preserve">stores the configuration of the monitoring event for the UE in the </w:t>
      </w:r>
      <w:r w:rsidRPr="00244099">
        <w:t>5GS-UDR</w:t>
      </w:r>
      <w:r>
        <w:t>.</w:t>
      </w:r>
      <w:r w:rsidRPr="00244099">
        <w:t xml:space="preserve"> </w:t>
      </w:r>
      <w:r>
        <w:t>The UDM contacts the corresponding NF within the 5GC (e.g. AMF, SMF) as required by the monitoring event.</w:t>
      </w:r>
    </w:p>
    <w:p w14:paraId="620696E7" w14:textId="5DFBD1E7" w:rsidR="005C25A9" w:rsidRDefault="005C25A9" w:rsidP="005C25A9">
      <w:pPr>
        <w:pStyle w:val="B1"/>
      </w:pPr>
      <w:r>
        <w:t>3.</w:t>
      </w:r>
      <w:r>
        <w:tab/>
        <w:t>Unless</w:t>
      </w:r>
      <w:r w:rsidRPr="00A20410">
        <w:t xml:space="preserve"> the subscription information related to the </w:t>
      </w:r>
      <w:r>
        <w:t>UE</w:t>
      </w:r>
      <w:ins w:id="12" w:author="Lawrence Long" w:date="2023-09-25T17:00:00Z">
        <w:r>
          <w:t xml:space="preserve"> or </w:t>
        </w:r>
      </w:ins>
      <w:ins w:id="13" w:author="Lawrence Long" w:date="2023-09-25T23:41:00Z">
        <w:r w:rsidR="008A07F9">
          <w:t xml:space="preserve">to the </w:t>
        </w:r>
      </w:ins>
      <w:ins w:id="14" w:author="Lawrence Long" w:date="2023-09-25T17:00:00Z">
        <w:r>
          <w:t>group of UEs</w:t>
        </w:r>
      </w:ins>
      <w:r>
        <w:t xml:space="preserve"> </w:t>
      </w:r>
      <w:r w:rsidRPr="00A20410">
        <w:t>indicat</w:t>
      </w:r>
      <w:r>
        <w:t>es that the UE</w:t>
      </w:r>
      <w:ins w:id="15" w:author="Lawrence Long" w:date="2023-09-25T17:00:00Z">
        <w:r>
          <w:t xml:space="preserve"> or </w:t>
        </w:r>
      </w:ins>
      <w:ins w:id="16" w:author="Lawrence Long" w:date="2023-09-25T23:41:00Z">
        <w:r w:rsidR="008A07F9">
          <w:t xml:space="preserve">the </w:t>
        </w:r>
      </w:ins>
      <w:ins w:id="17" w:author="Lawrence Long" w:date="2023-09-25T17:00:00Z">
        <w:r>
          <w:t>group of UEs</w:t>
        </w:r>
      </w:ins>
      <w:r>
        <w:t xml:space="preserve"> has no EPC subscription data,</w:t>
      </w:r>
      <w:r w:rsidRPr="00A20410">
        <w:t xml:space="preserve"> then the UDM</w:t>
      </w:r>
      <w:r>
        <w:t xml:space="preserve"> requests the HSS to configure the monitoring event for the UE </w:t>
      </w:r>
      <w:ins w:id="18" w:author="Lawrence Long" w:date="2023-09-25T17:01:00Z">
        <w:r>
          <w:t xml:space="preserve">or </w:t>
        </w:r>
      </w:ins>
      <w:ins w:id="19" w:author="Lawrence Long" w:date="2023-09-25T23:41:00Z">
        <w:r w:rsidR="008A07F9">
          <w:t xml:space="preserve">for the </w:t>
        </w:r>
      </w:ins>
      <w:ins w:id="20" w:author="Lawrence Long" w:date="2023-09-25T17:01:00Z">
        <w:r>
          <w:t xml:space="preserve">group of UEs </w:t>
        </w:r>
      </w:ins>
      <w:r>
        <w:t xml:space="preserve">in EPC using a </w:t>
      </w:r>
      <w:proofErr w:type="spellStart"/>
      <w:r>
        <w:t>Nhss_EventExposure_Subscribe</w:t>
      </w:r>
      <w:proofErr w:type="spellEnd"/>
      <w:r>
        <w:t xml:space="preserve"> operation. In addition to the UDM notification address, the UDM provides the SCEF notification address (i.e. SCEF Id).</w:t>
      </w:r>
    </w:p>
    <w:p w14:paraId="31D80425" w14:textId="77777777" w:rsidR="005C25A9" w:rsidRDefault="005C25A9" w:rsidP="005C25A9">
      <w:pPr>
        <w:pStyle w:val="B1"/>
      </w:pPr>
      <w:r>
        <w:t>4.</w:t>
      </w:r>
      <w:r>
        <w:tab/>
        <w:t xml:space="preserve">The HSS configures the monitoring event for the UE </w:t>
      </w:r>
      <w:ins w:id="21" w:author="Lawrence Long" w:date="2023-09-25T17:01:00Z">
        <w:r>
          <w:t xml:space="preserve">or for the group of UEs </w:t>
        </w:r>
      </w:ins>
      <w:r>
        <w:t>in EPC using the procedures defined in 3GPP TS 23.682 [16].</w:t>
      </w:r>
    </w:p>
    <w:p w14:paraId="4723CC51" w14:textId="77777777" w:rsidR="005C25A9" w:rsidRDefault="005C25A9" w:rsidP="005C25A9">
      <w:pPr>
        <w:pStyle w:val="B1"/>
      </w:pPr>
      <w:r>
        <w:t>5.</w:t>
      </w:r>
      <w:r>
        <w:tab/>
        <w:t>The HSS replies to the UDM with the result of the subscription request.</w:t>
      </w:r>
    </w:p>
    <w:p w14:paraId="43622734" w14:textId="77777777" w:rsidR="005C25A9" w:rsidRDefault="005C25A9" w:rsidP="005C25A9">
      <w:pPr>
        <w:pStyle w:val="B1"/>
      </w:pPr>
      <w:r>
        <w:tab/>
        <w:t>If immediate reporting was required and the current event status is available at HSS (or received from MME in step 4) and if both the UDM and the HSS support to include event reports in the subscription response, the HSS also includes the current event status in the subscription response to UDM and step 6a is skipped.</w:t>
      </w:r>
    </w:p>
    <w:p w14:paraId="2786BF52" w14:textId="77777777" w:rsidR="005C25A9" w:rsidRDefault="005C25A9" w:rsidP="005C25A9">
      <w:pPr>
        <w:pStyle w:val="B1"/>
      </w:pPr>
      <w:r>
        <w:tab/>
        <w:t>If immediate reporting was required but the current event status is not available at HSS (and not received from MME in step 4), the HSS includes a flag in the subscription response indicating that immediate event report is not available.</w:t>
      </w:r>
    </w:p>
    <w:p w14:paraId="776686ED" w14:textId="77777777" w:rsidR="005C25A9" w:rsidRDefault="005C25A9" w:rsidP="005C25A9">
      <w:pPr>
        <w:pStyle w:val="B1"/>
      </w:pPr>
      <w:r>
        <w:lastRenderedPageBreak/>
        <w:t>6.</w:t>
      </w:r>
      <w:r>
        <w:tab/>
        <w:t>The UDM replies to the combined SCEF+NEF including confirmation that the subscription was also successful in EPC domain.</w:t>
      </w:r>
    </w:p>
    <w:p w14:paraId="33531FA5" w14:textId="77777777" w:rsidR="005C25A9" w:rsidRDefault="005C25A9" w:rsidP="005C25A9">
      <w:pPr>
        <w:pStyle w:val="B1"/>
      </w:pPr>
      <w:r>
        <w:t>6a.</w:t>
      </w:r>
      <w:r>
        <w:tab/>
        <w:t xml:space="preserve">(Conditional) If immediate reporting was required and the current event status is available at HSS (or received from MME in step 4) but the UDM and/or the HSS cannot support to include event reports in the subscription response, the HSS sends a notification including the current event status for immediate reporting, to the UDM using the </w:t>
      </w:r>
      <w:proofErr w:type="spellStart"/>
      <w:r>
        <w:t>Nhss_EE_Notify</w:t>
      </w:r>
      <w:proofErr w:type="spellEnd"/>
      <w:r>
        <w:t xml:space="preserve"> service operation. The UDM then notifies NEF using the </w:t>
      </w:r>
      <w:proofErr w:type="spellStart"/>
      <w:r>
        <w:t>Nudm_EE_Notify</w:t>
      </w:r>
      <w:proofErr w:type="spellEnd"/>
      <w:r>
        <w:t xml:space="preserve"> service operation.</w:t>
      </w:r>
    </w:p>
    <w:p w14:paraId="16F1C600" w14:textId="2A8E0A6D" w:rsidR="005C25A9" w:rsidRDefault="005C25A9" w:rsidP="005C25A9">
      <w:pPr>
        <w:pStyle w:val="B1"/>
      </w:pPr>
      <w:r>
        <w:t>7.</w:t>
      </w:r>
      <w:r>
        <w:tab/>
        <w:t xml:space="preserve">At a later stage, the monitoring event is detected for the UE </w:t>
      </w:r>
      <w:ins w:id="22" w:author="Lawrence Long" w:date="2023-09-25T17:03:00Z">
        <w:r>
          <w:t xml:space="preserve">or </w:t>
        </w:r>
      </w:ins>
      <w:ins w:id="23" w:author="Lawrence Long" w:date="2023-09-25T23:41:00Z">
        <w:r w:rsidR="008A07F9">
          <w:t xml:space="preserve">for the </w:t>
        </w:r>
      </w:ins>
      <w:ins w:id="24" w:author="Lawrence Long" w:date="2023-09-25T17:03:00Z">
        <w:r>
          <w:t xml:space="preserve">group of UEs </w:t>
        </w:r>
      </w:ins>
      <w:r>
        <w:t>in the EPC domain. The event may be detected at the MME (e.g. location change) or at the HSS (e.g. UE reachability for SMS).</w:t>
      </w:r>
    </w:p>
    <w:p w14:paraId="5445A54C" w14:textId="77777777" w:rsidR="005C25A9" w:rsidRDefault="005C25A9" w:rsidP="005C25A9">
      <w:pPr>
        <w:pStyle w:val="B1"/>
      </w:pPr>
      <w:r>
        <w:t>8.</w:t>
      </w:r>
      <w:r>
        <w:tab/>
        <w:t xml:space="preserve">The monitoring event is reported to the SCEF+NEF. The MME notifies the event as defined in 3GPP TS 23.682 [16] by using the SCEF notification address provided by the HSS in step 4, if applicable. If the monitoring event is detected at the HSS or reported by the MME to the HSS, the HSS notifies the monitoring event to UDM using the </w:t>
      </w:r>
      <w:proofErr w:type="spellStart"/>
      <w:r>
        <w:t>Nhss_EE_Notify</w:t>
      </w:r>
      <w:proofErr w:type="spellEnd"/>
      <w:r>
        <w:t xml:space="preserve"> service operation. The UDM then notifies NEF using the </w:t>
      </w:r>
      <w:proofErr w:type="spellStart"/>
      <w:r>
        <w:t>Nudm_EE_Notify</w:t>
      </w:r>
      <w:proofErr w:type="spellEnd"/>
      <w:r>
        <w:t xml:space="preserve"> service operation.</w:t>
      </w:r>
    </w:p>
    <w:p w14:paraId="3F0EF70E" w14:textId="122268DE" w:rsidR="009D7FEB" w:rsidRDefault="005C25A9" w:rsidP="008B0884">
      <w:pPr>
        <w:pStyle w:val="NO"/>
      </w:pPr>
      <w:r w:rsidRPr="00F9530B">
        <w:t>NOTE:</w:t>
      </w:r>
      <w:r>
        <w:tab/>
      </w:r>
      <w:r w:rsidRPr="00F9530B">
        <w:t xml:space="preserve">The </w:t>
      </w:r>
      <w:r>
        <w:t xml:space="preserve">notification of monitoring events from HSS (e.g. reachability for SMS) using SBA interfaces </w:t>
      </w:r>
      <w:r w:rsidRPr="00F9530B">
        <w:t xml:space="preserve">supersedes the option </w:t>
      </w:r>
      <w:r>
        <w:t>of HSS using diameter S6t</w:t>
      </w:r>
      <w:r w:rsidRPr="00F9530B">
        <w:t xml:space="preserve">. </w:t>
      </w:r>
      <w:r>
        <w:t>Only the events reported by MME will keep diameter T6a interface towards SCEF.</w:t>
      </w:r>
    </w:p>
    <w:p w14:paraId="0C2EFCF8" w14:textId="77777777" w:rsidR="008B0884" w:rsidRPr="00A177C0" w:rsidRDefault="008B0884" w:rsidP="008B0884">
      <w:pPr>
        <w:pStyle w:val="NO"/>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67248" w14:textId="77777777" w:rsidR="00001B72" w:rsidRDefault="00001B72">
      <w:r>
        <w:separator/>
      </w:r>
    </w:p>
  </w:endnote>
  <w:endnote w:type="continuationSeparator" w:id="0">
    <w:p w14:paraId="6FE8651F" w14:textId="77777777" w:rsidR="00001B72" w:rsidRDefault="00001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6F8C" w14:textId="77777777" w:rsidR="00001B72" w:rsidRDefault="00001B72">
      <w:r>
        <w:separator/>
      </w:r>
    </w:p>
  </w:footnote>
  <w:footnote w:type="continuationSeparator" w:id="0">
    <w:p w14:paraId="5F9C11EA" w14:textId="77777777" w:rsidR="00001B72" w:rsidRDefault="00001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wrence Long">
    <w15:presenceInfo w15:providerId="AD" w15:userId="S::lawrence.long@ericsson.com::0d7e0f38-bb6f-44c1-8882-e61c6a61c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72"/>
    <w:rsid w:val="00022E4A"/>
    <w:rsid w:val="000756C1"/>
    <w:rsid w:val="000A6394"/>
    <w:rsid w:val="000B7FED"/>
    <w:rsid w:val="000C038A"/>
    <w:rsid w:val="000C6598"/>
    <w:rsid w:val="000D44B3"/>
    <w:rsid w:val="000D6ED8"/>
    <w:rsid w:val="000D6F8B"/>
    <w:rsid w:val="00133224"/>
    <w:rsid w:val="00145D43"/>
    <w:rsid w:val="00192C46"/>
    <w:rsid w:val="001A08B3"/>
    <w:rsid w:val="001A7B60"/>
    <w:rsid w:val="001B52F0"/>
    <w:rsid w:val="001B7A65"/>
    <w:rsid w:val="001E361F"/>
    <w:rsid w:val="001E41F3"/>
    <w:rsid w:val="001F5B25"/>
    <w:rsid w:val="0026004D"/>
    <w:rsid w:val="00261522"/>
    <w:rsid w:val="002640DD"/>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75E91"/>
    <w:rsid w:val="004B75B7"/>
    <w:rsid w:val="005141D9"/>
    <w:rsid w:val="0051580D"/>
    <w:rsid w:val="005327E7"/>
    <w:rsid w:val="00547111"/>
    <w:rsid w:val="00592D74"/>
    <w:rsid w:val="005C25A9"/>
    <w:rsid w:val="005E2C44"/>
    <w:rsid w:val="00621188"/>
    <w:rsid w:val="006257ED"/>
    <w:rsid w:val="00653DE4"/>
    <w:rsid w:val="00665C47"/>
    <w:rsid w:val="00695808"/>
    <w:rsid w:val="006A7E51"/>
    <w:rsid w:val="006B46FB"/>
    <w:rsid w:val="006B535A"/>
    <w:rsid w:val="006E21FB"/>
    <w:rsid w:val="006F4128"/>
    <w:rsid w:val="0072084F"/>
    <w:rsid w:val="0078067A"/>
    <w:rsid w:val="00792342"/>
    <w:rsid w:val="007977A8"/>
    <w:rsid w:val="007B512A"/>
    <w:rsid w:val="007C2097"/>
    <w:rsid w:val="007D6A07"/>
    <w:rsid w:val="007F7259"/>
    <w:rsid w:val="008040A8"/>
    <w:rsid w:val="008153C4"/>
    <w:rsid w:val="008279FA"/>
    <w:rsid w:val="008626E7"/>
    <w:rsid w:val="00870EE7"/>
    <w:rsid w:val="008863B9"/>
    <w:rsid w:val="008A07F9"/>
    <w:rsid w:val="008A45A6"/>
    <w:rsid w:val="008B0884"/>
    <w:rsid w:val="008D3CCC"/>
    <w:rsid w:val="008F3789"/>
    <w:rsid w:val="008F686C"/>
    <w:rsid w:val="009148DE"/>
    <w:rsid w:val="00941E30"/>
    <w:rsid w:val="009777D9"/>
    <w:rsid w:val="00991B88"/>
    <w:rsid w:val="009A406B"/>
    <w:rsid w:val="009A5753"/>
    <w:rsid w:val="009A579D"/>
    <w:rsid w:val="009D7FEB"/>
    <w:rsid w:val="009E3297"/>
    <w:rsid w:val="009E536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3E97"/>
    <w:rsid w:val="00BD6BB8"/>
    <w:rsid w:val="00C10EDE"/>
    <w:rsid w:val="00C66BA2"/>
    <w:rsid w:val="00C870F6"/>
    <w:rsid w:val="00C90231"/>
    <w:rsid w:val="00C95985"/>
    <w:rsid w:val="00CA138F"/>
    <w:rsid w:val="00CC5026"/>
    <w:rsid w:val="00CC68D0"/>
    <w:rsid w:val="00CF5A37"/>
    <w:rsid w:val="00D03F9A"/>
    <w:rsid w:val="00D06D51"/>
    <w:rsid w:val="00D16FF1"/>
    <w:rsid w:val="00D20CA1"/>
    <w:rsid w:val="00D24991"/>
    <w:rsid w:val="00D50255"/>
    <w:rsid w:val="00D60168"/>
    <w:rsid w:val="00D6159F"/>
    <w:rsid w:val="00D66520"/>
    <w:rsid w:val="00D84AE9"/>
    <w:rsid w:val="00DE34CF"/>
    <w:rsid w:val="00E13F3D"/>
    <w:rsid w:val="00E34898"/>
    <w:rsid w:val="00E40877"/>
    <w:rsid w:val="00E724B2"/>
    <w:rsid w:val="00EB09B7"/>
    <w:rsid w:val="00EE7D7C"/>
    <w:rsid w:val="00F25D98"/>
    <w:rsid w:val="00F300FB"/>
    <w:rsid w:val="00F30945"/>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5C25A9"/>
    <w:rPr>
      <w:rFonts w:ascii="Arial" w:hAnsi="Arial"/>
      <w:b/>
      <w:lang w:val="en-GB" w:eastAsia="en-US"/>
    </w:rPr>
  </w:style>
  <w:style w:type="character" w:customStyle="1" w:styleId="TFChar">
    <w:name w:val="TF Char"/>
    <w:link w:val="TF"/>
    <w:rsid w:val="005C25A9"/>
    <w:rPr>
      <w:rFonts w:ascii="Arial" w:hAnsi="Arial"/>
      <w:b/>
      <w:lang w:val="en-GB" w:eastAsia="en-US"/>
    </w:rPr>
  </w:style>
  <w:style w:type="character" w:customStyle="1" w:styleId="B1Char">
    <w:name w:val="B1 Char"/>
    <w:link w:val="B1"/>
    <w:qFormat/>
    <w:rsid w:val="005C25A9"/>
    <w:rPr>
      <w:rFonts w:ascii="Times New Roman" w:hAnsi="Times New Roman"/>
      <w:lang w:val="en-GB" w:eastAsia="en-US"/>
    </w:rPr>
  </w:style>
  <w:style w:type="character" w:customStyle="1" w:styleId="NOZchn">
    <w:name w:val="NO Zchn"/>
    <w:link w:val="NO"/>
    <w:qFormat/>
    <w:rsid w:val="005C25A9"/>
    <w:rPr>
      <w:rFonts w:ascii="Times New Roman" w:hAnsi="Times New Roman"/>
      <w:lang w:val="en-GB" w:eastAsia="en-US"/>
    </w:rPr>
  </w:style>
  <w:style w:type="paragraph" w:styleId="Revision">
    <w:name w:val="Revision"/>
    <w:hidden/>
    <w:uiPriority w:val="99"/>
    <w:semiHidden/>
    <w:rsid w:val="00CF5A37"/>
    <w:rPr>
      <w:rFonts w:ascii="Times New Roman" w:hAnsi="Times New Roman"/>
      <w:lang w:val="en-GB" w:eastAsia="en-US"/>
    </w:rPr>
  </w:style>
  <w:style w:type="character" w:customStyle="1" w:styleId="CRCoverPageZchn">
    <w:name w:val="CR Cover Page Zchn"/>
    <w:link w:val="CRCoverPage"/>
    <w:rsid w:val="00BD3E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845</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42</cp:revision>
  <cp:lastPrinted>1899-12-31T23:00:00Z</cp:lastPrinted>
  <dcterms:created xsi:type="dcterms:W3CDTF">2020-02-03T08:32:00Z</dcterms:created>
  <dcterms:modified xsi:type="dcterms:W3CDTF">2023-11-03T10:09:00Z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