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CP-250145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23.122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Re-enabling satellite NG-RAN capability when IMS becomes available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Setup local BDC on terminating side in case INVITE does not contain DC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NG_RTC, 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9.3.3.2.1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updating ATSSS parameters over untrusted non-3GPP access connected to EPC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ATSSS_Ph3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Priority IMS Registration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Peraton Labs, CISA ECD, AT&amp;T, T-Mobile USA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MPS2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3.1, 4.11, 5.2.2.1, 5.3.1.2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23.228 CR1535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FTAI list handling for extended EMM cause with cause #15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5.5.1.2.5, 5.5.1.3.5, 5.5.3.2.5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FTAI list handling for extended 5GMM cause with cause #15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Samsung, MediaTek Inc.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ECRATU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5.5.1.2.5, 5.5.1.3.5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Fixing table formats, terms, abbreviations and an editorial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3.1, 3.2, 10.3.1.1, 10.3.19.1, 10.3.28.1.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Correcting Table formats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OPPO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12.2, 12.3, 12.4, 12.5, 12.6, 12.7, 12.9, 12.10, 12.11, 12.12.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descriptions regarding PC5 signalling protocol cause value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SHARP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TEI19, 5G_ProSe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UE-to-UE relay update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ASUSTeK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7.2.13.2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