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3D19CD00"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r w:rsidR="007742F3">
              <w:t>18.0.0</w:t>
            </w:r>
            <w:r w:rsidRPr="00F24E45">
              <w:t xml:space="preserve"> </w:t>
            </w:r>
            <w:r w:rsidRPr="00F24E45">
              <w:rPr>
                <w:sz w:val="32"/>
              </w:rPr>
              <w:t>(</w:t>
            </w:r>
            <w:r w:rsidR="007742F3">
              <w:rPr>
                <w:sz w:val="32"/>
              </w:rPr>
              <w:t>2024-0</w:t>
            </w:r>
            <w:r w:rsidR="00F21DB9">
              <w:rPr>
                <w:sz w:val="32"/>
              </w:rPr>
              <w:t>3</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3" w:name="spectype2"/>
            <w:r w:rsidR="00D57972" w:rsidRPr="00F24E45">
              <w:t>Report</w:t>
            </w:r>
            <w:bookmarkEnd w:id="3"/>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w:t>
            </w:r>
            <w:r w:rsidRPr="006C484D">
              <w:rPr>
                <w:vertAlign w:val="superscript"/>
              </w:rPr>
              <w:t>rd</w:t>
            </w:r>
            <w:r w:rsidRPr="004D3578">
              <w:t xml:space="preserve">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4"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4"/>
          </w:p>
          <w:p w14:paraId="3F1035CD" w14:textId="554C5E0A" w:rsidR="004F0988" w:rsidRPr="00133525" w:rsidRDefault="004F0988" w:rsidP="00133525">
            <w:pPr>
              <w:pStyle w:val="ZT"/>
              <w:framePr w:wrap="auto" w:hAnchor="text" w:yAlign="inline"/>
              <w:rPr>
                <w:i/>
                <w:sz w:val="28"/>
              </w:rPr>
            </w:pPr>
            <w:r w:rsidRPr="00F24E45">
              <w:t>(</w:t>
            </w:r>
            <w:r w:rsidRPr="00F24E45">
              <w:rPr>
                <w:rStyle w:val="ZGSM"/>
              </w:rPr>
              <w:t>Release</w:t>
            </w:r>
            <w:r w:rsidR="007742F3">
              <w:rPr>
                <w:rStyle w:val="ZGSM"/>
              </w:rPr>
              <w:t xml:space="preserve"> 18</w:t>
            </w:r>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5" w:name="_MON_1684549432"/>
      <w:bookmarkEnd w:id="5"/>
      <w:bookmarkStart w:id="6" w:name="_MON_1684549432"/>
      <w:bookmarkEnd w:id="6"/>
      <w:tr w:rsidR="00D57972" w14:paraId="1AD97C58" w14:textId="77777777" w:rsidTr="003352E8">
        <w:trPr>
          <w:trHeight w:hRule="exact" w:val="1531"/>
        </w:trPr>
        <w:tc>
          <w:tcPr>
            <w:tcW w:w="4883" w:type="dxa"/>
            <w:shd w:val="clear" w:color="auto" w:fill="auto"/>
          </w:tcPr>
          <w:p w14:paraId="3DBA828B" w14:textId="4075FAF0" w:rsidR="00D57972" w:rsidRDefault="001F58C1">
            <w:r w:rsidRPr="001F58C1">
              <w:rPr>
                <w:i/>
                <w:noProof/>
              </w:rPr>
              <w:object w:dxaOrig="2026" w:dyaOrig="1251" w14:anchorId="01B2B9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2.6pt;height:62.85pt" o:ole="">
                  <v:imagedata r:id="rId9" o:title=""/>
                </v:shape>
                <o:OLEObject Type="Embed" ProgID="Word.Picture.8" ShapeID="_x0000_i1027" DrawAspect="Content" ObjectID="_1777278857" r:id="rId10"/>
              </w:object>
            </w:r>
          </w:p>
        </w:tc>
        <w:tc>
          <w:tcPr>
            <w:tcW w:w="5540" w:type="dxa"/>
            <w:shd w:val="clear" w:color="auto" w:fill="auto"/>
          </w:tcPr>
          <w:p w14:paraId="372ED621" w14:textId="541FC764" w:rsidR="00D57972" w:rsidRDefault="00A817A2" w:rsidP="00133525">
            <w:pPr>
              <w:jc w:val="right"/>
            </w:pPr>
            <w:r w:rsidRPr="00794E78">
              <w:rPr>
                <w:noProof/>
              </w:rPr>
              <w:drawing>
                <wp:inline distT="0" distB="0" distL="0" distR="0" wp14:anchorId="291E6400" wp14:editId="13EE448D">
                  <wp:extent cx="1386840" cy="813874"/>
                  <wp:effectExtent l="0" t="0" r="3810" b="5715"/>
                  <wp:docPr id="161379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1559" cy="816643"/>
                          </a:xfrm>
                          <a:prstGeom prst="rect">
                            <a:avLst/>
                          </a:prstGeom>
                          <a:noFill/>
                          <a:ln>
                            <a:noFill/>
                          </a:ln>
                        </pic:spPr>
                      </pic:pic>
                    </a:graphicData>
                  </a:graphic>
                </wp:inline>
              </w:drawing>
            </w:r>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66DB884E" w:rsidR="00C074DD" w:rsidRPr="00133525" w:rsidRDefault="00C074DD" w:rsidP="00C074DD">
            <w:pPr>
              <w:rPr>
                <w:sz w:val="16"/>
              </w:rPr>
            </w:pPr>
            <w:bookmarkStart w:id="7" w:name="warningNotice"/>
            <w:r w:rsidRPr="00133525">
              <w:rPr>
                <w:sz w:val="16"/>
              </w:rPr>
              <w:t>The present document has been developed within the 3</w:t>
            </w:r>
            <w:r w:rsidRPr="006C484D">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65A80">
              <w:rPr>
                <w:sz w:val="16"/>
              </w:rPr>
              <w:t>’</w:t>
            </w:r>
            <w:r w:rsidRPr="00133525">
              <w:rPr>
                <w:sz w:val="16"/>
              </w:rPr>
              <w:t xml:space="preserve"> Publications Offices.</w:t>
            </w:r>
            <w:bookmarkEnd w:id="7"/>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DC0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8"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9836BBD"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Sophia Antipolis</w:t>
            </w:r>
          </w:p>
          <w:p w14:paraId="7E7C751D" w14:textId="41C92BB8"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000000" w:rsidP="00133525">
            <w:pPr>
              <w:pStyle w:val="FP"/>
              <w:ind w:left="2835" w:right="2835"/>
              <w:jc w:val="center"/>
              <w:rPr>
                <w:rFonts w:ascii="Arial" w:hAnsi="Arial"/>
                <w:sz w:val="18"/>
              </w:rPr>
            </w:pPr>
            <w:hyperlink r:id="rId12" w:history="1">
              <w:r w:rsidR="00965A80" w:rsidRPr="00BE7066">
                <w:rPr>
                  <w:rStyle w:val="Hyperlink"/>
                  <w:rFonts w:ascii="Arial" w:hAnsi="Arial"/>
                  <w:sz w:val="18"/>
                </w:rPr>
                <w:t>http://www.3gpp.org</w:t>
              </w:r>
            </w:hyperlink>
            <w:bookmarkEnd w:id="9"/>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EE4E492" w:rsidR="00E16509" w:rsidRPr="00133525" w:rsidRDefault="00E16509" w:rsidP="00133525">
            <w:pPr>
              <w:pStyle w:val="FP"/>
              <w:jc w:val="center"/>
              <w:rPr>
                <w:noProof/>
                <w:sz w:val="18"/>
              </w:rPr>
            </w:pPr>
            <w:r w:rsidRPr="00133525">
              <w:rPr>
                <w:noProof/>
                <w:sz w:val="18"/>
              </w:rPr>
              <w:t>©</w:t>
            </w:r>
            <w:r w:rsidR="007742F3">
              <w:rPr>
                <w:noProof/>
                <w:sz w:val="18"/>
              </w:rPr>
              <w:t xml:space="preserve"> 2024</w:t>
            </w:r>
            <w:r w:rsidRPr="00133525">
              <w:rPr>
                <w:noProof/>
                <w:sz w:val="18"/>
              </w:rPr>
              <w:t>, 3GPP Organizational Partners (ARIB, ATIS, CCSA, ETSI, TSDSI, TTA, TTC).</w:t>
            </w:r>
            <w:bookmarkStart w:id="11" w:name="copyrightaddon"/>
            <w:bookmarkEnd w:id="11"/>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8D82956" w14:textId="77777777" w:rsidR="00E16509" w:rsidRDefault="00E16509" w:rsidP="00133525"/>
        </w:tc>
      </w:tr>
      <w:bookmarkEnd w:id="8"/>
    </w:tbl>
    <w:p w14:paraId="5E89F574" w14:textId="77777777" w:rsidR="00080512" w:rsidRPr="004D3578" w:rsidRDefault="00080512">
      <w:pPr>
        <w:pStyle w:val="TT"/>
      </w:pPr>
      <w:r w:rsidRPr="004D3578">
        <w:br w:type="page"/>
      </w:r>
      <w:bookmarkStart w:id="12" w:name="tableOfContents"/>
      <w:bookmarkEnd w:id="12"/>
      <w:r w:rsidRPr="004D3578">
        <w:t>Contents</w:t>
      </w:r>
    </w:p>
    <w:p w14:paraId="4A8AEC61" w14:textId="1F05DCDF" w:rsidR="000E6D72"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0E6D72">
        <w:t>Foreword</w:t>
      </w:r>
      <w:r w:rsidR="000E6D72">
        <w:tab/>
      </w:r>
      <w:r w:rsidR="000E6D72">
        <w:fldChar w:fldCharType="begin"/>
      </w:r>
      <w:r w:rsidR="000E6D72">
        <w:instrText xml:space="preserve"> PAGEREF _Toc96117942 \h </w:instrText>
      </w:r>
      <w:r w:rsidR="000E6D72">
        <w:fldChar w:fldCharType="separate"/>
      </w:r>
      <w:r w:rsidR="000E6D72">
        <w:t>4</w:t>
      </w:r>
      <w:r w:rsidR="000E6D72">
        <w:fldChar w:fldCharType="end"/>
      </w:r>
    </w:p>
    <w:p w14:paraId="4E9B1FC0" w14:textId="5950C47C" w:rsidR="000E6D72" w:rsidRDefault="000E6D72">
      <w:pPr>
        <w:pStyle w:val="TOC1"/>
        <w:rPr>
          <w:rFonts w:asciiTheme="minorHAnsi" w:eastAsiaTheme="minorEastAsia" w:hAnsiTheme="minorHAnsi" w:cstheme="minorBidi"/>
          <w:sz w:val="24"/>
          <w:szCs w:val="24"/>
          <w:lang w:eastAsia="en-GB"/>
        </w:rPr>
      </w:pPr>
      <w:r>
        <w:t>Scope</w:t>
      </w:r>
      <w:r w:rsidR="003756B6">
        <w:tab/>
      </w:r>
      <w:r>
        <w:tab/>
      </w:r>
      <w:r>
        <w:fldChar w:fldCharType="begin"/>
      </w:r>
      <w:r>
        <w:instrText xml:space="preserve"> PAGEREF _Toc96117943 \h </w:instrText>
      </w:r>
      <w:r>
        <w:fldChar w:fldCharType="separate"/>
      </w:r>
      <w:r>
        <w:t>6</w:t>
      </w:r>
      <w:r>
        <w:fldChar w:fldCharType="end"/>
      </w:r>
    </w:p>
    <w:p w14:paraId="301DF2C6" w14:textId="7A0A8AA9" w:rsidR="000E6D72" w:rsidRDefault="000E6D72">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_Toc96117944 \h </w:instrText>
      </w:r>
      <w:r>
        <w:fldChar w:fldCharType="separate"/>
      </w:r>
      <w:r>
        <w:t>6</w:t>
      </w:r>
      <w:r>
        <w:fldChar w:fldCharType="end"/>
      </w:r>
    </w:p>
    <w:p w14:paraId="07F77099" w14:textId="13291A3C" w:rsidR="000E6D72" w:rsidRDefault="000E6D72">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_Toc96117945 \h </w:instrText>
      </w:r>
      <w:r>
        <w:fldChar w:fldCharType="separate"/>
      </w:r>
      <w:r>
        <w:t>6</w:t>
      </w:r>
      <w:r>
        <w:fldChar w:fldCharType="end"/>
      </w:r>
    </w:p>
    <w:p w14:paraId="3AA748D1" w14:textId="73E82A81" w:rsidR="000E6D72" w:rsidRDefault="000E6D72">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_Toc96117946 \h </w:instrText>
      </w:r>
      <w:r>
        <w:fldChar w:fldCharType="separate"/>
      </w:r>
      <w:r>
        <w:t>6</w:t>
      </w:r>
      <w:r>
        <w:fldChar w:fldCharType="end"/>
      </w:r>
    </w:p>
    <w:p w14:paraId="3EA14C59" w14:textId="418DAD66" w:rsidR="000E6D72" w:rsidRDefault="000E6D72">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_Toc96117947 \h </w:instrText>
      </w:r>
      <w:r>
        <w:fldChar w:fldCharType="separate"/>
      </w:r>
      <w:r>
        <w:t>7</w:t>
      </w:r>
      <w:r>
        <w:fldChar w:fldCharType="end"/>
      </w:r>
    </w:p>
    <w:p w14:paraId="4CFAC4AE" w14:textId="6C5E6024" w:rsidR="000E6D72" w:rsidRDefault="000E6D72">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_Toc96117948 \h </w:instrText>
      </w:r>
      <w:r>
        <w:fldChar w:fldCharType="separate"/>
      </w:r>
      <w:r>
        <w:t>8</w:t>
      </w:r>
      <w:r>
        <w:fldChar w:fldCharType="end"/>
      </w:r>
    </w:p>
    <w:p w14:paraId="4B581297" w14:textId="36090561" w:rsidR="000E6D72" w:rsidRDefault="000E6D72">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_Toc96117949 \h </w:instrText>
      </w:r>
      <w:r>
        <w:fldChar w:fldCharType="separate"/>
      </w:r>
      <w:r>
        <w:t>8</w:t>
      </w:r>
      <w:r>
        <w:fldChar w:fldCharType="end"/>
      </w:r>
    </w:p>
    <w:p w14:paraId="0CCDFA5C" w14:textId="7580073D" w:rsidR="000E6D72" w:rsidRDefault="000E6D72">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360-degree Video Optimized for the Viewport</w:t>
      </w:r>
      <w:r>
        <w:tab/>
      </w:r>
      <w:r>
        <w:fldChar w:fldCharType="begin"/>
      </w:r>
      <w:r>
        <w:instrText xml:space="preserve"> PAGEREF _Toc96117950 \h </w:instrText>
      </w:r>
      <w:r>
        <w:fldChar w:fldCharType="separate"/>
      </w:r>
      <w:r>
        <w:t>8</w:t>
      </w:r>
      <w:r>
        <w:fldChar w:fldCharType="end"/>
      </w:r>
    </w:p>
    <w:p w14:paraId="550A442F" w14:textId="3E865613" w:rsidR="000E6D72" w:rsidRDefault="000E6D72">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Tiled Video with Multiple Quality Levels</w:t>
      </w:r>
      <w:r>
        <w:tab/>
      </w:r>
      <w:r>
        <w:fldChar w:fldCharType="begin"/>
      </w:r>
      <w:r>
        <w:instrText xml:space="preserve"> PAGEREF _Toc96117951 \h </w:instrText>
      </w:r>
      <w:r>
        <w:fldChar w:fldCharType="separate"/>
      </w:r>
      <w:r>
        <w:t>9</w:t>
      </w:r>
      <w:r>
        <w:fldChar w:fldCharType="end"/>
      </w:r>
    </w:p>
    <w:p w14:paraId="05E691B9" w14:textId="323B9495" w:rsidR="000E6D72" w:rsidRDefault="000E6D72">
      <w:pPr>
        <w:pStyle w:val="TOC2"/>
        <w:rPr>
          <w:rFonts w:asciiTheme="minorHAnsi" w:eastAsiaTheme="minorEastAsia" w:hAnsiTheme="minorHAnsi" w:cstheme="minorBidi"/>
          <w:sz w:val="24"/>
          <w:szCs w:val="24"/>
          <w:lang w:eastAsia="en-GB"/>
        </w:rPr>
      </w:pPr>
      <w:r>
        <w:t>4.4</w:t>
      </w:r>
      <w:r>
        <w:rPr>
          <w:rFonts w:asciiTheme="minorHAnsi" w:eastAsiaTheme="minorEastAsia" w:hAnsiTheme="minorHAnsi" w:cstheme="minorBidi"/>
          <w:sz w:val="24"/>
          <w:szCs w:val="24"/>
          <w:lang w:eastAsia="en-GB"/>
        </w:rPr>
        <w:tab/>
      </w:r>
      <w:r>
        <w:t>Viewport-only Delivery</w:t>
      </w:r>
      <w:r>
        <w:tab/>
      </w:r>
      <w:r>
        <w:fldChar w:fldCharType="begin"/>
      </w:r>
      <w:r>
        <w:instrText xml:space="preserve"> PAGEREF _Toc96117952 \h </w:instrText>
      </w:r>
      <w:r>
        <w:fldChar w:fldCharType="separate"/>
      </w:r>
      <w:r>
        <w:t>11</w:t>
      </w:r>
      <w:r>
        <w:fldChar w:fldCharType="end"/>
      </w:r>
    </w:p>
    <w:p w14:paraId="79712717" w14:textId="0D21FA34" w:rsidR="000E6D72" w:rsidRDefault="000E6D72">
      <w:pPr>
        <w:pStyle w:val="TOC3"/>
        <w:rPr>
          <w:rFonts w:asciiTheme="minorHAnsi" w:eastAsiaTheme="minorEastAsia" w:hAnsiTheme="minorHAnsi" w:cstheme="minorBidi"/>
          <w:sz w:val="24"/>
          <w:szCs w:val="24"/>
          <w:lang w:eastAsia="en-GB"/>
        </w:rPr>
      </w:pPr>
      <w:r w:rsidRPr="00993AB4">
        <w:rPr>
          <w:rFonts w:eastAsia="MS Mincho"/>
        </w:rPr>
        <w:t>4.4.1</w:t>
      </w:r>
      <w:r>
        <w:rPr>
          <w:rFonts w:asciiTheme="minorHAnsi" w:eastAsiaTheme="minorEastAsia" w:hAnsiTheme="minorHAnsi" w:cstheme="minorBidi"/>
          <w:sz w:val="24"/>
          <w:szCs w:val="24"/>
          <w:lang w:eastAsia="en-GB"/>
        </w:rPr>
        <w:tab/>
      </w:r>
      <w:r w:rsidRPr="00993AB4">
        <w:rPr>
          <w:rFonts w:eastAsia="MS Mincho"/>
        </w:rPr>
        <w:t>Sphere-locked</w:t>
      </w:r>
      <w:r>
        <w:tab/>
      </w:r>
      <w:r>
        <w:fldChar w:fldCharType="begin"/>
      </w:r>
      <w:r>
        <w:instrText xml:space="preserve"> PAGEREF _Toc96117953 \h </w:instrText>
      </w:r>
      <w:r>
        <w:fldChar w:fldCharType="separate"/>
      </w:r>
      <w:r>
        <w:t>11</w:t>
      </w:r>
      <w:r>
        <w:fldChar w:fldCharType="end"/>
      </w:r>
    </w:p>
    <w:p w14:paraId="04F5A91A" w14:textId="682277D5" w:rsidR="000E6D72" w:rsidRDefault="000E6D72">
      <w:pPr>
        <w:pStyle w:val="TOC3"/>
        <w:rPr>
          <w:rFonts w:asciiTheme="minorHAnsi" w:eastAsiaTheme="minorEastAsia" w:hAnsiTheme="minorHAnsi" w:cstheme="minorBidi"/>
          <w:sz w:val="24"/>
          <w:szCs w:val="24"/>
          <w:lang w:eastAsia="en-GB"/>
        </w:rPr>
      </w:pPr>
      <w:r w:rsidRPr="00993AB4">
        <w:rPr>
          <w:rFonts w:eastAsia="MS Mincho"/>
        </w:rPr>
        <w:t>4.4.2</w:t>
      </w:r>
      <w:r>
        <w:rPr>
          <w:rFonts w:asciiTheme="minorHAnsi" w:eastAsiaTheme="minorEastAsia" w:hAnsiTheme="minorHAnsi" w:cstheme="minorBidi"/>
          <w:sz w:val="24"/>
          <w:szCs w:val="24"/>
          <w:lang w:eastAsia="en-GB"/>
        </w:rPr>
        <w:tab/>
      </w:r>
      <w:r w:rsidRPr="00993AB4">
        <w:rPr>
          <w:rFonts w:eastAsia="MS Mincho"/>
        </w:rPr>
        <w:t>Viewport-Locked</w:t>
      </w:r>
      <w:r>
        <w:tab/>
      </w:r>
      <w:r>
        <w:fldChar w:fldCharType="begin"/>
      </w:r>
      <w:r>
        <w:instrText xml:space="preserve"> PAGEREF _Toc96117954 \h </w:instrText>
      </w:r>
      <w:r>
        <w:fldChar w:fldCharType="separate"/>
      </w:r>
      <w:r>
        <w:t>12</w:t>
      </w:r>
      <w:r>
        <w:fldChar w:fldCharType="end"/>
      </w:r>
    </w:p>
    <w:p w14:paraId="5F64F4C7" w14:textId="56C23278" w:rsidR="000E6D72" w:rsidRDefault="000E6D72">
      <w:pPr>
        <w:pStyle w:val="TOC2"/>
        <w:rPr>
          <w:rFonts w:asciiTheme="minorHAnsi" w:eastAsiaTheme="minorEastAsia" w:hAnsiTheme="minorHAnsi" w:cstheme="minorBidi"/>
          <w:sz w:val="24"/>
          <w:szCs w:val="24"/>
          <w:lang w:eastAsia="en-GB"/>
        </w:rPr>
      </w:pPr>
      <w:r>
        <w:t>4.5</w:t>
      </w:r>
      <w:r>
        <w:rPr>
          <w:rFonts w:asciiTheme="minorHAnsi" w:eastAsiaTheme="minorEastAsia" w:hAnsiTheme="minorHAnsi" w:cstheme="minorBidi"/>
          <w:sz w:val="24"/>
          <w:szCs w:val="24"/>
          <w:lang w:eastAsia="en-GB"/>
        </w:rPr>
        <w:tab/>
      </w:r>
      <w:r>
        <w:t>HQ Viewport with LQ background</w:t>
      </w:r>
      <w:r>
        <w:tab/>
      </w:r>
      <w:r>
        <w:fldChar w:fldCharType="begin"/>
      </w:r>
      <w:r>
        <w:instrText xml:space="preserve"> PAGEREF _Toc96117955 \h </w:instrText>
      </w:r>
      <w:r>
        <w:fldChar w:fldCharType="separate"/>
      </w:r>
      <w:r>
        <w:t>13</w:t>
      </w:r>
      <w:r>
        <w:fldChar w:fldCharType="end"/>
      </w:r>
    </w:p>
    <w:p w14:paraId="3F0F682F" w14:textId="21187930" w:rsidR="000E6D72" w:rsidRDefault="000E6D72">
      <w:pPr>
        <w:pStyle w:val="TOC2"/>
        <w:rPr>
          <w:rFonts w:asciiTheme="minorHAnsi" w:eastAsiaTheme="minorEastAsia" w:hAnsiTheme="minorHAnsi" w:cstheme="minorBidi"/>
          <w:sz w:val="24"/>
          <w:szCs w:val="24"/>
          <w:lang w:eastAsia="en-GB"/>
        </w:rPr>
      </w:pPr>
      <w:r>
        <w:t>4.6</w:t>
      </w:r>
      <w:r>
        <w:rPr>
          <w:rFonts w:asciiTheme="minorHAnsi" w:eastAsiaTheme="minorEastAsia" w:hAnsiTheme="minorHAnsi" w:cstheme="minorBidi"/>
          <w:sz w:val="24"/>
          <w:szCs w:val="24"/>
          <w:lang w:eastAsia="en-GB"/>
        </w:rPr>
        <w:tab/>
      </w:r>
      <w:r>
        <w:t>Comparisons of the Proposed Solutions</w:t>
      </w:r>
      <w:r>
        <w:tab/>
      </w:r>
      <w:r>
        <w:fldChar w:fldCharType="begin"/>
      </w:r>
      <w:r>
        <w:instrText xml:space="preserve"> PAGEREF _Toc96117956 \h </w:instrText>
      </w:r>
      <w:r>
        <w:fldChar w:fldCharType="separate"/>
      </w:r>
      <w:r>
        <w:t>14</w:t>
      </w:r>
      <w:r>
        <w:fldChar w:fldCharType="end"/>
      </w:r>
    </w:p>
    <w:p w14:paraId="4D1CB082" w14:textId="6CF8C135" w:rsidR="000E6D72" w:rsidRDefault="000E6D72">
      <w:pPr>
        <w:pStyle w:val="TOC2"/>
        <w:rPr>
          <w:rFonts w:asciiTheme="minorHAnsi" w:eastAsiaTheme="minorEastAsia" w:hAnsiTheme="minorHAnsi" w:cstheme="minorBidi"/>
          <w:sz w:val="24"/>
          <w:szCs w:val="24"/>
          <w:lang w:eastAsia="en-GB"/>
        </w:rPr>
      </w:pPr>
      <w:r>
        <w:t>4.7</w:t>
      </w:r>
      <w:r>
        <w:rPr>
          <w:rFonts w:asciiTheme="minorHAnsi" w:eastAsiaTheme="minorEastAsia" w:hAnsiTheme="minorHAnsi" w:cstheme="minorBidi"/>
          <w:sz w:val="24"/>
          <w:szCs w:val="24"/>
          <w:lang w:eastAsia="en-GB"/>
        </w:rPr>
        <w:tab/>
      </w:r>
      <w:r>
        <w:t>Viewport Margins</w:t>
      </w:r>
      <w:r>
        <w:tab/>
      </w:r>
      <w:r>
        <w:fldChar w:fldCharType="begin"/>
      </w:r>
      <w:r>
        <w:instrText xml:space="preserve"> PAGEREF _Toc96117957 \h </w:instrText>
      </w:r>
      <w:r>
        <w:fldChar w:fldCharType="separate"/>
      </w:r>
      <w:r>
        <w:t>15</w:t>
      </w:r>
      <w:r>
        <w:fldChar w:fldCharType="end"/>
      </w:r>
    </w:p>
    <w:p w14:paraId="60AC5878" w14:textId="3176CA99" w:rsidR="000E6D72" w:rsidRDefault="000E6D72">
      <w:pPr>
        <w:pStyle w:val="TOC2"/>
        <w:rPr>
          <w:rFonts w:asciiTheme="minorHAnsi" w:eastAsiaTheme="minorEastAsia" w:hAnsiTheme="minorHAnsi" w:cstheme="minorBidi"/>
          <w:sz w:val="24"/>
          <w:szCs w:val="24"/>
          <w:lang w:eastAsia="en-GB"/>
        </w:rPr>
      </w:pPr>
      <w:r>
        <w:t>4.8</w:t>
      </w:r>
      <w:r>
        <w:rPr>
          <w:rFonts w:asciiTheme="minorHAnsi" w:eastAsiaTheme="minorEastAsia" w:hAnsiTheme="minorHAnsi" w:cstheme="minorBidi"/>
          <w:sz w:val="24"/>
          <w:szCs w:val="24"/>
          <w:lang w:eastAsia="en-GB"/>
        </w:rPr>
        <w:tab/>
      </w:r>
      <w:r>
        <w:t>Encoding assumptions</w:t>
      </w:r>
      <w:r>
        <w:tab/>
      </w:r>
      <w:r>
        <w:fldChar w:fldCharType="begin"/>
      </w:r>
      <w:r>
        <w:instrText xml:space="preserve"> PAGEREF _Toc96117958 \h </w:instrText>
      </w:r>
      <w:r>
        <w:fldChar w:fldCharType="separate"/>
      </w:r>
      <w:r>
        <w:t>16</w:t>
      </w:r>
      <w:r>
        <w:fldChar w:fldCharType="end"/>
      </w:r>
    </w:p>
    <w:p w14:paraId="4ECAED5A" w14:textId="307F78A1" w:rsidR="000E6D72" w:rsidRDefault="000E6D72">
      <w:pPr>
        <w:pStyle w:val="TOC2"/>
        <w:rPr>
          <w:rFonts w:asciiTheme="minorHAnsi" w:eastAsiaTheme="minorEastAsia" w:hAnsiTheme="minorHAnsi" w:cstheme="minorBidi"/>
          <w:sz w:val="24"/>
          <w:szCs w:val="24"/>
          <w:lang w:eastAsia="en-GB"/>
        </w:rPr>
      </w:pPr>
      <w:r>
        <w:t>4.9</w:t>
      </w:r>
      <w:r>
        <w:rPr>
          <w:rFonts w:asciiTheme="minorHAnsi" w:eastAsiaTheme="minorEastAsia" w:hAnsiTheme="minorHAnsi" w:cstheme="minorBidi"/>
          <w:sz w:val="24"/>
          <w:szCs w:val="24"/>
          <w:lang w:eastAsia="en-GB"/>
        </w:rPr>
        <w:tab/>
      </w:r>
      <w:r>
        <w:t>Scalability</w:t>
      </w:r>
      <w:r>
        <w:tab/>
      </w:r>
      <w:r>
        <w:fldChar w:fldCharType="begin"/>
      </w:r>
      <w:r>
        <w:instrText xml:space="preserve"> PAGEREF _Toc96117959 \h </w:instrText>
      </w:r>
      <w:r>
        <w:fldChar w:fldCharType="separate"/>
      </w:r>
      <w:r>
        <w:t>17</w:t>
      </w:r>
      <w:r>
        <w:fldChar w:fldCharType="end"/>
      </w:r>
    </w:p>
    <w:p w14:paraId="5A0075E7" w14:textId="0C0F79ED" w:rsidR="000E6D72" w:rsidRDefault="000E6D72">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_Toc96117960 \h </w:instrText>
      </w:r>
      <w:r>
        <w:fldChar w:fldCharType="separate"/>
      </w:r>
      <w:r>
        <w:t>17</w:t>
      </w:r>
      <w:r>
        <w:fldChar w:fldCharType="end"/>
      </w:r>
    </w:p>
    <w:p w14:paraId="5EB80172" w14:textId="54BF4306" w:rsidR="000E6D72" w:rsidRDefault="000E6D72">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_Toc96117961 \h </w:instrText>
      </w:r>
      <w:r>
        <w:fldChar w:fldCharType="separate"/>
      </w:r>
      <w:r>
        <w:t>17</w:t>
      </w:r>
      <w:r>
        <w:fldChar w:fldCharType="end"/>
      </w:r>
    </w:p>
    <w:p w14:paraId="541C6D25" w14:textId="7BFEEA6B" w:rsidR="000E6D72" w:rsidRDefault="000E6D72">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Viewport Feedback Triggering Threshold</w:t>
      </w:r>
      <w:r>
        <w:tab/>
      </w:r>
      <w:r>
        <w:fldChar w:fldCharType="begin"/>
      </w:r>
      <w:r>
        <w:instrText xml:space="preserve"> PAGEREF _Toc96117962 \h </w:instrText>
      </w:r>
      <w:r>
        <w:fldChar w:fldCharType="separate"/>
      </w:r>
      <w:r>
        <w:t>18</w:t>
      </w:r>
      <w:r>
        <w:fldChar w:fldCharType="end"/>
      </w:r>
    </w:p>
    <w:p w14:paraId="61941282" w14:textId="6376F0F1" w:rsidR="000E6D72" w:rsidRDefault="000E6D72">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Event-based Viewport Feedback</w:t>
      </w:r>
      <w:r>
        <w:tab/>
      </w:r>
      <w:r>
        <w:fldChar w:fldCharType="begin"/>
      </w:r>
      <w:r>
        <w:instrText xml:space="preserve"> PAGEREF _Toc96117963 \h </w:instrText>
      </w:r>
      <w:r>
        <w:fldChar w:fldCharType="separate"/>
      </w:r>
      <w:r>
        <w:t>19</w:t>
      </w:r>
      <w:r>
        <w:fldChar w:fldCharType="end"/>
      </w:r>
    </w:p>
    <w:p w14:paraId="0896FEEA" w14:textId="1DFAC891" w:rsidR="000E6D72" w:rsidRDefault="000E6D72">
      <w:pPr>
        <w:pStyle w:val="TOC2"/>
        <w:rPr>
          <w:rFonts w:asciiTheme="minorHAnsi" w:eastAsiaTheme="minorEastAsia" w:hAnsiTheme="minorHAnsi" w:cstheme="minorBidi"/>
          <w:sz w:val="24"/>
          <w:szCs w:val="24"/>
          <w:lang w:eastAsia="en-GB"/>
        </w:rPr>
      </w:pPr>
      <w:r>
        <w:t>5.4</w:t>
      </w:r>
      <w:r>
        <w:rPr>
          <w:rFonts w:asciiTheme="minorHAnsi" w:eastAsiaTheme="minorEastAsia" w:hAnsiTheme="minorHAnsi" w:cstheme="minorBidi"/>
          <w:sz w:val="24"/>
          <w:szCs w:val="24"/>
          <w:lang w:eastAsia="en-GB"/>
        </w:rPr>
        <w:tab/>
      </w:r>
      <w:r>
        <w:t>Hybrid Fixed Interval and Event-driven Feedback</w:t>
      </w:r>
      <w:r>
        <w:tab/>
      </w:r>
      <w:r>
        <w:fldChar w:fldCharType="begin"/>
      </w:r>
      <w:r>
        <w:instrText xml:space="preserve"> PAGEREF _Toc96117964 \h </w:instrText>
      </w:r>
      <w:r>
        <w:fldChar w:fldCharType="separate"/>
      </w:r>
      <w:r>
        <w:t>19</w:t>
      </w:r>
      <w:r>
        <w:fldChar w:fldCharType="end"/>
      </w:r>
    </w:p>
    <w:p w14:paraId="23BE09E3" w14:textId="78EF024E" w:rsidR="000E6D72" w:rsidRDefault="000E6D72">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Presentation replacement (screen share)</w:t>
      </w:r>
      <w:r>
        <w:tab/>
      </w:r>
      <w:r>
        <w:fldChar w:fldCharType="begin"/>
      </w:r>
      <w:r>
        <w:instrText xml:space="preserve"> PAGEREF _Toc96117965 \h </w:instrText>
      </w:r>
      <w:r>
        <w:fldChar w:fldCharType="separate"/>
      </w:r>
      <w:r>
        <w:t>21</w:t>
      </w:r>
      <w:r>
        <w:fldChar w:fldCharType="end"/>
      </w:r>
    </w:p>
    <w:p w14:paraId="4C8E09C1" w14:textId="38E69F00" w:rsidR="000E6D72" w:rsidRDefault="000E6D72">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_Toc96117966 \h </w:instrText>
      </w:r>
      <w:r>
        <w:fldChar w:fldCharType="separate"/>
      </w:r>
      <w:r>
        <w:t>21</w:t>
      </w:r>
      <w:r>
        <w:fldChar w:fldCharType="end"/>
      </w:r>
    </w:p>
    <w:p w14:paraId="0019051D" w14:textId="6C21217B" w:rsidR="000E6D72" w:rsidRDefault="000E6D72">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Presentation replacement example message flow</w:t>
      </w:r>
      <w:r>
        <w:tab/>
      </w:r>
      <w:r>
        <w:fldChar w:fldCharType="begin"/>
      </w:r>
      <w:r>
        <w:instrText xml:space="preserve"> PAGEREF _Toc96117967 \h </w:instrText>
      </w:r>
      <w:r>
        <w:fldChar w:fldCharType="separate"/>
      </w:r>
      <w:r>
        <w:t>22</w:t>
      </w:r>
      <w:r>
        <w:fldChar w:fldCharType="end"/>
      </w:r>
    </w:p>
    <w:p w14:paraId="5AE5CE66" w14:textId="6E1A5592" w:rsidR="000E6D72" w:rsidRDefault="000E6D72">
      <w:pPr>
        <w:pStyle w:val="TOC3"/>
        <w:rPr>
          <w:rFonts w:asciiTheme="minorHAnsi" w:eastAsiaTheme="minorEastAsia" w:hAnsiTheme="minorHAnsi" w:cstheme="minorBidi"/>
          <w:sz w:val="24"/>
          <w:szCs w:val="24"/>
          <w:lang w:eastAsia="en-GB"/>
        </w:rPr>
      </w:pPr>
      <w:r>
        <w:t xml:space="preserve">6.2.1 </w:t>
      </w:r>
      <w:r w:rsidR="00B53E15">
        <w:tab/>
      </w:r>
      <w:r>
        <w:t>Case 1–- The 360-content from the ITT4RT-Tx is suitable for replacement and the ITT4RT-MRF does support replacement</w:t>
      </w:r>
      <w:r>
        <w:tab/>
      </w:r>
      <w:r>
        <w:fldChar w:fldCharType="begin"/>
      </w:r>
      <w:r>
        <w:instrText xml:space="preserve"> PAGEREF _Toc96117968 \h </w:instrText>
      </w:r>
      <w:r>
        <w:fldChar w:fldCharType="separate"/>
      </w:r>
      <w:r>
        <w:t>22</w:t>
      </w:r>
      <w:r>
        <w:fldChar w:fldCharType="end"/>
      </w:r>
    </w:p>
    <w:p w14:paraId="3D2C06FB" w14:textId="607FA375" w:rsidR="000E6D72" w:rsidRDefault="000E6D72">
      <w:pPr>
        <w:pStyle w:val="TOC3"/>
        <w:rPr>
          <w:rFonts w:asciiTheme="minorHAnsi" w:eastAsiaTheme="minorEastAsia" w:hAnsiTheme="minorHAnsi" w:cstheme="minorBidi"/>
          <w:sz w:val="24"/>
          <w:szCs w:val="24"/>
          <w:lang w:eastAsia="en-GB"/>
        </w:rPr>
      </w:pPr>
      <w:r>
        <w:t xml:space="preserve">6.2.2 </w:t>
      </w:r>
      <w:r w:rsidR="00B53E15">
        <w:tab/>
      </w:r>
      <w:r>
        <w:t>Case 2–- The 360-content from the ITT4RT-Tx is suitable for replacement and the ITT4RT-MRF does NOT support replacement – Replacement is executed in the ITT4RT-Tx</w:t>
      </w:r>
      <w:r>
        <w:tab/>
      </w:r>
      <w:r>
        <w:fldChar w:fldCharType="begin"/>
      </w:r>
      <w:r>
        <w:instrText xml:space="preserve"> PAGEREF _Toc96117969 \h </w:instrText>
      </w:r>
      <w:r>
        <w:fldChar w:fldCharType="separate"/>
      </w:r>
      <w:r>
        <w:t>23</w:t>
      </w:r>
      <w:r>
        <w:fldChar w:fldCharType="end"/>
      </w:r>
    </w:p>
    <w:p w14:paraId="5D14B02F" w14:textId="0FBE378C" w:rsidR="000E6D72" w:rsidRDefault="000E6D72">
      <w:pPr>
        <w:pStyle w:val="TOC3"/>
        <w:rPr>
          <w:rFonts w:asciiTheme="minorHAnsi" w:eastAsiaTheme="minorEastAsia" w:hAnsiTheme="minorHAnsi" w:cstheme="minorBidi"/>
          <w:sz w:val="24"/>
          <w:szCs w:val="24"/>
          <w:lang w:eastAsia="en-GB"/>
        </w:rPr>
      </w:pPr>
      <w:r>
        <w:t xml:space="preserve">6.2.3 </w:t>
      </w:r>
      <w:r w:rsidR="00B53E15">
        <w:tab/>
      </w:r>
      <w:r>
        <w:t>Case 3–- The 360-content from the ITT4RT-Tx is suitable for replacement and the ITT4RT-MRF does NOT support replacement – no replacement is executed</w:t>
      </w:r>
      <w:r>
        <w:tab/>
      </w:r>
      <w:r>
        <w:fldChar w:fldCharType="begin"/>
      </w:r>
      <w:r>
        <w:instrText xml:space="preserve"> PAGEREF _Toc96117970 \h </w:instrText>
      </w:r>
      <w:r>
        <w:fldChar w:fldCharType="separate"/>
      </w:r>
      <w:r>
        <w:t>24</w:t>
      </w:r>
      <w:r>
        <w:fldChar w:fldCharType="end"/>
      </w:r>
    </w:p>
    <w:p w14:paraId="7DB7F594" w14:textId="1D951B77" w:rsidR="000E6D72" w:rsidRDefault="000E6D72">
      <w:pPr>
        <w:pStyle w:val="TOC3"/>
        <w:rPr>
          <w:rFonts w:asciiTheme="minorHAnsi" w:eastAsiaTheme="minorEastAsia" w:hAnsiTheme="minorHAnsi" w:cstheme="minorBidi"/>
          <w:sz w:val="24"/>
          <w:szCs w:val="24"/>
          <w:lang w:eastAsia="en-GB"/>
        </w:rPr>
      </w:pPr>
      <w:r>
        <w:t xml:space="preserve">6.2.4 </w:t>
      </w:r>
      <w:r w:rsidR="00B53E15">
        <w:tab/>
      </w:r>
      <w:r>
        <w:t>Case 4–- The 360-content is not suitable for replacement but the ITT4RT-MRF does support replacement.</w:t>
      </w:r>
      <w:r>
        <w:tab/>
      </w:r>
      <w:r>
        <w:fldChar w:fldCharType="begin"/>
      </w:r>
      <w:r>
        <w:instrText xml:space="preserve"> PAGEREF _Toc96117971 \h </w:instrText>
      </w:r>
      <w:r>
        <w:fldChar w:fldCharType="separate"/>
      </w:r>
      <w:r>
        <w:t>25</w:t>
      </w:r>
      <w:r>
        <w:fldChar w:fldCharType="end"/>
      </w:r>
    </w:p>
    <w:p w14:paraId="15552E4C" w14:textId="1818CD1E" w:rsidR="000E6D72" w:rsidRDefault="000E6D72">
      <w:pPr>
        <w:pStyle w:val="TOC3"/>
        <w:rPr>
          <w:rFonts w:asciiTheme="minorHAnsi" w:eastAsiaTheme="minorEastAsia" w:hAnsiTheme="minorHAnsi" w:cstheme="minorBidi"/>
          <w:sz w:val="24"/>
          <w:szCs w:val="24"/>
          <w:lang w:eastAsia="en-GB"/>
        </w:rPr>
      </w:pPr>
      <w:r>
        <w:t xml:space="preserve">6.2.5 </w:t>
      </w:r>
      <w:r w:rsidR="00B53E15">
        <w:tab/>
      </w:r>
      <w:r>
        <w:t>Case 5–- The 360-content is not suitable for replacement (e.g., the presentation is not visible in the conference room) and the ITT4RT-MRF does not support replacement</w:t>
      </w:r>
      <w:r>
        <w:tab/>
      </w:r>
      <w:r>
        <w:fldChar w:fldCharType="begin"/>
      </w:r>
      <w:r>
        <w:instrText xml:space="preserve"> PAGEREF _Toc96117972 \h </w:instrText>
      </w:r>
      <w:r>
        <w:fldChar w:fldCharType="separate"/>
      </w:r>
      <w:r>
        <w:t>26</w:t>
      </w:r>
      <w:r>
        <w:fldChar w:fldCharType="end"/>
      </w:r>
    </w:p>
    <w:p w14:paraId="7FDDD313" w14:textId="604D7129" w:rsidR="000E6D72" w:rsidRDefault="000E6D72">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Scene Description-based Overlay</w:t>
      </w:r>
      <w:r>
        <w:tab/>
      </w:r>
      <w:r>
        <w:fldChar w:fldCharType="begin"/>
      </w:r>
      <w:r>
        <w:instrText xml:space="preserve"> PAGEREF _Toc96117973 \h </w:instrText>
      </w:r>
      <w:r>
        <w:fldChar w:fldCharType="separate"/>
      </w:r>
      <w:r>
        <w:t>26</w:t>
      </w:r>
      <w:r>
        <w:fldChar w:fldCharType="end"/>
      </w:r>
    </w:p>
    <w:p w14:paraId="7BF78C51" w14:textId="46BB9FB6" w:rsidR="000E6D72" w:rsidRDefault="000E6D72">
      <w:pPr>
        <w:pStyle w:val="TOC3"/>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Scene Description</w:t>
      </w:r>
      <w:r>
        <w:tab/>
      </w:r>
      <w:r>
        <w:fldChar w:fldCharType="begin"/>
      </w:r>
      <w:r>
        <w:instrText xml:space="preserve"> PAGEREF _Toc96117974 \h </w:instrText>
      </w:r>
      <w:r>
        <w:fldChar w:fldCharType="separate"/>
      </w:r>
      <w:r>
        <w:t>26</w:t>
      </w:r>
      <w:r>
        <w:fldChar w:fldCharType="end"/>
      </w:r>
    </w:p>
    <w:p w14:paraId="62CEE88C" w14:textId="1EA2444A" w:rsidR="000E6D72" w:rsidRDefault="000E6D72">
      <w:pPr>
        <w:pStyle w:val="TOC4"/>
        <w:rPr>
          <w:rFonts w:asciiTheme="minorHAnsi" w:eastAsiaTheme="minorEastAsia" w:hAnsiTheme="minorHAnsi" w:cstheme="minorBidi"/>
          <w:sz w:val="24"/>
          <w:szCs w:val="24"/>
          <w:lang w:eastAsia="en-GB"/>
        </w:rPr>
      </w:pPr>
      <w:r>
        <w:t>7.1.1</w:t>
      </w:r>
      <w:r>
        <w:rPr>
          <w:rFonts w:asciiTheme="minorHAnsi" w:eastAsiaTheme="minorEastAsia" w:hAnsiTheme="minorHAnsi" w:cstheme="minorBidi"/>
          <w:sz w:val="24"/>
          <w:szCs w:val="24"/>
          <w:lang w:eastAsia="en-GB"/>
        </w:rPr>
        <w:tab/>
      </w:r>
      <w:r>
        <w:t>Overview</w:t>
      </w:r>
      <w:r>
        <w:tab/>
      </w:r>
      <w:r>
        <w:fldChar w:fldCharType="begin"/>
      </w:r>
      <w:r>
        <w:instrText xml:space="preserve"> PAGEREF _Toc96117975 \h </w:instrText>
      </w:r>
      <w:r>
        <w:fldChar w:fldCharType="separate"/>
      </w:r>
      <w:r>
        <w:t>26</w:t>
      </w:r>
      <w:r>
        <w:fldChar w:fldCharType="end"/>
      </w:r>
    </w:p>
    <w:p w14:paraId="36BC3D11" w14:textId="175BC64F" w:rsidR="000E6D72" w:rsidRDefault="000E6D72">
      <w:pPr>
        <w:pStyle w:val="TOC4"/>
        <w:rPr>
          <w:rFonts w:asciiTheme="minorHAnsi" w:eastAsiaTheme="minorEastAsia" w:hAnsiTheme="minorHAnsi" w:cstheme="minorBidi"/>
          <w:sz w:val="24"/>
          <w:szCs w:val="24"/>
          <w:lang w:eastAsia="en-GB"/>
        </w:rPr>
      </w:pPr>
      <w:r>
        <w:t>7.1.2</w:t>
      </w:r>
      <w:r>
        <w:rPr>
          <w:rFonts w:asciiTheme="minorHAnsi" w:eastAsiaTheme="minorEastAsia" w:hAnsiTheme="minorHAnsi" w:cstheme="minorBidi"/>
          <w:sz w:val="24"/>
          <w:szCs w:val="24"/>
          <w:lang w:eastAsia="en-GB"/>
        </w:rPr>
        <w:tab/>
      </w:r>
      <w:r>
        <w:t>glTF 2.0</w:t>
      </w:r>
      <w:r>
        <w:tab/>
      </w:r>
      <w:r>
        <w:fldChar w:fldCharType="begin"/>
      </w:r>
      <w:r>
        <w:instrText xml:space="preserve"> PAGEREF _Toc96117976 \h </w:instrText>
      </w:r>
      <w:r>
        <w:fldChar w:fldCharType="separate"/>
      </w:r>
      <w:r>
        <w:t>26</w:t>
      </w:r>
      <w:r>
        <w:fldChar w:fldCharType="end"/>
      </w:r>
    </w:p>
    <w:p w14:paraId="6E7F98D4" w14:textId="5274E81C" w:rsidR="000E6D72" w:rsidRDefault="000E6D72">
      <w:pPr>
        <w:pStyle w:val="TOC4"/>
        <w:rPr>
          <w:rFonts w:asciiTheme="minorHAnsi" w:eastAsiaTheme="minorEastAsia" w:hAnsiTheme="minorHAnsi" w:cstheme="minorBidi"/>
          <w:sz w:val="24"/>
          <w:szCs w:val="24"/>
          <w:lang w:eastAsia="en-GB"/>
        </w:rPr>
      </w:pPr>
      <w:r>
        <w:t>7.1.3</w:t>
      </w:r>
      <w:r>
        <w:rPr>
          <w:rFonts w:asciiTheme="minorHAnsi" w:eastAsiaTheme="minorEastAsia" w:hAnsiTheme="minorHAnsi" w:cstheme="minorBidi"/>
          <w:sz w:val="24"/>
          <w:szCs w:val="24"/>
          <w:lang w:eastAsia="en-GB"/>
        </w:rPr>
        <w:tab/>
      </w:r>
      <w:r>
        <w:t>MPEG-I Scene Description</w:t>
      </w:r>
      <w:r>
        <w:tab/>
      </w:r>
      <w:r>
        <w:fldChar w:fldCharType="begin"/>
      </w:r>
      <w:r>
        <w:instrText xml:space="preserve"> PAGEREF _Toc96117977 \h </w:instrText>
      </w:r>
      <w:r>
        <w:fldChar w:fldCharType="separate"/>
      </w:r>
      <w:r>
        <w:t>26</w:t>
      </w:r>
      <w:r>
        <w:fldChar w:fldCharType="end"/>
      </w:r>
    </w:p>
    <w:p w14:paraId="3016ED2F" w14:textId="2BBFFB6A" w:rsidR="000E6D72" w:rsidRDefault="000E6D72">
      <w:pPr>
        <w:pStyle w:val="TOC3"/>
        <w:rPr>
          <w:rFonts w:asciiTheme="minorHAnsi" w:eastAsiaTheme="minorEastAsia" w:hAnsiTheme="minorHAnsi" w:cstheme="minorBidi"/>
          <w:sz w:val="24"/>
          <w:szCs w:val="24"/>
          <w:lang w:eastAsia="en-GB"/>
        </w:rPr>
      </w:pPr>
      <w:r>
        <w:t>7.2</w:t>
      </w:r>
      <w:r>
        <w:rPr>
          <w:rFonts w:asciiTheme="minorHAnsi" w:eastAsiaTheme="minorEastAsia" w:hAnsiTheme="minorHAnsi" w:cstheme="minorBidi"/>
          <w:sz w:val="24"/>
          <w:szCs w:val="24"/>
          <w:lang w:eastAsia="en-GB"/>
        </w:rPr>
        <w:tab/>
      </w:r>
      <w:r>
        <w:t>Scene Description for ITT4RT Sessions</w:t>
      </w:r>
      <w:r>
        <w:tab/>
      </w:r>
      <w:r>
        <w:fldChar w:fldCharType="begin"/>
      </w:r>
      <w:r>
        <w:instrText xml:space="preserve"> PAGEREF _Toc96117978 \h </w:instrText>
      </w:r>
      <w:r>
        <w:fldChar w:fldCharType="separate"/>
      </w:r>
      <w:r>
        <w:t>27</w:t>
      </w:r>
      <w:r>
        <w:fldChar w:fldCharType="end"/>
      </w:r>
    </w:p>
    <w:p w14:paraId="7A95FAC3" w14:textId="2E5CFBB8" w:rsidR="000E6D72" w:rsidRDefault="000E6D72">
      <w:pPr>
        <w:pStyle w:val="TOC3"/>
        <w:rPr>
          <w:rFonts w:asciiTheme="minorHAnsi" w:eastAsiaTheme="minorEastAsia" w:hAnsiTheme="minorHAnsi" w:cstheme="minorBidi"/>
          <w:sz w:val="24"/>
          <w:szCs w:val="24"/>
          <w:lang w:eastAsia="en-GB"/>
        </w:rPr>
      </w:pPr>
      <w:r>
        <w:t>7.3</w:t>
      </w:r>
      <w:r>
        <w:rPr>
          <w:rFonts w:asciiTheme="minorHAnsi" w:eastAsiaTheme="minorEastAsia" w:hAnsiTheme="minorHAnsi" w:cstheme="minorBidi"/>
          <w:sz w:val="24"/>
          <w:szCs w:val="24"/>
          <w:lang w:eastAsia="en-GB"/>
        </w:rPr>
        <w:tab/>
      </w:r>
      <w:r>
        <w:t>Referencing Media Streams</w:t>
      </w:r>
      <w:r>
        <w:tab/>
      </w:r>
      <w:r>
        <w:fldChar w:fldCharType="begin"/>
      </w:r>
      <w:r>
        <w:instrText xml:space="preserve"> PAGEREF _Toc96117979 \h </w:instrText>
      </w:r>
      <w:r>
        <w:fldChar w:fldCharType="separate"/>
      </w:r>
      <w:r>
        <w:t>28</w:t>
      </w:r>
      <w:r>
        <w:fldChar w:fldCharType="end"/>
      </w:r>
    </w:p>
    <w:p w14:paraId="66C2111C" w14:textId="09970B80" w:rsidR="000E6D72" w:rsidRDefault="000E6D72">
      <w:pPr>
        <w:pStyle w:val="TOC8"/>
        <w:rPr>
          <w:rFonts w:asciiTheme="minorHAnsi" w:eastAsiaTheme="minorEastAsia" w:hAnsiTheme="minorHAnsi" w:cstheme="minorBidi"/>
          <w:b w:val="0"/>
          <w:sz w:val="24"/>
          <w:szCs w:val="24"/>
          <w:lang w:eastAsia="en-GB"/>
        </w:rPr>
      </w:pPr>
      <w:r>
        <w:t>Annex &lt;A&gt; (informative): Change history</w:t>
      </w:r>
      <w:r>
        <w:tab/>
      </w:r>
      <w:r>
        <w:fldChar w:fldCharType="begin"/>
      </w:r>
      <w:r>
        <w:instrText xml:space="preserve"> PAGEREF _Toc96117980 \h </w:instrText>
      </w:r>
      <w:r>
        <w:fldChar w:fldCharType="separate"/>
      </w:r>
      <w:r>
        <w:t>29</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3" w:name="foreword"/>
      <w:bookmarkStart w:id="14" w:name="_Toc96117942"/>
      <w:bookmarkEnd w:id="13"/>
      <w:r w:rsidRPr="004D3578">
        <w:t>Foreword</w:t>
      </w:r>
      <w:bookmarkEnd w:id="14"/>
    </w:p>
    <w:p w14:paraId="2B60F4CC" w14:textId="411CB2CD" w:rsidR="00080512" w:rsidRPr="004D3578" w:rsidRDefault="00080512">
      <w:r w:rsidRPr="004D3578">
        <w:t xml:space="preserve">This Technical </w:t>
      </w:r>
      <w:bookmarkStart w:id="15" w:name="spectype3"/>
      <w:r w:rsidR="00602AEA" w:rsidRPr="003352E8">
        <w:t>Report</w:t>
      </w:r>
      <w:bookmarkEnd w:id="15"/>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 xml:space="preserve">Version </w:t>
      </w:r>
      <w:proofErr w:type="spellStart"/>
      <w:r w:rsidRPr="004D3578">
        <w:t>x.y.z</w:t>
      </w:r>
      <w:proofErr w:type="spellEnd"/>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r w:rsidRPr="004D3578">
        <w:t>Y</w:t>
      </w:r>
      <w:r w:rsidR="00080512"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r>
        <w:t>is</w:t>
      </w:r>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16" w:name="introduction"/>
      <w:bookmarkEnd w:id="16"/>
      <w:r w:rsidRPr="004D3578">
        <w:br w:type="page"/>
      </w:r>
      <w:bookmarkStart w:id="17" w:name="scope"/>
      <w:bookmarkStart w:id="18" w:name="_Toc96117943"/>
      <w:bookmarkEnd w:id="17"/>
      <w:r w:rsidRPr="004D3578">
        <w:t>Scope</w:t>
      </w:r>
      <w:bookmarkEnd w:id="18"/>
    </w:p>
    <w:p w14:paraId="34E4D17F" w14:textId="0B9777A9" w:rsidR="00080512" w:rsidRPr="004D3578" w:rsidRDefault="00080512">
      <w:r w:rsidRPr="004D3578">
        <w:t>The present document</w:t>
      </w:r>
      <w:r w:rsidR="008C10B8">
        <w:t xml:space="preserve"> describe</w:t>
      </w:r>
      <w:r w:rsidR="002A0AAA">
        <w:t>s</w:t>
      </w:r>
      <w:r w:rsidR="008C10B8">
        <w:t xml:space="preserve">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19" w:name="references"/>
      <w:bookmarkStart w:id="20" w:name="_Toc96117944"/>
      <w:bookmarkEnd w:id="19"/>
      <w:r w:rsidRPr="004D3578">
        <w:t>2</w:t>
      </w:r>
      <w:r w:rsidRPr="004D3578">
        <w:tab/>
        <w:t>References</w:t>
      </w:r>
      <w:bookmarkEnd w:id="20"/>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Hannuksela, Y.-K. Wang, and A. </w:t>
      </w:r>
      <w:proofErr w:type="spellStart"/>
      <w:r>
        <w:t>Hourunranta</w:t>
      </w:r>
      <w:proofErr w:type="spellEnd"/>
      <w:r>
        <w:t>,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 xml:space="preserve">Alireza Zare, Alireza </w:t>
      </w:r>
      <w:proofErr w:type="spellStart"/>
      <w:r>
        <w:t>Aminlou</w:t>
      </w:r>
      <w:proofErr w:type="spellEnd"/>
      <w:r>
        <w:t>, and Miska M. Hannuksela.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w:t>
      </w:r>
      <w:proofErr w:type="spellStart"/>
      <w:r>
        <w:t>DOI:https</w:t>
      </w:r>
      <w:proofErr w:type="spellEnd"/>
      <w:r>
        <w:t>://doi.org/10.1145/3210424.3210425</w:t>
      </w:r>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Hooft, M. Torres Vega, S. </w:t>
      </w:r>
      <w:proofErr w:type="spellStart"/>
      <w:r w:rsidRPr="002C313D">
        <w:rPr>
          <w:lang w:val="en-US"/>
        </w:rPr>
        <w:t>Petrangeli</w:t>
      </w:r>
      <w:proofErr w:type="spellEnd"/>
      <w:r w:rsidRPr="002C313D">
        <w:rPr>
          <w:lang w:val="en-US"/>
        </w:rPr>
        <w:t xml:space="preserve">, T. Wauters and F. De Turck,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w:t>
      </w:r>
      <w:proofErr w:type="spellStart"/>
      <w:r w:rsidRPr="002C313D">
        <w:rPr>
          <w:lang w:val="en-US"/>
        </w:rPr>
        <w:t>doi</w:t>
      </w:r>
      <w:proofErr w:type="spellEnd"/>
      <w:r w:rsidRPr="002C313D">
        <w:rPr>
          <w:lang w:val="en-US"/>
        </w:rPr>
        <w:t>: 10.1109/ICIN.2019.8685904.</w:t>
      </w:r>
    </w:p>
    <w:p w14:paraId="67A6AD19" w14:textId="18AFD689" w:rsidR="00EF6A49" w:rsidRDefault="00EF6A49" w:rsidP="00EF6A49">
      <w:pPr>
        <w:pStyle w:val="EX"/>
        <w:rPr>
          <w:lang w:val="fi-FI"/>
        </w:rPr>
      </w:pPr>
      <w:r>
        <w:rPr>
          <w:lang w:val="en-US"/>
        </w:rPr>
        <w:t>[7]</w:t>
      </w:r>
      <w:r>
        <w:rPr>
          <w:lang w:val="en-US"/>
        </w:rPr>
        <w:tab/>
        <w:t xml:space="preserve">RFC 3986, </w:t>
      </w:r>
      <w:r w:rsidRPr="006C484D">
        <w:t>Uniform Resource Identifier (URI): Generic Syntax</w:t>
      </w:r>
      <w:r>
        <w:rPr>
          <w:lang w:val="fi-FI"/>
        </w:rPr>
        <w:t>, IETF</w:t>
      </w:r>
      <w:r w:rsidR="00DD6C74">
        <w:rPr>
          <w:lang w:val="fi-FI"/>
        </w:rPr>
        <w:t>, January 2005.</w:t>
      </w:r>
    </w:p>
    <w:p w14:paraId="39C3541D" w14:textId="5FC980BE" w:rsidR="00DD6C74" w:rsidRPr="006C484D" w:rsidRDefault="00DD6C74" w:rsidP="00DD6C74">
      <w:pPr>
        <w:pStyle w:val="EX"/>
        <w:rPr>
          <w:b/>
          <w:bCs/>
          <w:lang w:val="fi-FI"/>
        </w:rPr>
      </w:pPr>
      <w:r>
        <w:rPr>
          <w:lang w:val="fi-FI"/>
        </w:rPr>
        <w:t>[8]</w:t>
      </w:r>
      <w:r>
        <w:rPr>
          <w:lang w:val="fi-FI"/>
        </w:rPr>
        <w:tab/>
        <w:t>ISO/IEC DIS 23090-14</w:t>
      </w:r>
      <w:r w:rsidRPr="00DD6C74">
        <w:rPr>
          <w:lang w:val="fi-FI"/>
        </w:rPr>
        <w:t xml:space="preserve">, </w:t>
      </w:r>
      <w:r w:rsidRPr="006C484D">
        <w:t>Information technology — Coded representation of immersive media — Part 14: Scene Description for MPEG Media</w:t>
      </w:r>
      <w:r>
        <w:rPr>
          <w:lang w:val="fi-FI"/>
        </w:rPr>
        <w:t>.</w:t>
      </w: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21" w:name="definitions"/>
      <w:bookmarkStart w:id="22" w:name="_Toc96117945"/>
      <w:bookmarkEnd w:id="21"/>
      <w:r w:rsidRPr="004D3578">
        <w:t>3</w:t>
      </w:r>
      <w:r w:rsidRPr="004D3578">
        <w:tab/>
        <w:t>Definitions</w:t>
      </w:r>
      <w:r w:rsidR="00602AEA">
        <w:t xml:space="preserve"> of terms, symbols and abbreviations</w:t>
      </w:r>
      <w:bookmarkEnd w:id="22"/>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3" w:name="_Toc96117946"/>
      <w:r w:rsidRPr="004D3578">
        <w:t>3.1</w:t>
      </w:r>
      <w:r w:rsidRPr="004D3578">
        <w:tab/>
      </w:r>
      <w:r w:rsidR="002B6339">
        <w:t>Terms</w:t>
      </w:r>
      <w:bookmarkEnd w:id="23"/>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24" w:name="_Toc96117947"/>
      <w:r w:rsidRPr="004D3578">
        <w:t>3.</w:t>
      </w:r>
      <w:r w:rsidR="00093125">
        <w:t>2</w:t>
      </w:r>
      <w:r w:rsidRPr="004D3578">
        <w:tab/>
        <w:t>Abbreviations</w:t>
      </w:r>
      <w:bookmarkEnd w:id="24"/>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w:t>
      </w:r>
      <w:proofErr w:type="spellStart"/>
      <w:r w:rsidRPr="00965A80">
        <w:rPr>
          <w:lang w:val="en-US"/>
        </w:rPr>
        <w:t>Equi</w:t>
      </w:r>
      <w:r>
        <w:rPr>
          <w:lang w:val="en-US"/>
        </w:rPr>
        <w:t>R</w:t>
      </w:r>
      <w:r w:rsidRPr="00965A80">
        <w:rPr>
          <w:lang w:val="en-US"/>
        </w:rPr>
        <w:t>ectangular</w:t>
      </w:r>
      <w:proofErr w:type="spellEnd"/>
      <w:r w:rsidRPr="00965A80">
        <w:rPr>
          <w:lang w:val="en-US"/>
        </w:rPr>
        <w:t xml:space="preserve">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w:t>
      </w:r>
      <w:proofErr w:type="spellStart"/>
      <w:r w:rsidRPr="00965A80">
        <w:rPr>
          <w:lang w:val="en-US"/>
        </w:rPr>
        <w:t>Medi</w:t>
      </w:r>
      <w:r w:rsidR="00F6617D">
        <w:rPr>
          <w:lang w:val="en-US"/>
        </w:rPr>
        <w:t>A</w:t>
      </w:r>
      <w:proofErr w:type="spellEnd"/>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r w:rsidRPr="00965A80">
        <w:rPr>
          <w:lang w:val="en-US"/>
        </w:rPr>
        <w:t xml:space="preserve">RTP  </w:t>
      </w:r>
      <w:r w:rsidR="00F6617D">
        <w:rPr>
          <w:lang w:val="en-US"/>
        </w:rPr>
        <w:tab/>
      </w:r>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965A80" w:rsidRDefault="00B03E8D" w:rsidP="00965A80">
      <w:pPr>
        <w:keepNext/>
        <w:ind w:left="284"/>
      </w:pPr>
      <w:r w:rsidRPr="00965A80">
        <w:t>SDP</w:t>
      </w:r>
      <w:r>
        <w:tab/>
      </w:r>
      <w:r>
        <w:tab/>
      </w:r>
      <w:r w:rsidRPr="00965A80">
        <w:t xml:space="preserve"> Session Description Protocol</w:t>
      </w:r>
    </w:p>
    <w:p w14:paraId="54AF9BFD" w14:textId="3B712819" w:rsidR="00B03E8D" w:rsidRPr="00965A80" w:rsidRDefault="00B03E8D" w:rsidP="00965A80">
      <w:pPr>
        <w:keepNext/>
        <w:ind w:left="284"/>
        <w:rPr>
          <w:lang w:val="en-US"/>
        </w:rPr>
      </w:pPr>
      <w:r w:rsidRPr="00965A80">
        <w:rPr>
          <w:lang w:val="en-US"/>
        </w:rPr>
        <w:t>SEI</w:t>
      </w:r>
      <w:r>
        <w:rPr>
          <w:lang w:val="en-US"/>
        </w:rPr>
        <w:tab/>
      </w:r>
      <w:r>
        <w:rPr>
          <w:lang w:val="en-US"/>
        </w:rPr>
        <w:tab/>
      </w:r>
      <w:r w:rsidRPr="00965A80">
        <w:rPr>
          <w:lang w:val="en-US"/>
        </w:rPr>
        <w:t xml:space="preserve"> Supplemental Enhancement </w:t>
      </w:r>
      <w:proofErr w:type="spellStart"/>
      <w:r w:rsidRPr="00965A80">
        <w:rPr>
          <w:lang w:val="en-US"/>
        </w:rPr>
        <w:t>Informatio</w:t>
      </w:r>
      <w:proofErr w:type="spellEnd"/>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25" w:name="_Toc96117948"/>
      <w:r w:rsidRPr="004D3578">
        <w:t>4</w:t>
      </w:r>
      <w:r w:rsidRPr="004D3578">
        <w:tab/>
      </w:r>
      <w:r w:rsidR="008C10B8">
        <w:t>Viewport Dependent Processing (VDP)</w:t>
      </w:r>
      <w:bookmarkEnd w:id="25"/>
    </w:p>
    <w:p w14:paraId="54562814" w14:textId="23CFD38F" w:rsidR="006B7C21" w:rsidRPr="006B7C21" w:rsidRDefault="006B7C21" w:rsidP="00087871">
      <w:pPr>
        <w:pStyle w:val="Heading2"/>
      </w:pPr>
      <w:bookmarkStart w:id="26" w:name="_Toc96117949"/>
      <w:r>
        <w:t>4.1</w:t>
      </w:r>
      <w:r>
        <w:tab/>
        <w:t>Introduction</w:t>
      </w:r>
      <w:bookmarkEnd w:id="26"/>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bookmarkStart w:id="27" w:name="_Toc96117950"/>
      <w:r>
        <w:t>4.</w:t>
      </w:r>
      <w:r w:rsidR="006B7C21">
        <w:t>2</w:t>
      </w:r>
      <w:r w:rsidR="006B7C21">
        <w:tab/>
      </w:r>
      <w:r>
        <w:t>360-degree Video Optimized for the Viewport</w:t>
      </w:r>
      <w:bookmarkEnd w:id="27"/>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1963D3FF" w:rsidR="005B45DE" w:rsidRDefault="005B45DE" w:rsidP="005B45DE">
      <w:pPr>
        <w:jc w:val="both"/>
      </w:pPr>
      <w:r>
        <w:t xml:space="preserve">The case described here is to provide an omnidirectional video to receiver UEs without the need for unpacking operation(s). It </w:t>
      </w:r>
      <w:r w:rsidR="00C27C63">
        <w:t xml:space="preserve">is </w:t>
      </w:r>
      <w:r>
        <w:t xml:space="preserve">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Figure 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The ITT4RT-Rx client does not require any additional signalling from the ITT4RT-Tx client to decode and render the stream apart from indicating in the SDP offer/answer that VDP will be used. The resolution in the attribute “</w:t>
      </w:r>
      <w:proofErr w:type="spellStart"/>
      <w:r>
        <w:t>imageattr</w:t>
      </w:r>
      <w:proofErr w:type="spellEnd"/>
      <w:r>
        <w:t xml:space="preserve">”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1E75E0A3">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28" w:name="_Toc96117951"/>
      <w:r>
        <w:t>4.</w:t>
      </w:r>
      <w:r w:rsidR="006B7C21">
        <w:t>3</w:t>
      </w:r>
      <w:r w:rsidR="006B7C21">
        <w:tab/>
      </w:r>
      <w:r>
        <w:t>Tiled Video with Multiple Quality Levels</w:t>
      </w:r>
      <w:bookmarkEnd w:id="28"/>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r>
        <w:t xml:space="preserve">Mixed-resolution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frequency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r w:rsidR="00965A80">
        <w:t>I</w:t>
      </w:r>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29C8FBF0">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w:t>
      </w:r>
      <w:proofErr w:type="spellStart"/>
      <w:r>
        <w:t>signaled</w:t>
      </w:r>
      <w:proofErr w:type="spellEnd"/>
      <w:r>
        <w:t xml:space="preserve">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01AB758B">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29"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mixed-quality.</w:t>
      </w:r>
      <w:bookmarkEnd w:id="29"/>
    </w:p>
    <w:p w14:paraId="4D8E2BA7" w14:textId="2B020D03" w:rsidR="005B45DE" w:rsidRDefault="005B45DE" w:rsidP="00087871">
      <w:pPr>
        <w:pStyle w:val="Heading2"/>
      </w:pPr>
      <w:bookmarkStart w:id="30" w:name="_Toc96117952"/>
      <w:r>
        <w:t>4.</w:t>
      </w:r>
      <w:r w:rsidR="006B7C21">
        <w:t>4</w:t>
      </w:r>
      <w:r w:rsidR="006B7C21">
        <w:tab/>
      </w:r>
      <w:r>
        <w:t>Viewport-only Delivery</w:t>
      </w:r>
      <w:bookmarkEnd w:id="30"/>
    </w:p>
    <w:p w14:paraId="622D7192" w14:textId="79A91C53" w:rsidR="005B45DE" w:rsidRDefault="005B45DE" w:rsidP="005B45DE">
      <w:pPr>
        <w:jc w:val="both"/>
      </w:pPr>
      <w:r>
        <w:t xml:space="preserve">For </w:t>
      </w:r>
      <w:proofErr w:type="spellStart"/>
      <w:r>
        <w:t>maximim</w:t>
      </w:r>
      <w:proofErr w:type="spellEnd"/>
      <w:r>
        <w:t xml:space="preserve">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w:t>
      </w:r>
      <w:proofErr w:type="spellStart"/>
      <w:r>
        <w:t>center</w:t>
      </w:r>
      <w:proofErr w:type="spellEnd"/>
      <w:r>
        <w:t xml:space="preserve"> of the projected picture. Figure 6 illustrates the rotated and </w:t>
      </w:r>
      <w:proofErr w:type="spellStart"/>
      <w:r>
        <w:t>centered</w:t>
      </w:r>
      <w:proofErr w:type="spellEnd"/>
      <w:r>
        <w:t xml:space="preserve"> viewport extracted from the 360-degree video. The delivered video </w:t>
      </w:r>
      <w:r w:rsidRPr="0031509A">
        <w:t>may</w:t>
      </w:r>
      <w:r>
        <w:t xml:space="preserve"> be rendered in one of two ways, which affect the signalling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w:t>
      </w:r>
      <w:proofErr w:type="spellStart"/>
      <w:r>
        <w:t>center</w:t>
      </w:r>
      <w:proofErr w:type="spellEnd"/>
      <w:r>
        <w:t xml:space="preserve">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 xml:space="preserve">original capture orientation to bring the viewport to the </w:t>
      </w:r>
      <w:proofErr w:type="spellStart"/>
      <w:r w:rsidRPr="00AF3C47">
        <w:t>center</w:t>
      </w:r>
      <w:proofErr w:type="spellEnd"/>
      <w:r w:rsidRPr="00AF3C47">
        <w:t xml:space="preserve"> of the ERP in order to ensure the same resolution for the viewport region.</w:t>
      </w:r>
    </w:p>
    <w:p w14:paraId="1762036D" w14:textId="682ED598" w:rsidR="005B45DE" w:rsidRPr="00087871" w:rsidRDefault="005B45DE" w:rsidP="00087871">
      <w:pPr>
        <w:pStyle w:val="Heading3"/>
      </w:pPr>
      <w:bookmarkStart w:id="31"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31"/>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 xml:space="preserve">The resolution in the </w:t>
      </w:r>
      <w:proofErr w:type="spellStart"/>
      <w:r w:rsidRPr="00685816">
        <w:t>imageattr</w:t>
      </w:r>
      <w:proofErr w:type="spellEnd"/>
      <w:r w:rsidRPr="00685816">
        <w:t xml:space="preserve">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25C8A9FE"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w:t>
      </w:r>
      <w:proofErr w:type="spellStart"/>
      <w:r>
        <w:t>center</w:t>
      </w:r>
      <w:proofErr w:type="spellEnd"/>
      <w:r>
        <w:t xml:space="preserve"> of the viewport region is rotated to the </w:t>
      </w:r>
      <w:proofErr w:type="spellStart"/>
      <w:r>
        <w:t>center</w:t>
      </w:r>
      <w:proofErr w:type="spellEnd"/>
      <w:r>
        <w:t xml:space="preserve"> of the projected picture and encoded. ITT4RT-Rx client always receives a constant sized, constant resolution image for the viewport region. The sender </w:t>
      </w:r>
      <w:r w:rsidR="00C27C63" w:rsidRPr="006C484D">
        <w:t>is expected to</w:t>
      </w:r>
      <w:r>
        <w:t xml:space="preserve">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drawing>
          <wp:inline distT="0" distB="0" distL="0" distR="0" wp14:anchorId="46E13B40" wp14:editId="72B76BB2">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32"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32"/>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w:t>
      </w:r>
      <w:proofErr w:type="spellStart"/>
      <w:r>
        <w:t>centered</w:t>
      </w:r>
      <w:proofErr w:type="spellEnd"/>
      <w:r>
        <w:t xml:space="preserve"> at the </w:t>
      </w:r>
      <w:proofErr w:type="spellStart"/>
      <w:r>
        <w:t>center</w:t>
      </w:r>
      <w:proofErr w:type="spellEnd"/>
      <w:r>
        <w:t xml:space="preserve"> of the viewport/display. </w:t>
      </w:r>
    </w:p>
    <w:p w14:paraId="75F22F02" w14:textId="1E2E2C46"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w:t>
      </w:r>
      <w:r w:rsidRPr="0031509A">
        <w:rPr>
          <w:color w:val="000000"/>
        </w:rPr>
        <w:t>may</w:t>
      </w:r>
      <w:r>
        <w:rPr>
          <w:color w:val="000000"/>
        </w:rPr>
        <w:t xml:space="preserve"> cause motion sickness if latency increases and, hence, </w:t>
      </w:r>
      <w:r w:rsidR="00C27C63">
        <w:rPr>
          <w:color w:val="000000"/>
        </w:rPr>
        <w:t xml:space="preserve">is expected to </w:t>
      </w:r>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as  sphere-locked viewport only solution, except the rotation information is not signalled and the ITT4RT-Rx client renders the received video such that the </w:t>
      </w:r>
      <w:proofErr w:type="spellStart"/>
      <w:r>
        <w:t>center</w:t>
      </w:r>
      <w:proofErr w:type="spellEnd"/>
      <w:r>
        <w:t xml:space="preserve"> of the image is aligned to the </w:t>
      </w:r>
      <w:proofErr w:type="spellStart"/>
      <w:r>
        <w:t>center</w:t>
      </w:r>
      <w:proofErr w:type="spellEnd"/>
      <w:r>
        <w:t xml:space="preserve"> of the current viewport. </w:t>
      </w:r>
    </w:p>
    <w:p w14:paraId="1F2A0210" w14:textId="7465D1B5" w:rsidR="005B45DE" w:rsidRDefault="005B45DE" w:rsidP="005B45DE">
      <w:pPr>
        <w:jc w:val="both"/>
      </w:pPr>
      <w:r>
        <w:rPr>
          <w:noProof/>
        </w:rPr>
        <w:drawing>
          <wp:inline distT="0" distB="0" distL="0" distR="0" wp14:anchorId="49AADE97" wp14:editId="368DA31D">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viewport-locked (VL) solution. The viewport feedback </w:t>
      </w:r>
      <w:r w:rsidRPr="0031509A">
        <w:t>may</w:t>
      </w:r>
      <w:r w:rsidRPr="00222620">
        <w:t xml:space="preserve"> be received from a different</w:t>
      </w:r>
      <w:r w:rsidRPr="00AF3C47">
        <w:t xml:space="preserve"> UE in case of follower </w:t>
      </w:r>
      <w:proofErr w:type="spellStart"/>
      <w:r w:rsidR="00965A80" w:rsidRPr="00AF3C47">
        <w:t>u</w:t>
      </w:r>
      <w:r w:rsidRPr="00AF3C47">
        <w:t>Es</w:t>
      </w:r>
      <w:proofErr w:type="spellEnd"/>
      <w:r w:rsidRPr="00AF3C47">
        <w:t>.</w:t>
      </w:r>
    </w:p>
    <w:p w14:paraId="1F1F4966" w14:textId="1358B4F0" w:rsidR="005B45DE" w:rsidRDefault="005B45DE" w:rsidP="00087871">
      <w:pPr>
        <w:pStyle w:val="Heading2"/>
      </w:pPr>
      <w:bookmarkStart w:id="33" w:name="_Toc96117955"/>
      <w:r>
        <w:t>4.</w:t>
      </w:r>
      <w:r w:rsidR="006B7C21">
        <w:t>5</w:t>
      </w:r>
      <w:r w:rsidR="006B7C21">
        <w:tab/>
      </w:r>
      <w:r>
        <w:t>HQ Viewport with LQ background</w:t>
      </w:r>
      <w:bookmarkEnd w:id="33"/>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w:t>
      </w:r>
      <w:proofErr w:type="spellStart"/>
      <w:r>
        <w:t>signaled</w:t>
      </w:r>
      <w:proofErr w:type="spellEnd"/>
      <w:r>
        <w:t xml:space="preserve">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5377D0AF">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34" w:name="_Toc96117956"/>
      <w:r>
        <w:t>4.</w:t>
      </w:r>
      <w:r w:rsidR="006B7C21">
        <w:t>6</w:t>
      </w:r>
      <w:r w:rsidR="006B7C21">
        <w:tab/>
      </w:r>
      <w:r>
        <w:t>Comparisons of the Proposed Solutions</w:t>
      </w:r>
      <w:bookmarkEnd w:id="34"/>
    </w:p>
    <w:p w14:paraId="38634236" w14:textId="6C65395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r w:rsidR="000803F4">
        <w:t xml:space="preserve">working assumption </w:t>
      </w:r>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a large number of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w:t>
      </w:r>
      <w:proofErr w:type="spellStart"/>
      <w:r>
        <w:t>signaled</w:t>
      </w:r>
      <w:proofErr w:type="spellEnd"/>
      <w:r>
        <w:t xml:space="preserve"> once in the beginning using SDP. This method delivers redundant content in the viewport region. </w:t>
      </w:r>
    </w:p>
    <w:p w14:paraId="3B74D053" w14:textId="6F3D9168" w:rsidR="005B45DE" w:rsidRDefault="005B45DE" w:rsidP="00087871">
      <w:pPr>
        <w:pStyle w:val="Heading2"/>
      </w:pPr>
      <w:bookmarkStart w:id="35" w:name="_Toc96117957"/>
      <w:r>
        <w:t>4.</w:t>
      </w:r>
      <w:r w:rsidR="006B7C21">
        <w:t>7</w:t>
      </w:r>
      <w:r w:rsidR="006B7C21">
        <w:tab/>
      </w:r>
      <w:r>
        <w:t>Viewport Margins</w:t>
      </w:r>
      <w:bookmarkEnd w:id="35"/>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and also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w:t>
      </w:r>
      <w:proofErr w:type="spellStart"/>
      <w:r w:rsidRPr="00F23CA2">
        <w:rPr>
          <w:rFonts w:ascii="Times New Roman" w:hAnsi="Times New Roman"/>
          <w:b w:val="0"/>
        </w:rPr>
        <w:t>centered</w:t>
      </w:r>
      <w:proofErr w:type="spellEnd"/>
      <w:r w:rsidRPr="00F23CA2">
        <w:rPr>
          <w:rFonts w:ascii="Times New Roman" w:hAnsi="Times New Roman"/>
          <w:b w:val="0"/>
        </w:rPr>
        <w:t xml:space="preserve">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w:t>
      </w:r>
      <w:proofErr w:type="spellStart"/>
      <w:r w:rsidRPr="00F23CA2">
        <w:rPr>
          <w:rFonts w:ascii="Times New Roman" w:hAnsi="Times New Roman"/>
          <w:b w:val="0"/>
        </w:rPr>
        <w:t>likelyto</w:t>
      </w:r>
      <w:proofErr w:type="spellEnd"/>
      <w:r w:rsidRPr="00F23CA2">
        <w:rPr>
          <w:rFonts w:ascii="Times New Roman" w:hAnsi="Times New Roman"/>
          <w:b w:val="0"/>
        </w:rPr>
        <w:t xml:space="preserve">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389E810D" w:rsidR="004F6F44" w:rsidRDefault="004F6F44" w:rsidP="004F6F44">
      <w:pPr>
        <w:pStyle w:val="Heading2"/>
      </w:pPr>
      <w:bookmarkStart w:id="36" w:name="_Toc96117958"/>
      <w:r>
        <w:t>4.8</w:t>
      </w:r>
      <w:r>
        <w:tab/>
        <w:t xml:space="preserve">Encoding </w:t>
      </w:r>
      <w:r w:rsidR="000803F4">
        <w:t>assumptions</w:t>
      </w:r>
      <w:bookmarkEnd w:id="36"/>
    </w:p>
    <w:p w14:paraId="71828A65" w14:textId="33C9A3CB" w:rsidR="004F6F44" w:rsidRPr="004F6F44" w:rsidRDefault="004F6F44" w:rsidP="004F6F44">
      <w:r w:rsidRPr="004F6F44">
        <w:t xml:space="preserve">Several encoding techniques </w:t>
      </w:r>
      <w:r w:rsidR="00C27C63">
        <w:t>may</w:t>
      </w:r>
      <w:r w:rsidR="00C27C63" w:rsidRPr="004F6F44">
        <w:t xml:space="preserve"> </w:t>
      </w:r>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w:t>
      </w:r>
      <w:proofErr w:type="spellStart"/>
      <w:r w:rsidRPr="004F6F44">
        <w:t>favor</w:t>
      </w:r>
      <w:proofErr w:type="spellEnd"/>
      <w:r w:rsidRPr="004F6F44">
        <w:t xml:space="preserve"> INTRA mode decisions for </w:t>
      </w:r>
      <w:proofErr w:type="spellStart"/>
      <w:r w:rsidR="00965A80" w:rsidRPr="004F6F44">
        <w:t>c</w:t>
      </w:r>
      <w:r w:rsidRPr="004F6F44">
        <w:t>Us</w:t>
      </w:r>
      <w:proofErr w:type="spellEnd"/>
      <w:r w:rsidRPr="004F6F44">
        <w:t xml:space="preserve">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089C255C"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in order to reduce the M2HQ delay, the corresponding tiles </w:t>
      </w:r>
      <w:r w:rsidR="00C27C63">
        <w:t>is expected to</w:t>
      </w:r>
      <w:r w:rsidR="00C27C63" w:rsidRPr="004F6F44">
        <w:t xml:space="preserve"> </w:t>
      </w:r>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37" w:name="_Toc96117959"/>
      <w:r>
        <w:t>4.9</w:t>
      </w:r>
      <w:r>
        <w:tab/>
        <w:t>Scalability</w:t>
      </w:r>
      <w:bookmarkEnd w:id="37"/>
    </w:p>
    <w:p w14:paraId="06EA68E6" w14:textId="2085125A" w:rsidR="00CD4F4E" w:rsidRPr="00CD4F4E" w:rsidRDefault="00CD4F4E" w:rsidP="00CD4F4E">
      <w:r w:rsidRPr="00CD4F4E">
        <w:t xml:space="preserve">Tiled encoding can be used for providing VDP when there are a large number of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w:t>
      </w:r>
      <w:proofErr w:type="spellStart"/>
      <w:r w:rsidRPr="00CD4F4E">
        <w:t>predefinedpre</w:t>
      </w:r>
      <w:proofErr w:type="spellEnd"/>
      <w:r w:rsidRPr="00CD4F4E">
        <w:t xml:space="preserve">-defined overlapping or non-overlapping viewport regions. The appropriate HQ viewport region is then delivered based on the current viewport of the receiver. </w:t>
      </w:r>
    </w:p>
    <w:p w14:paraId="10AE2859" w14:textId="66DBCB6A" w:rsidR="00CD4F4E" w:rsidRPr="00CD4F4E" w:rsidRDefault="00CD4F4E" w:rsidP="00CD4F4E">
      <w:r w:rsidRPr="00CD4F4E">
        <w:t xml:space="preserve">Figure 13 illustrates a sample architecture for an MRF that provides VDP for a large number of receivers. It is assumed here that the 360-degree video is encoded into four regions (HQ viewport + margin). </w:t>
      </w:r>
      <w:r w:rsidR="00954723">
        <w:t xml:space="preserve">It is assumed that </w:t>
      </w:r>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3D8286BD">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19178324"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Thus implementations </w:t>
      </w:r>
      <w:r w:rsidR="00954723" w:rsidRPr="006C484D">
        <w:t>are expected to</w:t>
      </w:r>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p>
    <w:p w14:paraId="618BA893" w14:textId="2AE1F269" w:rsidR="008C10B8" w:rsidRPr="004D3578" w:rsidRDefault="00D25F7D" w:rsidP="008C10B8">
      <w:pPr>
        <w:pStyle w:val="Heading1"/>
      </w:pPr>
      <w:bookmarkStart w:id="38" w:name="_Toc96117960"/>
      <w:r>
        <w:t>5</w:t>
      </w:r>
      <w:r w:rsidR="008C10B8" w:rsidRPr="004D3578">
        <w:tab/>
      </w:r>
      <w:r w:rsidR="008C10B8">
        <w:t>RTCP Feedback for VDP</w:t>
      </w:r>
      <w:bookmarkEnd w:id="38"/>
    </w:p>
    <w:p w14:paraId="08CFDE48" w14:textId="5204F132" w:rsidR="00655EB3" w:rsidRPr="00087871" w:rsidRDefault="00655EB3" w:rsidP="00087871">
      <w:pPr>
        <w:pStyle w:val="Heading2"/>
      </w:pPr>
      <w:bookmarkStart w:id="39" w:name="_Toc96117961"/>
      <w:r w:rsidRPr="00087871">
        <w:t>5.1</w:t>
      </w:r>
      <w:r w:rsidR="005B45DE">
        <w:tab/>
      </w:r>
      <w:r w:rsidRPr="00087871">
        <w:t>Introduction</w:t>
      </w:r>
      <w:bookmarkEnd w:id="39"/>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proofErr w:type="spellStart"/>
      <w:r>
        <w:rPr>
          <w:i/>
          <w:iCs/>
          <w:lang w:eastAsia="ko-KR"/>
        </w:rPr>
        <w:t>device_controlled</w:t>
      </w:r>
      <w:proofErr w:type="spellEnd"/>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136C5195">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40" w:name="_Toc96117962"/>
      <w:r>
        <w:t>5.2</w:t>
      </w:r>
      <w:r w:rsidR="005B45DE">
        <w:tab/>
      </w:r>
      <w:r>
        <w:t>Viewport Feedback Triggering Threshold</w:t>
      </w:r>
      <w:bookmarkEnd w:id="40"/>
      <w:r>
        <w:t xml:space="preserve"> </w:t>
      </w:r>
    </w:p>
    <w:p w14:paraId="0AE5FEB7" w14:textId="35017400"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r w:rsidR="0058242E">
        <w:rPr>
          <w:rFonts w:eastAsia="MS Mincho"/>
          <w:szCs w:val="12"/>
          <w:lang w:val="en-US" w:eastAsia="ko-KR"/>
        </w:rPr>
        <w:t>is</w:t>
      </w:r>
      <w:r w:rsidR="00954723">
        <w:rPr>
          <w:rFonts w:eastAsia="MS Mincho"/>
          <w:szCs w:val="12"/>
          <w:lang w:val="en-US" w:eastAsia="ko-KR"/>
        </w:rPr>
        <w:t xml:space="preserve"> expected to</w:t>
      </w:r>
      <w:r>
        <w:rPr>
          <w:rFonts w:eastAsia="MS Mincho"/>
          <w:szCs w:val="12"/>
          <w:lang w:val="en-US" w:eastAsia="ko-KR"/>
        </w:rPr>
        <w:t xml:space="preserve"> define the trigger based on viewport margin region. </w:t>
      </w:r>
      <w:r w:rsidR="00954723">
        <w:rPr>
          <w:rFonts w:eastAsia="MS Mincho"/>
          <w:szCs w:val="12"/>
          <w:lang w:val="en-US" w:eastAsia="ko-KR"/>
        </w:rPr>
        <w:t>It is assumed that t</w:t>
      </w:r>
      <w:r>
        <w:rPr>
          <w:rFonts w:eastAsia="MS Mincho"/>
          <w:szCs w:val="12"/>
          <w:lang w:val="en-US" w:eastAsia="ko-KR"/>
        </w:rPr>
        <w:t>he ITT4RT-Tx client select</w:t>
      </w:r>
      <w:r w:rsidR="00954723">
        <w:rPr>
          <w:rFonts w:eastAsia="MS Mincho"/>
          <w:szCs w:val="12"/>
          <w:lang w:val="en-US" w:eastAsia="ko-KR"/>
        </w:rPr>
        <w:t>s</w:t>
      </w:r>
      <w:r>
        <w:rPr>
          <w:rFonts w:eastAsia="MS Mincho"/>
          <w:szCs w:val="12"/>
          <w:lang w:val="en-US" w:eastAsia="ko-KR"/>
        </w:rPr>
        <w:t xml:space="preserve"> a threshold value that is suitable for the margin configuration that it intends to use for that stream. The threshold value </w:t>
      </w:r>
      <w:r w:rsidR="00950CEC">
        <w:rPr>
          <w:rFonts w:eastAsia="MS Mincho"/>
          <w:szCs w:val="12"/>
          <w:lang w:val="en-US" w:eastAsia="ko-KR"/>
        </w:rPr>
        <w:t>is expected to</w:t>
      </w:r>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13CC02B6"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w:t>
      </w:r>
      <w:proofErr w:type="spellStart"/>
      <w:r>
        <w:rPr>
          <w:rFonts w:eastAsia="MS Mincho"/>
          <w:szCs w:val="12"/>
          <w:lang w:val="en-US" w:eastAsia="ko-KR"/>
        </w:rPr>
        <w:t>the</w:t>
      </w:r>
      <w:proofErr w:type="spellEnd"/>
      <w:r>
        <w:rPr>
          <w:rFonts w:eastAsia="MS Mincho"/>
          <w:szCs w:val="12"/>
          <w:lang w:val="en-US" w:eastAsia="ko-KR"/>
        </w:rPr>
        <w:t xml:space="preserve"> minimum threshold value it can support. The ITT4RT-Tx client may adjust its viewport margin configuration based on </w:t>
      </w:r>
      <w:proofErr w:type="spellStart"/>
      <w:r>
        <w:rPr>
          <w:rFonts w:eastAsia="MS Mincho"/>
          <w:szCs w:val="12"/>
          <w:lang w:val="en-US" w:eastAsia="ko-KR"/>
        </w:rPr>
        <w:t>thethreshold</w:t>
      </w:r>
      <w:proofErr w:type="spellEnd"/>
      <w:r>
        <w:rPr>
          <w:rFonts w:eastAsia="MS Mincho"/>
          <w:szCs w:val="12"/>
          <w:lang w:val="en-US" w:eastAsia="ko-KR"/>
        </w:rPr>
        <w:t xml:space="preserve"> value in the answer. If an ITT4RT-Rx client only supports periodic feedback, it </w:t>
      </w:r>
      <w:r w:rsidR="00950CEC" w:rsidRPr="006C484D">
        <w:rPr>
          <w:rFonts w:eastAsia="MS Mincho"/>
          <w:szCs w:val="12"/>
          <w:lang w:val="en-US" w:eastAsia="ko-KR"/>
        </w:rPr>
        <w:t>is expected to</w:t>
      </w:r>
      <w:r>
        <w:rPr>
          <w:rFonts w:eastAsia="MS Mincho"/>
          <w:szCs w:val="12"/>
          <w:lang w:val="en-US" w:eastAsia="ko-KR"/>
        </w:rPr>
        <w:t xml:space="preserve"> remove the </w:t>
      </w:r>
      <w:proofErr w:type="spellStart"/>
      <w:r>
        <w:rPr>
          <w:rFonts w:eastAsia="MS Mincho"/>
          <w:szCs w:val="12"/>
          <w:lang w:val="en-US" w:eastAsia="ko-KR"/>
        </w:rPr>
        <w:t>viewportfb_trigger</w:t>
      </w:r>
      <w:proofErr w:type="spellEnd"/>
      <w:r>
        <w:rPr>
          <w:rFonts w:eastAsia="MS Mincho"/>
          <w:szCs w:val="12"/>
          <w:lang w:val="en-US" w:eastAsia="ko-KR"/>
        </w:rPr>
        <w:t xml:space="preserve"> parameter from the response.</w:t>
      </w:r>
    </w:p>
    <w:p w14:paraId="4BEEE8DD" w14:textId="00B8D5F8" w:rsidR="00655EB3" w:rsidRDefault="00950CEC" w:rsidP="00655EB3">
      <w:pPr>
        <w:rPr>
          <w:rFonts w:eastAsia="MS Mincho"/>
          <w:szCs w:val="12"/>
          <w:lang w:val="en-US" w:eastAsia="ko-KR"/>
        </w:rPr>
      </w:pPr>
      <w:r>
        <w:rPr>
          <w:rFonts w:eastAsia="MS Mincho"/>
          <w:szCs w:val="12"/>
          <w:lang w:val="en-US" w:eastAsia="ko-KR"/>
        </w:rPr>
        <w:t>I</w:t>
      </w:r>
      <w:r w:rsidR="00EA2E1C">
        <w:rPr>
          <w:rFonts w:eastAsia="MS Mincho"/>
          <w:szCs w:val="12"/>
          <w:lang w:val="en-US" w:eastAsia="ko-KR"/>
        </w:rPr>
        <w:t>t</w:t>
      </w:r>
      <w:r>
        <w:rPr>
          <w:rFonts w:eastAsia="MS Mincho"/>
          <w:szCs w:val="12"/>
          <w:lang w:val="en-US" w:eastAsia="ko-KR"/>
        </w:rPr>
        <w:t xml:space="preserve"> is assumed that a</w:t>
      </w:r>
      <w:r w:rsidR="00655EB3">
        <w:rPr>
          <w:rFonts w:eastAsia="MS Mincho"/>
          <w:szCs w:val="12"/>
          <w:lang w:val="en-US" w:eastAsia="ko-KR"/>
        </w:rPr>
        <w:t>n ITT4RT-Rx client that supports a viewport feedback trigger include</w:t>
      </w:r>
      <w:r>
        <w:rPr>
          <w:rFonts w:eastAsia="MS Mincho"/>
          <w:szCs w:val="12"/>
          <w:lang w:val="en-US" w:eastAsia="ko-KR"/>
        </w:rPr>
        <w:t>s</w:t>
      </w:r>
      <w:r w:rsidR="00655EB3">
        <w:rPr>
          <w:rFonts w:eastAsia="MS Mincho"/>
          <w:szCs w:val="12"/>
          <w:lang w:val="en-US" w:eastAsia="ko-KR"/>
        </w:rPr>
        <w:t xml:space="preserve"> the parameter </w:t>
      </w:r>
      <w:proofErr w:type="spellStart"/>
      <w:r w:rsidR="00655EB3">
        <w:rPr>
          <w:rFonts w:eastAsia="MS Mincho"/>
          <w:szCs w:val="12"/>
          <w:lang w:val="en-US" w:eastAsia="ko-KR"/>
        </w:rPr>
        <w:t>viewportfb_trigger</w:t>
      </w:r>
      <w:proofErr w:type="spellEnd"/>
      <w:r w:rsidR="00655EB3">
        <w:rPr>
          <w:rFonts w:eastAsia="MS Mincho"/>
          <w:szCs w:val="12"/>
          <w:lang w:val="en-US"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67C410B"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w:t>
      </w:r>
      <w:proofErr w:type="spellStart"/>
      <w:r>
        <w:rPr>
          <w:rFonts w:eastAsia="MS Mincho"/>
          <w:szCs w:val="12"/>
          <w:lang w:val="en-US" w:eastAsia="ko-KR"/>
        </w:rPr>
        <w:t>viewportfb_trigger</w:t>
      </w:r>
      <w:proofErr w:type="spellEnd"/>
      <w:r>
        <w:rPr>
          <w:rFonts w:eastAsia="MS Mincho"/>
          <w:szCs w:val="12"/>
          <w:lang w:val="en-US" w:eastAsia="ko-KR"/>
        </w:rPr>
        <w:t xml:space="preserve">, the ITT4RT-Rx client </w:t>
      </w:r>
      <w:r w:rsidR="00950CEC" w:rsidRPr="006C484D">
        <w:rPr>
          <w:rFonts w:eastAsia="MS Mincho"/>
          <w:szCs w:val="12"/>
          <w:lang w:val="en-US" w:eastAsia="ko-KR"/>
        </w:rPr>
        <w:t>is expected to</w:t>
      </w:r>
      <w:r>
        <w:rPr>
          <w:rFonts w:eastAsia="MS Mincho"/>
          <w:szCs w:val="12"/>
          <w:lang w:val="en-US" w:eastAsia="ko-KR"/>
        </w:rPr>
        <w:t xml:space="preserve"> use event-driven viewport feedback. If </w:t>
      </w:r>
      <w:proofErr w:type="spellStart"/>
      <w:r>
        <w:rPr>
          <w:rFonts w:eastAsia="MS Mincho"/>
          <w:szCs w:val="12"/>
          <w:lang w:val="en-US" w:eastAsia="ko-KR"/>
        </w:rPr>
        <w:t>viewportfb_trigger</w:t>
      </w:r>
      <w:proofErr w:type="spellEnd"/>
      <w:r>
        <w:rPr>
          <w:rFonts w:eastAsia="MS Mincho"/>
          <w:szCs w:val="12"/>
          <w:lang w:val="en-US" w:eastAsia="ko-KR"/>
        </w:rPr>
        <w:t xml:space="preserve"> is not defined by the ITT4RT-Tx client, the ITT4RT-Rx client may still use event-driven feedback. All ITT4RT-Rx client sending RTCP viewport feedback </w:t>
      </w:r>
      <w:r w:rsidR="00950CEC" w:rsidRPr="006C484D">
        <w:rPr>
          <w:rFonts w:eastAsia="MS Mincho"/>
          <w:szCs w:val="12"/>
          <w:lang w:val="en-US" w:eastAsia="ko-KR"/>
        </w:rPr>
        <w:t>is expected to</w:t>
      </w:r>
      <w:r>
        <w:rPr>
          <w:rFonts w:eastAsia="MS Mincho"/>
          <w:szCs w:val="12"/>
          <w:lang w:val="en-US" w:eastAsia="ko-KR"/>
        </w:rPr>
        <w:t xml:space="preserve"> at least support sending periodic viewport feedback. </w:t>
      </w:r>
    </w:p>
    <w:p w14:paraId="61337CAF" w14:textId="2C81224F" w:rsidR="00655EB3" w:rsidRDefault="00655EB3" w:rsidP="00087871">
      <w:pPr>
        <w:pStyle w:val="Heading2"/>
      </w:pPr>
      <w:bookmarkStart w:id="41" w:name="_Toc96117963"/>
      <w:r>
        <w:t>5.3</w:t>
      </w:r>
      <w:r w:rsidR="005B45DE">
        <w:tab/>
      </w:r>
      <w:r>
        <w:t>Event-based Viewport Feedback</w:t>
      </w:r>
      <w:bookmarkEnd w:id="41"/>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 xml:space="preserve">Events per interval &lt;= RTCP allocated bandwidth / </w:t>
      </w:r>
      <w:proofErr w:type="spellStart"/>
      <w:r>
        <w:rPr>
          <w:rFonts w:cs="Arial"/>
          <w:szCs w:val="22"/>
        </w:rPr>
        <w:t>Avg</w:t>
      </w:r>
      <w:proofErr w:type="spellEnd"/>
      <w:r>
        <w:rPr>
          <w:rFonts w:cs="Arial"/>
          <w:szCs w:val="22"/>
        </w:rPr>
        <w:t xml:space="preserve">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 xml:space="preserve">Events per interval= </w:t>
      </w:r>
      <w:proofErr w:type="spellStart"/>
      <w:r>
        <w:rPr>
          <w:rFonts w:cs="Arial"/>
          <w:szCs w:val="22"/>
        </w:rPr>
        <w:t>Avg</w:t>
      </w:r>
      <w:proofErr w:type="spellEnd"/>
      <w:r>
        <w:rPr>
          <w:rFonts w:cs="Arial"/>
          <w:szCs w:val="22"/>
        </w:rPr>
        <w:t xml:space="preserve">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3DD4D21D"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w:t>
      </w:r>
      <w:r w:rsidR="000803F4">
        <w:t xml:space="preserve">expected </w:t>
      </w:r>
      <w:r>
        <w:t xml:space="preserve">that the receiver does not trigger event-based immediate feedbacks for trigger angle smaller than </w:t>
      </w:r>
      <w:proofErr w:type="spellStart"/>
      <w:r>
        <w:t>TA</w:t>
      </w:r>
      <w:r>
        <w:rPr>
          <w:vertAlign w:val="subscript"/>
        </w:rPr>
        <w:t>min</w:t>
      </w:r>
      <w:proofErr w:type="spellEnd"/>
      <w:r>
        <w:t>, and</w:t>
      </w:r>
    </w:p>
    <w:p w14:paraId="0322E04A" w14:textId="77777777" w:rsidR="00655EB3" w:rsidRDefault="00655EB3" w:rsidP="00655EB3">
      <w:pPr>
        <w:ind w:left="568" w:hanging="284"/>
        <w:rPr>
          <w:rFonts w:ascii="Arial" w:eastAsia="Calibri" w:hAnsi="Arial" w:cs="Arial"/>
          <w:sz w:val="22"/>
          <w:szCs w:val="22"/>
        </w:rPr>
      </w:pPr>
      <w:proofErr w:type="spellStart"/>
      <w:r>
        <w:t>TA</w:t>
      </w:r>
      <w:r>
        <w:rPr>
          <w:vertAlign w:val="subscript"/>
        </w:rPr>
        <w:t>min</w:t>
      </w:r>
      <w:proofErr w:type="spellEnd"/>
      <w:r>
        <w:t xml:space="preserve"> &gt;= Average RTCP packet size / RTCP allocated bandwidth  *  V </w:t>
      </w:r>
    </w:p>
    <w:p w14:paraId="6C0329C2" w14:textId="288D819F"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w:t>
      </w:r>
      <w:proofErr w:type="spellStart"/>
      <w:r>
        <w:rPr>
          <w:rFonts w:cs="Arial"/>
          <w:szCs w:val="22"/>
        </w:rPr>
        <w:t>viewportfb_trigger</w:t>
      </w:r>
      <w:proofErr w:type="spellEnd"/>
      <w:r>
        <w:rPr>
          <w:rFonts w:cs="Arial"/>
          <w:szCs w:val="22"/>
        </w:rPr>
        <w:t xml:space="preserve"> is defined, then </w:t>
      </w:r>
      <w:proofErr w:type="spellStart"/>
      <w:r>
        <w:t>TA</w:t>
      </w:r>
      <w:r>
        <w:rPr>
          <w:vertAlign w:val="subscript"/>
        </w:rPr>
        <w:t>min</w:t>
      </w:r>
      <w:proofErr w:type="spellEnd"/>
      <w:r>
        <w:rPr>
          <w:rFonts w:cs="Arial"/>
          <w:szCs w:val="22"/>
        </w:rPr>
        <w:t xml:space="preserve"> </w:t>
      </w:r>
      <w:r w:rsidR="00950CEC" w:rsidRPr="006C484D">
        <w:rPr>
          <w:rFonts w:cs="Arial"/>
          <w:szCs w:val="22"/>
        </w:rPr>
        <w:t>is expected to</w:t>
      </w:r>
      <w:r>
        <w:rPr>
          <w:rFonts w:cs="Arial"/>
          <w:szCs w:val="22"/>
        </w:rPr>
        <w:t xml:space="preserve"> be greater than or equal to the defined trigger values.  </w:t>
      </w:r>
    </w:p>
    <w:p w14:paraId="5065DE21" w14:textId="23043509" w:rsidR="00655EB3" w:rsidRDefault="00655EB3" w:rsidP="00087871">
      <w:pPr>
        <w:pStyle w:val="Heading2"/>
      </w:pPr>
      <w:bookmarkStart w:id="42" w:name="_Toc96117964"/>
      <w:r>
        <w:t>5.4</w:t>
      </w:r>
      <w:r w:rsidR="005B45DE">
        <w:tab/>
      </w:r>
      <w:r>
        <w:t>Hybrid Fixed Interval and Event-driven Feedback</w:t>
      </w:r>
      <w:bookmarkEnd w:id="42"/>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25EF0059"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r w:rsidR="00950CEC" w:rsidRPr="006C484D">
        <w:rPr>
          <w:rFonts w:cs="Arial"/>
          <w:szCs w:val="22"/>
        </w:rPr>
        <w:t>is assumed to</w:t>
      </w:r>
      <w:r>
        <w:rPr>
          <w:rFonts w:cs="Arial"/>
          <w:szCs w:val="22"/>
        </w:rPr>
        <w:t xml:space="preserve"> take them into account. An ITT4RT-Rx client may use the </w:t>
      </w:r>
      <w:proofErr w:type="spellStart"/>
      <w:r>
        <w:rPr>
          <w:rFonts w:cs="Arial"/>
          <w:szCs w:val="22"/>
        </w:rPr>
        <w:t>viewportfb_trigger</w:t>
      </w:r>
      <w:proofErr w:type="spellEnd"/>
      <w:r>
        <w:rPr>
          <w:rFonts w:cs="Arial"/>
          <w:szCs w:val="22"/>
        </w:rPr>
        <w:t xml:space="preserve">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w:t>
      </w:r>
      <w:proofErr w:type="spellStart"/>
      <w:r>
        <w:rPr>
          <w:rFonts w:cs="Arial"/>
          <w:szCs w:val="22"/>
        </w:rPr>
        <w:t>D_left</w:t>
      </w:r>
      <w:proofErr w:type="spellEnd"/>
      <w:r>
        <w:rPr>
          <w:rFonts w:cs="Arial"/>
          <w:szCs w:val="22"/>
        </w:rPr>
        <w:t xml:space="preserve">, </w:t>
      </w:r>
      <w:proofErr w:type="spellStart"/>
      <w:r>
        <w:rPr>
          <w:rFonts w:cs="Arial"/>
          <w:szCs w:val="22"/>
        </w:rPr>
        <w:t>D_top</w:t>
      </w:r>
      <w:proofErr w:type="spellEnd"/>
      <w:r>
        <w:rPr>
          <w:rFonts w:cs="Arial"/>
          <w:szCs w:val="22"/>
        </w:rPr>
        <w:t xml:space="preserve">, </w:t>
      </w:r>
      <w:proofErr w:type="spellStart"/>
      <w:r>
        <w:rPr>
          <w:rFonts w:cs="Arial"/>
          <w:szCs w:val="22"/>
        </w:rPr>
        <w:t>D_right</w:t>
      </w:r>
      <w:proofErr w:type="spellEnd"/>
      <w:r>
        <w:rPr>
          <w:rFonts w:cs="Arial"/>
          <w:szCs w:val="22"/>
        </w:rPr>
        <w:t xml:space="preserve">, </w:t>
      </w:r>
      <w:proofErr w:type="spellStart"/>
      <w:r>
        <w:rPr>
          <w:rFonts w:cs="Arial"/>
          <w:szCs w:val="22"/>
        </w:rPr>
        <w:t>D_bottom</w:t>
      </w:r>
      <w:proofErr w:type="spellEnd"/>
      <w:r>
        <w:rPr>
          <w:rFonts w:cs="Arial"/>
          <w:szCs w:val="22"/>
        </w:rPr>
        <w:t xml:space="preserve"> and lastly </w:t>
      </w:r>
      <w:proofErr w:type="spellStart"/>
      <w:r>
        <w:rPr>
          <w:rFonts w:cs="Arial"/>
          <w:szCs w:val="22"/>
        </w:rPr>
        <w:t>D_direct</w:t>
      </w:r>
      <w:proofErr w:type="spellEnd"/>
      <w:r>
        <w:rPr>
          <w:rFonts w:cs="Arial"/>
          <w:szCs w:val="22"/>
        </w:rPr>
        <w:t xml:space="preserve">, which is the distance in the direction of motion) decreases. An implementation may use the velocity of the head (causing the change in viewport), V, or the distance, D, to trigger the early viewport feedback </w:t>
      </w:r>
      <w:proofErr w:type="spellStart"/>
      <w:r>
        <w:rPr>
          <w:rFonts w:cs="Arial"/>
          <w:szCs w:val="22"/>
        </w:rPr>
        <w:t>i.e</w:t>
      </w:r>
      <w:proofErr w:type="spellEnd"/>
      <w:r>
        <w:rPr>
          <w:rFonts w:cs="Arial"/>
          <w:szCs w:val="22"/>
        </w:rPr>
        <w:t>, an early viewport feedback is triggered when the V is above a certain threshold</w:t>
      </w:r>
      <w:r w:rsidR="0052594E">
        <w:rPr>
          <w:rFonts w:cs="Arial"/>
          <w:szCs w:val="22"/>
        </w:rPr>
        <w:t xml:space="preserve"> V'</w:t>
      </w:r>
      <w:r>
        <w:rPr>
          <w:rFonts w:cs="Arial"/>
          <w:szCs w:val="22"/>
        </w:rPr>
        <w:t>,  and D is below a certain threshold</w:t>
      </w:r>
      <w:r w:rsidR="0052594E">
        <w:rPr>
          <w:rFonts w:cs="Arial"/>
          <w:szCs w:val="22"/>
        </w:rPr>
        <w:t xml:space="preserve"> D'</w:t>
      </w:r>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38408D37" w:rsidR="00655EB3" w:rsidRDefault="00655EB3" w:rsidP="00655EB3">
      <w:pPr>
        <w:rPr>
          <w:rFonts w:cs="Arial"/>
          <w:szCs w:val="22"/>
        </w:rPr>
      </w:pPr>
      <w:r>
        <w:rPr>
          <w:rFonts w:cs="Arial"/>
          <w:szCs w:val="22"/>
        </w:rPr>
        <w:t xml:space="preserve">Alternatively, the ITT4RT-Rx client may compute the time till the changing viewport will breach the boundary of the viewport margin, </w:t>
      </w:r>
      <w:proofErr w:type="spellStart"/>
      <w:r>
        <w:rPr>
          <w:rFonts w:cs="Arial"/>
          <w:szCs w:val="22"/>
        </w:rPr>
        <w:t>T_breach</w:t>
      </w:r>
      <w:proofErr w:type="spellEnd"/>
      <w:r>
        <w:rPr>
          <w:rFonts w:cs="Arial"/>
          <w:szCs w:val="22"/>
        </w:rPr>
        <w:t xml:space="preserve">. An early viewport feedback is triggered when </w:t>
      </w:r>
      <w:proofErr w:type="spellStart"/>
      <w:r>
        <w:rPr>
          <w:rFonts w:cs="Arial"/>
          <w:szCs w:val="22"/>
        </w:rPr>
        <w:t>T_breach</w:t>
      </w:r>
      <w:proofErr w:type="spellEnd"/>
      <w:r>
        <w:rPr>
          <w:rFonts w:cs="Arial"/>
          <w:szCs w:val="22"/>
        </w:rPr>
        <w:t xml:space="preserve"> is below a certain threshold. Regardless of whether D, V or </w:t>
      </w:r>
      <w:proofErr w:type="spellStart"/>
      <w:r>
        <w:rPr>
          <w:rFonts w:cs="Arial"/>
          <w:szCs w:val="22"/>
        </w:rPr>
        <w:t>T_breach</w:t>
      </w:r>
      <w:proofErr w:type="spellEnd"/>
      <w:r>
        <w:rPr>
          <w:rFonts w:cs="Arial"/>
          <w:szCs w:val="22"/>
        </w:rPr>
        <w:t xml:space="preserve"> is used to trigger an early RTCP feedback, if the time to the next scheduled RTCP viewport feedback is small, the early feedback can be suppressed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w:t>
      </w:r>
      <w:proofErr w:type="spellStart"/>
      <w:r>
        <w:rPr>
          <w:rFonts w:cs="Arial"/>
          <w:szCs w:val="22"/>
        </w:rPr>
        <w:t>T_breach</w:t>
      </w:r>
      <w:proofErr w:type="spellEnd"/>
      <w:r>
        <w:rPr>
          <w:rFonts w:cs="Arial"/>
          <w:szCs w:val="22"/>
        </w:rPr>
        <w:t>, the time at which the viewport is expected to breach the viewport margin i.e., the high-quality region of the 360-degree video. An ITT4RT-Rx client may trigger an early RTCP viewport feedback as long as T-</w:t>
      </w:r>
      <w:proofErr w:type="spellStart"/>
      <w:r>
        <w:rPr>
          <w:rFonts w:cs="Arial"/>
          <w:szCs w:val="22"/>
        </w:rPr>
        <w:t>T_breach</w:t>
      </w:r>
      <w:proofErr w:type="spellEnd"/>
      <w:r>
        <w:rPr>
          <w:rFonts w:cs="Arial"/>
          <w:szCs w:val="22"/>
        </w:rPr>
        <w:t xml:space="preserve"> &lt; </w:t>
      </w:r>
      <w:r w:rsidR="0052594E">
        <w:rPr>
          <w:rFonts w:cs="Arial"/>
          <w:szCs w:val="22"/>
        </w:rPr>
        <w:t>T'</w:t>
      </w:r>
      <w:r>
        <w:rPr>
          <w:rFonts w:cs="Arial"/>
          <w:szCs w:val="22"/>
        </w:rPr>
        <w:t xml:space="preserve">, where </w:t>
      </w:r>
      <w:r w:rsidR="0052594E">
        <w:rPr>
          <w:rFonts w:cs="Arial"/>
          <w:szCs w:val="22"/>
        </w:rPr>
        <w:t>T'</w:t>
      </w:r>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xml:space="preserve">: A timeline showing T, </w:t>
      </w:r>
      <w:proofErr w:type="spellStart"/>
      <w:r w:rsidRPr="00222620">
        <w:t>T’and</w:t>
      </w:r>
      <w:proofErr w:type="spellEnd"/>
      <w:r w:rsidRPr="00222620">
        <w:t xml:space="preserve"> </w:t>
      </w:r>
      <w:proofErr w:type="spellStart"/>
      <w:r w:rsidRPr="00222620">
        <w:t>T_breach</w:t>
      </w:r>
      <w:proofErr w:type="spellEnd"/>
      <w:r w:rsidRPr="00222620">
        <w:t xml:space="preserve"> in reference to the scheduled RTCP viewport feedback. Time increases left to right</w:t>
      </w:r>
      <w:r w:rsidRPr="00087871">
        <w:t xml:space="preserve">. </w:t>
      </w:r>
    </w:p>
    <w:p w14:paraId="7EEC7E88" w14:textId="253D48C1"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w:t>
      </w:r>
      <w:proofErr w:type="spellStart"/>
      <w:r>
        <w:rPr>
          <w:rFonts w:cs="Arial"/>
          <w:szCs w:val="22"/>
        </w:rPr>
        <w:t>center</w:t>
      </w:r>
      <w:proofErr w:type="spellEnd"/>
      <w:r>
        <w:rPr>
          <w:rFonts w:cs="Arial"/>
          <w:szCs w:val="22"/>
        </w:rPr>
        <w:t xml:space="preserve"> of the viewport in the last RTCP viewport feedback and the </w:t>
      </w:r>
      <w:proofErr w:type="spellStart"/>
      <w:r>
        <w:rPr>
          <w:rFonts w:cs="Arial"/>
          <w:szCs w:val="22"/>
        </w:rPr>
        <w:t>center</w:t>
      </w:r>
      <w:proofErr w:type="spellEnd"/>
      <w:r>
        <w:rPr>
          <w:rFonts w:cs="Arial"/>
          <w:szCs w:val="22"/>
        </w:rPr>
        <w:t xml:space="preserve"> of the current viewport at the ITT4RT-Rx client. An ITT4RT-Rx client may trigger an early RTCP feedback message in this case when D &gt; </w:t>
      </w:r>
      <w:r w:rsidR="0052594E">
        <w:rPr>
          <w:rFonts w:cs="Arial"/>
          <w:szCs w:val="22"/>
        </w:rPr>
        <w:t>D'</w:t>
      </w:r>
      <w:r>
        <w:rPr>
          <w:rFonts w:cs="Arial"/>
          <w:szCs w:val="22"/>
        </w:rPr>
        <w:t xml:space="preserve">, where </w:t>
      </w:r>
      <w:r w:rsidR="0052594E">
        <w:rPr>
          <w:rFonts w:cs="Arial"/>
          <w:szCs w:val="22"/>
        </w:rPr>
        <w:t>D'</w:t>
      </w:r>
      <w:r>
        <w:rPr>
          <w:rFonts w:cs="Arial"/>
          <w:szCs w:val="22"/>
        </w:rPr>
        <w:t xml:space="preserve"> is some threshold. However, if the time to next scheduled RTCP feedback is less than the suppression threshold </w:t>
      </w:r>
      <w:r w:rsidR="0052594E">
        <w:rPr>
          <w:rFonts w:cs="Arial"/>
          <w:szCs w:val="22"/>
        </w:rPr>
        <w:t>T'</w:t>
      </w:r>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w:t>
      </w:r>
      <w:proofErr w:type="spellStart"/>
      <w:r>
        <w:rPr>
          <w:rFonts w:cs="Arial"/>
          <w:szCs w:val="22"/>
        </w:rPr>
        <w:t>viewportfb_trigger</w:t>
      </w:r>
      <w:proofErr w:type="spellEnd"/>
      <w:r>
        <w:rPr>
          <w:rFonts w:cs="Arial"/>
          <w:szCs w:val="22"/>
        </w:rPr>
        <w:t xml:space="preserve"> is used, </w:t>
      </w:r>
      <w:r w:rsidR="0052594E">
        <w:rPr>
          <w:rFonts w:cs="Arial"/>
          <w:szCs w:val="22"/>
        </w:rPr>
        <w:t>it is expected that D'</w:t>
      </w:r>
      <w:r>
        <w:rPr>
          <w:rFonts w:cs="Arial"/>
          <w:szCs w:val="22"/>
        </w:rPr>
        <w:t xml:space="preserve"> </w:t>
      </w:r>
      <w:r w:rsidR="0052594E">
        <w:rPr>
          <w:rFonts w:cs="Arial"/>
          <w:szCs w:val="22"/>
        </w:rPr>
        <w:t xml:space="preserve">is </w:t>
      </w:r>
      <w:r>
        <w:rPr>
          <w:rFonts w:cs="Arial"/>
          <w:szCs w:val="22"/>
        </w:rPr>
        <w:t xml:space="preserve">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585A188A">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43" w:name="_Toc96117965"/>
      <w:r>
        <w:t>6</w:t>
      </w:r>
      <w:r w:rsidRPr="004D3578">
        <w:tab/>
      </w:r>
      <w:r>
        <w:t>Presentation replacement (screen share)</w:t>
      </w:r>
      <w:bookmarkEnd w:id="43"/>
    </w:p>
    <w:p w14:paraId="473EF001" w14:textId="77777777" w:rsidR="004C641F" w:rsidRPr="004C641F" w:rsidRDefault="004C641F" w:rsidP="00965A80">
      <w:pPr>
        <w:pStyle w:val="Heading2"/>
      </w:pPr>
      <w:bookmarkStart w:id="44" w:name="_Toc96117966"/>
      <w:r w:rsidRPr="004C641F">
        <w:t>6.1</w:t>
      </w:r>
      <w:r w:rsidRPr="004C641F">
        <w:tab/>
        <w:t>Introduction</w:t>
      </w:r>
      <w:bookmarkEnd w:id="44"/>
      <w:r w:rsidRPr="004C641F">
        <w:t xml:space="preserve"> </w:t>
      </w:r>
    </w:p>
    <w:p w14:paraId="548A32C0" w14:textId="141997AC"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r w:rsidR="003073E0">
        <w:t xml:space="preserve"> </w:t>
      </w:r>
      <w:r w:rsidRPr="004C641F">
        <w:t xml:space="preserve">on the characteristics of the camera, display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r w:rsidR="00950CEC" w:rsidRPr="006C484D">
        <w:t>is expected</w:t>
      </w:r>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proofErr w:type="spellStart"/>
      <w:r w:rsidRPr="004C641F">
        <w:t>Analyze</w:t>
      </w:r>
      <w:proofErr w:type="spellEnd"/>
      <w:r w:rsidRPr="004C641F">
        <w:t xml:space="preserv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Note: The main importance of the “a=3gpp_360video_replacement” attribute is to distinguish who can perform the replacement in the event that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04EAA513" w:rsidR="004C641F" w:rsidRPr="004C641F" w:rsidRDefault="004C641F" w:rsidP="00965A80">
      <w:pPr>
        <w:pStyle w:val="NO"/>
        <w:ind w:left="851"/>
      </w:pPr>
      <w:r w:rsidRPr="004C641F">
        <w:t xml:space="preserve">The availability of the presentation content </w:t>
      </w:r>
      <w:r w:rsidR="00950CEC">
        <w:t>is expected to</w:t>
      </w:r>
      <w:r w:rsidR="00950CEC" w:rsidRPr="004C641F">
        <w:t xml:space="preserve"> </w:t>
      </w:r>
      <w:r w:rsidRPr="004C641F">
        <w:t>be signalled with the SDP parameter “a=</w:t>
      </w:r>
      <w:proofErr w:type="spellStart"/>
      <w:r w:rsidRPr="004C641F">
        <w:t>content:slides</w:t>
      </w:r>
      <w:proofErr w:type="spellEnd"/>
      <w:r w:rsidRPr="004C641F">
        <w:t xml:space="preserve">”[29].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proofErr w:type="spellStart"/>
      <w:r w:rsidRPr="004C641F">
        <w:rPr>
          <w:b/>
          <w:bCs/>
        </w:rPr>
        <w:t>Analyze</w:t>
      </w:r>
      <w:proofErr w:type="spellEnd"/>
      <w:r w:rsidRPr="004C641F">
        <w:rPr>
          <w:b/>
          <w:bCs/>
        </w:rPr>
        <w:t xml:space="preserve"> and determine the replacement configuration</w:t>
      </w:r>
      <w:r w:rsidRPr="004C641F">
        <w:rPr>
          <w:b/>
        </w:rPr>
        <w:t xml:space="preserve"> </w:t>
      </w:r>
      <w:r w:rsidRPr="004C641F">
        <w:rPr>
          <w:b/>
          <w:bCs/>
        </w:rPr>
        <w:t>in the 360-recording</w:t>
      </w:r>
    </w:p>
    <w:p w14:paraId="28CDF42D" w14:textId="73CEEA4D" w:rsidR="004C641F" w:rsidRPr="004C641F" w:rsidRDefault="004C641F" w:rsidP="00965A80">
      <w:pPr>
        <w:pStyle w:val="NO"/>
        <w:ind w:left="0" w:firstLine="0"/>
      </w:pPr>
      <w:r w:rsidRPr="004C641F">
        <w:t xml:space="preserve">How the replacement configuration (i.e., configuration in terms of sphere-relative overlay coordinates) is determined </w:t>
      </w:r>
      <w:r w:rsidR="00950CEC">
        <w:t>is expected to</w:t>
      </w:r>
      <w:r w:rsidR="00950CEC" w:rsidRPr="004C641F">
        <w:t xml:space="preserve"> </w:t>
      </w:r>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72F124D1" w:rsidR="004C641F" w:rsidRPr="004C641F" w:rsidRDefault="004C641F" w:rsidP="00965A80">
      <w:pPr>
        <w:pStyle w:val="NO"/>
        <w:ind w:left="0" w:firstLine="0"/>
      </w:pPr>
      <w:r w:rsidRPr="004C641F">
        <w:t xml:space="preserve">Note: Ideally, while receiving both 360-degree video and presentation content, the region </w:t>
      </w:r>
      <w:r w:rsidR="000803F4">
        <w:t>is expected to</w:t>
      </w:r>
      <w:r w:rsidR="000803F4" w:rsidRPr="004C641F">
        <w:t xml:space="preserve"> </w:t>
      </w:r>
      <w:r w:rsidRPr="004C641F">
        <w:t xml:space="preserve">be identified automatically (e.g., with image recognition tasks like pattern matching). However, a manual process </w:t>
      </w:r>
      <w:r w:rsidR="00C27C63">
        <w:t>may</w:t>
      </w:r>
      <w:r w:rsidR="00C27C63" w:rsidRPr="004C641F">
        <w:t xml:space="preserve"> </w:t>
      </w:r>
      <w:r w:rsidRPr="004C641F">
        <w:t>also be possible when handled directly by the sending UE.</w:t>
      </w:r>
    </w:p>
    <w:p w14:paraId="796793F7" w14:textId="77777777" w:rsidR="004C641F" w:rsidRPr="004C641F" w:rsidRDefault="004C641F" w:rsidP="00965A80">
      <w:pPr>
        <w:pStyle w:val="NO"/>
        <w:ind w:left="0" w:firstLine="0"/>
      </w:pPr>
      <w:r w:rsidRPr="004C641F">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 xml:space="preserve">The solution is based on the definition of OMAF edition 1 that remote users “viewing position is the </w:t>
      </w:r>
      <w:proofErr w:type="spellStart"/>
      <w:r w:rsidRPr="004C641F">
        <w:t>center</w:t>
      </w:r>
      <w:proofErr w:type="spellEnd"/>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45" w:name="_Hlk90321760"/>
      <w:bookmarkStart w:id="46" w:name="_Toc96117967"/>
      <w:r w:rsidRPr="004C641F">
        <w:t>6.</w:t>
      </w:r>
      <w:bookmarkEnd w:id="45"/>
      <w:r w:rsidRPr="004C641F">
        <w:t>2</w:t>
      </w:r>
      <w:r w:rsidRPr="004C641F">
        <w:tab/>
        <w:t>Presentation replacement example message flow</w:t>
      </w:r>
      <w:bookmarkEnd w:id="46"/>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The 360-content is not suitable for replacement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47" w:name="_Toc96117968"/>
      <w:r w:rsidRPr="004C641F">
        <w:t>6.2.1 Case 1</w:t>
      </w:r>
      <w:r w:rsidR="00965A80">
        <w:t>–</w:t>
      </w:r>
      <w:r w:rsidRPr="004C641F">
        <w:t>- The 360-content from the ITT4RT-Tx is suitable for replacement and the ITT4RT-MRF does support replacement</w:t>
      </w:r>
      <w:bookmarkEnd w:id="47"/>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48"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48"/>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w:t>
      </w:r>
      <w:proofErr w:type="spellStart"/>
      <w:r w:rsidRPr="004C641F">
        <w:t>content:slides</w:t>
      </w:r>
      <w:proofErr w:type="spellEnd"/>
      <w:r w:rsidRPr="004C641F">
        <w:t>)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49" w:name="_Toc96117970"/>
      <w:r w:rsidRPr="004C641F">
        <w:t>6.2.3 Case 3</w:t>
      </w:r>
      <w:r w:rsidR="00965A80">
        <w:t>–</w:t>
      </w:r>
      <w:r w:rsidRPr="004C641F">
        <w:t>- The 360-content from the ITT4RT-Tx is suitable for replacement and the ITT4RT-MRF does NOT support replacement – no replacement is executed</w:t>
      </w:r>
      <w:bookmarkEnd w:id="49"/>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w:t>
      </w:r>
      <w:proofErr w:type="spellStart"/>
      <w:r w:rsidRPr="004C641F">
        <w:t>signaling</w:t>
      </w:r>
      <w:proofErr w:type="spellEnd"/>
      <w:r w:rsidRPr="004C641F">
        <w:t xml:space="preserve"> the presentation content as a sphere-relative overlay.</w:t>
      </w:r>
    </w:p>
    <w:p w14:paraId="077A7C1D" w14:textId="281E6D2C" w:rsidR="004C641F" w:rsidRPr="004C641F" w:rsidRDefault="004C641F" w:rsidP="00965A80">
      <w:pPr>
        <w:pStyle w:val="NO"/>
        <w:ind w:left="0" w:firstLine="0"/>
      </w:pPr>
      <w:r w:rsidRPr="004C641F">
        <w:t xml:space="preserve">Note: The presentation content </w:t>
      </w:r>
      <w:r w:rsidR="00C27C63">
        <w:t>may</w:t>
      </w:r>
      <w:r w:rsidR="00C27C63" w:rsidRPr="004C641F">
        <w:t xml:space="preserve"> </w:t>
      </w:r>
      <w:r w:rsidRPr="004C641F">
        <w:t xml:space="preserve">also be </w:t>
      </w:r>
      <w:proofErr w:type="spellStart"/>
      <w:r w:rsidRPr="004C641F">
        <w:t>signaled</w:t>
      </w:r>
      <w:proofErr w:type="spellEnd"/>
      <w:r w:rsidRPr="004C641F">
        <w:t xml:space="preserve">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50" w:name="_Toc96117971"/>
      <w:r w:rsidRPr="004C641F">
        <w:t>6.2.4 Case 4</w:t>
      </w:r>
      <w:r w:rsidR="00965A80">
        <w:t>–</w:t>
      </w:r>
      <w:r w:rsidRPr="004C641F">
        <w:t>- The 360-content is not suitable for replacement but the ITT4RT-MRF does support replacement.</w:t>
      </w:r>
      <w:bookmarkEnd w:id="50"/>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51" w:name="_Toc96117972"/>
      <w:r w:rsidRPr="004C641F">
        <w:t>6.2.5 Case 5</w:t>
      </w:r>
      <w:r w:rsidR="00965A80">
        <w:t>–</w:t>
      </w:r>
      <w:r w:rsidRPr="004C641F">
        <w:t>- The 360-content is not suitable for replacement (e.g., the presentation is not visible in the conference room) and the ITT4RT-MRF does not support replacement</w:t>
      </w:r>
      <w:bookmarkEnd w:id="51"/>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pPr>
      <w:bookmarkStart w:id="52" w:name="_Toc96117973"/>
      <w:r>
        <w:t>7</w:t>
      </w:r>
      <w:r w:rsidRPr="004D3578">
        <w:tab/>
      </w:r>
      <w:r w:rsidR="00EF6A49">
        <w:t>Scene Description-based Overlay</w:t>
      </w:r>
      <w:bookmarkEnd w:id="52"/>
    </w:p>
    <w:p w14:paraId="0F90139F" w14:textId="16551469" w:rsidR="00EF6A49" w:rsidRPr="00993A17" w:rsidRDefault="00EF6A49" w:rsidP="00EF6A49">
      <w:pPr>
        <w:pStyle w:val="Heading3"/>
      </w:pPr>
      <w:bookmarkStart w:id="53" w:name="_Toc96117974"/>
      <w:r>
        <w:t>7.1</w:t>
      </w:r>
      <w:r>
        <w:tab/>
        <w:t>Scene Description</w:t>
      </w:r>
      <w:bookmarkEnd w:id="53"/>
    </w:p>
    <w:p w14:paraId="254D86D1" w14:textId="3046F652" w:rsidR="00EF6A49" w:rsidRPr="004949CC" w:rsidRDefault="00EF6A49" w:rsidP="00EF6A49">
      <w:pPr>
        <w:pStyle w:val="Heading4"/>
      </w:pPr>
      <w:bookmarkStart w:id="54" w:name="_Toc96117975"/>
      <w:r>
        <w:t>7.1.1</w:t>
      </w:r>
      <w:r>
        <w:tab/>
        <w:t>Overview</w:t>
      </w:r>
      <w:bookmarkEnd w:id="54"/>
    </w:p>
    <w:p w14:paraId="2A39C16A" w14:textId="77777777" w:rsidR="00EF6A49" w:rsidRPr="000F0BE9" w:rsidRDefault="00EF6A49" w:rsidP="00EF6A49">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04BDCFE9" w14:textId="77777777" w:rsidR="00EF6A49" w:rsidRPr="00A33A73" w:rsidRDefault="00EF6A49" w:rsidP="00EF6A49">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00DDCD4E" w14:textId="7206B737" w:rsidR="00EF6A49" w:rsidRDefault="00EF6A49" w:rsidP="00EF6A49">
      <w:pPr>
        <w:pStyle w:val="Heading4"/>
      </w:pPr>
      <w:bookmarkStart w:id="55" w:name="_Toc96117976"/>
      <w:r>
        <w:t>7.1.2</w:t>
      </w:r>
      <w:r>
        <w:tab/>
      </w:r>
      <w:proofErr w:type="spellStart"/>
      <w:r>
        <w:t>glTF</w:t>
      </w:r>
      <w:proofErr w:type="spellEnd"/>
      <w:r>
        <w:t xml:space="preserve"> 2.0</w:t>
      </w:r>
      <w:bookmarkEnd w:id="55"/>
    </w:p>
    <w:p w14:paraId="5819CA87" w14:textId="77777777" w:rsidR="00EF6A49" w:rsidRDefault="00EF6A49" w:rsidP="00EF6A49">
      <w:proofErr w:type="spellStart"/>
      <w:r>
        <w:t>glTF</w:t>
      </w:r>
      <w:proofErr w:type="spellEnd"/>
      <w:r>
        <w:t xml:space="preserve"> 2.0 is a new standard that was developed by Khronos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707B88CA" w14:textId="77777777" w:rsidR="00EF6A49" w:rsidRDefault="00EF6A49" w:rsidP="00EF6A49">
      <w:r>
        <w:t xml:space="preserve">The structure of a </w:t>
      </w:r>
      <w:proofErr w:type="spellStart"/>
      <w:r>
        <w:t>glTF</w:t>
      </w:r>
      <w:proofErr w:type="spellEnd"/>
      <w:r>
        <w:t xml:space="preserve"> 2.0 scene graph document is arranged as follows:</w:t>
      </w:r>
    </w:p>
    <w:p w14:paraId="4E3B9A54" w14:textId="77777777" w:rsidR="00EF6A49" w:rsidRDefault="00EF6A49" w:rsidP="00EF6A49"/>
    <w:p w14:paraId="5F9C668D" w14:textId="77777777" w:rsidR="00EF6A49" w:rsidRDefault="00EF6A49" w:rsidP="00EF6A49">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0E17077E" w14:textId="77777777" w:rsidR="00EF6A49" w:rsidRDefault="00EF6A49" w:rsidP="00EF6A49"/>
    <w:p w14:paraId="24871F34" w14:textId="34C7FF49" w:rsidR="00EF6A49" w:rsidRDefault="00EF6A49" w:rsidP="00EF6A49">
      <w:pPr>
        <w:pStyle w:val="Heading4"/>
      </w:pPr>
      <w:bookmarkStart w:id="56" w:name="_Toc96117977"/>
      <w:r>
        <w:t>7.1.3</w:t>
      </w:r>
      <w:r>
        <w:tab/>
        <w:t>MPEG-I Scene Description</w:t>
      </w:r>
      <w:bookmarkEnd w:id="56"/>
    </w:p>
    <w:p w14:paraId="6EC4CABB" w14:textId="61A95D75" w:rsidR="00EF6A49" w:rsidRDefault="00EF6A49" w:rsidP="00EF6A49">
      <w:r>
        <w:t xml:space="preserve">The MPEG solution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core of these extensions and enable integrating all timed media. The </w:t>
      </w:r>
      <w:proofErr w:type="spellStart"/>
      <w:r>
        <w:t>MPEG_texture_video</w:t>
      </w:r>
      <w:proofErr w:type="spellEnd"/>
      <w:r>
        <w:t xml:space="preserve"> allows the integration of video textures that </w:t>
      </w:r>
      <w:r w:rsidR="00C27C63" w:rsidRPr="006C484D">
        <w:t>may</w:t>
      </w:r>
      <w:r>
        <w:t xml:space="preserve"> for example be the sources of an overlay in an ITT4RT conference. </w:t>
      </w:r>
    </w:p>
    <w:p w14:paraId="0EA254A8" w14:textId="77777777" w:rsidR="00EF6A49" w:rsidRDefault="00EF6A49" w:rsidP="00EF6A49">
      <w:r>
        <w:t>The node structure of an MPEG-I scene description is depicted by the following diagram:</w:t>
      </w:r>
    </w:p>
    <w:p w14:paraId="04967A17" w14:textId="77777777" w:rsidR="00EF6A49" w:rsidRDefault="00EF6A49" w:rsidP="00EF6A49">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37"/>
                    <a:stretch>
                      <a:fillRect/>
                    </a:stretch>
                  </pic:blipFill>
                  <pic:spPr>
                    <a:xfrm>
                      <a:off x="0" y="0"/>
                      <a:ext cx="6120765" cy="4506304"/>
                    </a:xfrm>
                    <a:prstGeom prst="rect">
                      <a:avLst/>
                    </a:prstGeom>
                  </pic:spPr>
                </pic:pic>
              </a:graphicData>
            </a:graphic>
          </wp:inline>
        </w:drawing>
      </w:r>
    </w:p>
    <w:p w14:paraId="1BD67BA8" w14:textId="32250DAF" w:rsidR="00EF6A49" w:rsidRPr="007C6708" w:rsidRDefault="00EF6A49" w:rsidP="00EF6A49">
      <w:pPr>
        <w:pStyle w:val="Heading3"/>
      </w:pPr>
      <w:bookmarkStart w:id="57" w:name="_Toc96117978"/>
      <w:r>
        <w:t>7.2</w:t>
      </w:r>
      <w:r>
        <w:tab/>
        <w:t>Scene Description for ITT4RT Sessions</w:t>
      </w:r>
      <w:bookmarkEnd w:id="57"/>
    </w:p>
    <w:p w14:paraId="0E529175" w14:textId="77777777" w:rsidR="00EF6A49" w:rsidRDefault="00EF6A49" w:rsidP="00EF6A49">
      <w:pPr>
        <w:rPr>
          <w:lang w:val="en-US"/>
        </w:rPr>
      </w:pPr>
      <w:r>
        <w:rPr>
          <w:lang w:val="en-US"/>
        </w:rPr>
        <w:t xml:space="preserve">The composition may be performed at an ITT4RT MRF that supports scene description-based overlays. </w:t>
      </w:r>
    </w:p>
    <w:p w14:paraId="10A2FC8A" w14:textId="5CF133F1" w:rsidR="00EF6A49" w:rsidRDefault="00EF6A49" w:rsidP="00EF6A49">
      <w:pPr>
        <w:rPr>
          <w:lang w:val="en-US"/>
        </w:rPr>
      </w:pPr>
      <w:r>
        <w:rPr>
          <w:lang w:val="en-US"/>
        </w:rPr>
        <w:t xml:space="preserve">The scene description describes the whole scene, including all audible/visible participants and the main conference room. Each scene node </w:t>
      </w:r>
      <w:r w:rsidR="00F06B5B" w:rsidRPr="006C484D">
        <w:rPr>
          <w:lang w:val="en-US"/>
        </w:rPr>
        <w:t>is expected to</w:t>
      </w:r>
      <w:r>
        <w:rPr>
          <w:lang w:val="en-US"/>
        </w:rPr>
        <w:t xml:space="preserve"> contain at most one node with 360 degree content. Switching between different 360 conference rooms is then equivalent to switching between scenes in the scene description.</w:t>
      </w:r>
    </w:p>
    <w:p w14:paraId="57BEF51A" w14:textId="77777777" w:rsidR="00EF6A49" w:rsidRDefault="00EF6A49" w:rsidP="00EF6A49">
      <w:pPr>
        <w:rPr>
          <w:lang w:val="en-US"/>
        </w:rPr>
      </w:pPr>
      <w:r>
        <w:rPr>
          <w:lang w:val="en-US"/>
        </w:rPr>
        <w:t xml:space="preserve">A node in the scene graph </w:t>
      </w:r>
      <w:r w:rsidRPr="0031509A">
        <w:rPr>
          <w:lang w:val="en-US"/>
        </w:rPr>
        <w:t>may</w:t>
      </w:r>
      <w:r>
        <w:rPr>
          <w:lang w:val="en-US"/>
        </w:rPr>
        <w:t xml:space="preserve"> describe the 360 degree content or overlay content. The node provides the geometry and the associated texture, which references a 360 or an overlay image/video source.</w:t>
      </w:r>
    </w:p>
    <w:p w14:paraId="53CDBE69" w14:textId="77777777" w:rsidR="00EF6A49" w:rsidRPr="00A33A73" w:rsidRDefault="00EF6A49" w:rsidP="00EF6A49">
      <w:pPr>
        <w:rPr>
          <w:lang w:val="en-US"/>
        </w:rPr>
      </w:pPr>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70EA56D" w14:textId="77777777" w:rsidR="00EF6A49" w:rsidRDefault="00EF6A49" w:rsidP="00EF6A49">
      <w:pPr>
        <w:rPr>
          <w:lang w:val="en-US"/>
        </w:rPr>
      </w:pPr>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xml:space="preserve">”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p>
    <w:p w14:paraId="27ED13ED" w14:textId="77777777" w:rsidR="00EF6A49" w:rsidRDefault="00EF6A49" w:rsidP="00EF6A49">
      <w:pPr>
        <w:rPr>
          <w:lang w:val="en-US"/>
        </w:rPr>
      </w:pPr>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e.g. based on user input.</w:t>
      </w:r>
    </w:p>
    <w:p w14:paraId="4D222FF5" w14:textId="3947E284" w:rsidR="00EF6A49" w:rsidRDefault="00EF6A49" w:rsidP="00EF6A49">
      <w:pPr>
        <w:pStyle w:val="Heading3"/>
      </w:pPr>
      <w:bookmarkStart w:id="58" w:name="_Toc96117979"/>
      <w:r>
        <w:t>7.3</w:t>
      </w:r>
      <w:r>
        <w:tab/>
        <w:t>Referencing Media Streams</w:t>
      </w:r>
      <w:bookmarkEnd w:id="58"/>
    </w:p>
    <w:p w14:paraId="3396A112" w14:textId="520CFDD5" w:rsidR="00EF6A49" w:rsidRDefault="00EF6A49" w:rsidP="00EF6A49">
      <w:pPr>
        <w:rPr>
          <w:lang w:val="en-US"/>
        </w:rPr>
      </w:pPr>
      <w:r>
        <w:rPr>
          <w:lang w:val="en-US"/>
        </w:rPr>
        <w:t xml:space="preserve">In order to reference the source video streams for the 360 content and the overlays in a scene description document, the URL format as specified in </w:t>
      </w:r>
      <w:r w:rsidR="00DD6C74">
        <w:rPr>
          <w:lang w:val="en-US"/>
        </w:rPr>
        <w:t xml:space="preserve">ISO/IEC DIS </w:t>
      </w:r>
      <w:r>
        <w:rPr>
          <w:lang w:val="en-US"/>
        </w:rPr>
        <w:t xml:space="preserve">23090-14 Annex C </w:t>
      </w:r>
      <w:r w:rsidR="00DD6C74">
        <w:rPr>
          <w:lang w:val="en-US"/>
        </w:rPr>
        <w:t xml:space="preserve">[8] </w:t>
      </w:r>
      <w:r w:rsidRPr="006C484D">
        <w:rPr>
          <w:lang w:val="en-US"/>
        </w:rPr>
        <w:t xml:space="preserve">is </w:t>
      </w:r>
      <w:r w:rsidR="00C27C63" w:rsidRPr="006C484D">
        <w:rPr>
          <w:lang w:val="en-US"/>
        </w:rPr>
        <w:t xml:space="preserve">expected </w:t>
      </w:r>
      <w:r w:rsidRPr="006C484D">
        <w:rPr>
          <w:lang w:val="en-US"/>
        </w:rPr>
        <w:t>to be</w:t>
      </w:r>
      <w:r>
        <w:rPr>
          <w:lang w:val="en-US"/>
        </w:rPr>
        <w:t xml:space="preserve"> used. </w:t>
      </w:r>
    </w:p>
    <w:p w14:paraId="34AE0BED" w14:textId="77777777" w:rsidR="00EF6A49" w:rsidRDefault="00EF6A49" w:rsidP="00EF6A49">
      <w:pPr>
        <w:rPr>
          <w:lang w:val="en-US"/>
        </w:rPr>
      </w:pPr>
      <w:r>
        <w:t>The specified referencing scheme has the following advantages:</w:t>
      </w:r>
    </w:p>
    <w:p w14:paraId="140C5B84" w14:textId="77777777" w:rsidR="00EF6A49" w:rsidRDefault="00EF6A49" w:rsidP="00EF6A49">
      <w:pPr>
        <w:numPr>
          <w:ilvl w:val="0"/>
          <w:numId w:val="9"/>
        </w:numPr>
        <w:spacing w:after="160" w:line="256" w:lineRule="auto"/>
      </w:pPr>
      <w:r>
        <w:t xml:space="preserve">doesn’t require that the IP address, port number, and protocol scheme are known. All these fields can be substituted by a generic matching pattern. </w:t>
      </w:r>
    </w:p>
    <w:p w14:paraId="391F9751" w14:textId="77777777" w:rsidR="00EF6A49" w:rsidRDefault="00EF6A49" w:rsidP="00EF6A49">
      <w:pPr>
        <w:numPr>
          <w:ilvl w:val="0"/>
          <w:numId w:val="9"/>
        </w:numPr>
        <w:spacing w:after="160" w:line="256" w:lineRule="auto"/>
      </w:pPr>
      <w:r>
        <w:t>the stream identifier is flexible and allows usage of one of the “mid” attribute, the “label” attribute, or media stream position index as a stream identifier.</w:t>
      </w:r>
    </w:p>
    <w:p w14:paraId="0BFCD964" w14:textId="6CEB488C" w:rsidR="00EF6A49" w:rsidRDefault="00EF6A49" w:rsidP="00EF6A49">
      <w:pPr>
        <w:numPr>
          <w:ilvl w:val="0"/>
          <w:numId w:val="9"/>
        </w:numPr>
        <w:spacing w:after="160" w:line="256" w:lineRule="auto"/>
      </w:pPr>
      <w:r>
        <w:t>the URL complies with RFC 3986 [</w:t>
      </w:r>
      <w:r w:rsidR="00DD6C74">
        <w:t>7</w:t>
      </w:r>
      <w:r>
        <w:t>]</w:t>
      </w:r>
      <w:r w:rsidR="00DD6C74">
        <w:t>.</w:t>
      </w:r>
    </w:p>
    <w:p w14:paraId="7E2C986E" w14:textId="77777777" w:rsidR="00EF6A49" w:rsidRDefault="00EF6A49" w:rsidP="00EF6A49">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p>
    <w:p w14:paraId="0FE0C2A1" w14:textId="647D03B5" w:rsidR="00EF6A49" w:rsidRDefault="00EF6A49" w:rsidP="00EF6A49">
      <w:r>
        <w:t xml:space="preserve">Alternatively, a labelling scheme </w:t>
      </w:r>
      <w:r w:rsidRPr="0031509A">
        <w:t>may</w:t>
      </w:r>
      <w:r>
        <w:t xml:space="preserve"> be used to enforce an ITT4RT session-wide unique identifier of a media stream in the “label” attribute. The label </w:t>
      </w:r>
      <w:r w:rsidR="00C27C63" w:rsidRPr="006C484D">
        <w:t>may</w:t>
      </w:r>
      <w:r>
        <w:t xml:space="preserve"> for example be prefixed by a unique participant name, e.g. “participant5_overlay1”. Such a </w:t>
      </w:r>
      <w:r w:rsidR="00AD1440">
        <w:pgNum/>
      </w:r>
      <w:proofErr w:type="spellStart"/>
      <w:r w:rsidR="00AD1440">
        <w:t>abelling</w:t>
      </w:r>
      <w:proofErr w:type="spellEnd"/>
      <w:r>
        <w:t xml:space="preserve"> scheme is maintained by the scene description author at the MRF and is out of scope of ITT4RT. </w:t>
      </w:r>
    </w:p>
    <w:p w14:paraId="0DF42AAF" w14:textId="77777777" w:rsidR="00EF6A49" w:rsidRPr="00EF6A49" w:rsidRDefault="00EF6A49" w:rsidP="006C484D"/>
    <w:p w14:paraId="30F94C8D" w14:textId="77777777" w:rsidR="004C641F" w:rsidRPr="004D3578" w:rsidRDefault="004C641F" w:rsidP="006C484D">
      <w:pPr>
        <w:pStyle w:val="EW"/>
        <w:ind w:left="0" w:firstLine="0"/>
      </w:pPr>
    </w:p>
    <w:p w14:paraId="0FA12A3A" w14:textId="65B025FF" w:rsidR="00080512" w:rsidRDefault="002675F0">
      <w:pPr>
        <w:pStyle w:val="Heading8"/>
      </w:pPr>
      <w:r>
        <w:br w:type="page"/>
      </w:r>
      <w:bookmarkStart w:id="59" w:name="_Toc96117980"/>
      <w:r w:rsidR="00080512" w:rsidRPr="004D3578">
        <w:t>Annex &lt;</w:t>
      </w:r>
      <w:r w:rsidR="008B57D6">
        <w:t>A</w:t>
      </w:r>
      <w:r w:rsidR="00080512" w:rsidRPr="004D3578">
        <w:t>&gt; (informative):</w:t>
      </w:r>
      <w:r w:rsidR="00080512" w:rsidRPr="004D3578">
        <w:br/>
        <w:t>Change history</w:t>
      </w:r>
      <w:bookmarkEnd w:id="59"/>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60" w:name="historyclause"/>
            <w:bookmarkEnd w:id="60"/>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proofErr w:type="spellStart"/>
            <w:r w:rsidRPr="00235394">
              <w:rPr>
                <w:b/>
                <w:sz w:val="16"/>
              </w:rPr>
              <w:t>t</w:t>
            </w:r>
            <w:r w:rsidR="003C3971" w:rsidRPr="00235394">
              <w:rPr>
                <w:b/>
                <w:sz w:val="16"/>
              </w:rPr>
              <w: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c>
          <w:tcPr>
            <w:tcW w:w="800" w:type="dxa"/>
            <w:shd w:val="solid" w:color="FFFFFF" w:fill="auto"/>
          </w:tcPr>
          <w:p w14:paraId="648C0B97" w14:textId="3C7CADCC" w:rsidR="00965A80" w:rsidRDefault="00965A80" w:rsidP="00C72833">
            <w:pPr>
              <w:pStyle w:val="TAC"/>
              <w:rPr>
                <w:sz w:val="16"/>
                <w:szCs w:val="16"/>
              </w:rPr>
            </w:pPr>
            <w:r>
              <w:rPr>
                <w:sz w:val="16"/>
                <w:szCs w:val="16"/>
              </w:rPr>
              <w:t>2022-02</w:t>
            </w:r>
          </w:p>
        </w:tc>
        <w:tc>
          <w:tcPr>
            <w:tcW w:w="800" w:type="dxa"/>
            <w:shd w:val="solid" w:color="FFFFFF" w:fill="auto"/>
          </w:tcPr>
          <w:p w14:paraId="6BA58202" w14:textId="390668AD" w:rsidR="00965A80" w:rsidRDefault="00965A80" w:rsidP="00C72833">
            <w:pPr>
              <w:pStyle w:val="TAC"/>
              <w:rPr>
                <w:sz w:val="16"/>
                <w:szCs w:val="16"/>
              </w:rPr>
            </w:pPr>
            <w:r>
              <w:rPr>
                <w:sz w:val="16"/>
                <w:szCs w:val="16"/>
              </w:rPr>
              <w:t>SA4#117</w:t>
            </w:r>
          </w:p>
        </w:tc>
        <w:tc>
          <w:tcPr>
            <w:tcW w:w="1094" w:type="dxa"/>
            <w:shd w:val="solid" w:color="FFFFFF" w:fill="auto"/>
          </w:tcPr>
          <w:p w14:paraId="477984FB" w14:textId="0481F17A" w:rsidR="00965A80" w:rsidRDefault="00965A80" w:rsidP="00C72833">
            <w:pPr>
              <w:pStyle w:val="TAC"/>
              <w:rPr>
                <w:sz w:val="16"/>
                <w:szCs w:val="16"/>
              </w:rPr>
            </w:pPr>
            <w:r>
              <w:rPr>
                <w:sz w:val="16"/>
                <w:szCs w:val="16"/>
              </w:rPr>
              <w:t>S4-2202</w:t>
            </w:r>
            <w:r w:rsidR="006C484D">
              <w:rPr>
                <w:sz w:val="16"/>
                <w:szCs w:val="16"/>
              </w:rPr>
              <w:t>64</w:t>
            </w:r>
          </w:p>
        </w:tc>
        <w:tc>
          <w:tcPr>
            <w:tcW w:w="425" w:type="dxa"/>
            <w:shd w:val="solid" w:color="FFFFFF" w:fill="auto"/>
          </w:tcPr>
          <w:p w14:paraId="1BEF6D93" w14:textId="77777777" w:rsidR="00965A80" w:rsidRPr="006B0D02" w:rsidRDefault="00965A80" w:rsidP="00C72833">
            <w:pPr>
              <w:pStyle w:val="TAL"/>
              <w:rPr>
                <w:sz w:val="16"/>
                <w:szCs w:val="16"/>
              </w:rPr>
            </w:pPr>
          </w:p>
        </w:tc>
        <w:tc>
          <w:tcPr>
            <w:tcW w:w="425" w:type="dxa"/>
            <w:shd w:val="solid" w:color="FFFFFF" w:fill="auto"/>
          </w:tcPr>
          <w:p w14:paraId="4B4B5274" w14:textId="77777777" w:rsidR="00965A80" w:rsidRPr="006B0D02" w:rsidRDefault="00965A80" w:rsidP="00C72833">
            <w:pPr>
              <w:pStyle w:val="TAR"/>
              <w:rPr>
                <w:sz w:val="16"/>
                <w:szCs w:val="16"/>
              </w:rPr>
            </w:pPr>
          </w:p>
        </w:tc>
        <w:tc>
          <w:tcPr>
            <w:tcW w:w="425" w:type="dxa"/>
            <w:shd w:val="solid" w:color="FFFFFF" w:fill="auto"/>
          </w:tcPr>
          <w:p w14:paraId="23A712DF" w14:textId="77777777" w:rsidR="00965A80" w:rsidRPr="006B0D02" w:rsidRDefault="00965A80" w:rsidP="00C72833">
            <w:pPr>
              <w:pStyle w:val="TAC"/>
              <w:rPr>
                <w:sz w:val="16"/>
                <w:szCs w:val="16"/>
              </w:rPr>
            </w:pPr>
          </w:p>
        </w:tc>
        <w:tc>
          <w:tcPr>
            <w:tcW w:w="4962" w:type="dxa"/>
            <w:shd w:val="solid" w:color="FFFFFF" w:fill="auto"/>
          </w:tcPr>
          <w:p w14:paraId="5B8BA99C" w14:textId="26213D42" w:rsidR="00965A80" w:rsidRDefault="00965A80" w:rsidP="00C72833">
            <w:pPr>
              <w:pStyle w:val="TAL"/>
              <w:rPr>
                <w:sz w:val="16"/>
                <w:szCs w:val="16"/>
              </w:rPr>
            </w:pPr>
            <w:r>
              <w:rPr>
                <w:sz w:val="16"/>
                <w:szCs w:val="16"/>
              </w:rPr>
              <w:t>Addition of section on scene description-based overlay</w:t>
            </w:r>
            <w:r w:rsidR="006C484D">
              <w:rPr>
                <w:sz w:val="16"/>
                <w:szCs w:val="16"/>
              </w:rPr>
              <w:t xml:space="preserve"> (S4-220256)</w:t>
            </w:r>
          </w:p>
        </w:tc>
        <w:tc>
          <w:tcPr>
            <w:tcW w:w="708" w:type="dxa"/>
            <w:shd w:val="solid" w:color="FFFFFF" w:fill="auto"/>
          </w:tcPr>
          <w:p w14:paraId="17F6B325" w14:textId="00417A79" w:rsidR="00965A80" w:rsidRDefault="00965A80" w:rsidP="00C72833">
            <w:pPr>
              <w:pStyle w:val="TAC"/>
              <w:rPr>
                <w:sz w:val="16"/>
                <w:szCs w:val="16"/>
              </w:rPr>
            </w:pPr>
            <w:r>
              <w:rPr>
                <w:sz w:val="16"/>
                <w:szCs w:val="16"/>
              </w:rPr>
              <w:t>0.4.0</w:t>
            </w:r>
          </w:p>
        </w:tc>
      </w:tr>
      <w:tr w:rsidR="006C484D" w:rsidRPr="006B0D02" w14:paraId="2E9691E4" w14:textId="77777777" w:rsidTr="00420FBF">
        <w:tc>
          <w:tcPr>
            <w:tcW w:w="800" w:type="dxa"/>
            <w:shd w:val="solid" w:color="FFFFFF" w:fill="auto"/>
          </w:tcPr>
          <w:p w14:paraId="32080427" w14:textId="65307BC0" w:rsidR="006C484D" w:rsidRDefault="006C484D" w:rsidP="00C72833">
            <w:pPr>
              <w:pStyle w:val="TAC"/>
              <w:rPr>
                <w:sz w:val="16"/>
                <w:szCs w:val="16"/>
              </w:rPr>
            </w:pPr>
            <w:r>
              <w:rPr>
                <w:sz w:val="16"/>
                <w:szCs w:val="16"/>
              </w:rPr>
              <w:t>2022-02</w:t>
            </w:r>
          </w:p>
        </w:tc>
        <w:tc>
          <w:tcPr>
            <w:tcW w:w="800" w:type="dxa"/>
            <w:shd w:val="solid" w:color="FFFFFF" w:fill="auto"/>
          </w:tcPr>
          <w:p w14:paraId="7894294D" w14:textId="56B7A66B" w:rsidR="006C484D" w:rsidRDefault="006C484D" w:rsidP="00C72833">
            <w:pPr>
              <w:pStyle w:val="TAC"/>
              <w:rPr>
                <w:sz w:val="16"/>
                <w:szCs w:val="16"/>
              </w:rPr>
            </w:pPr>
            <w:r>
              <w:rPr>
                <w:sz w:val="16"/>
                <w:szCs w:val="16"/>
              </w:rPr>
              <w:t>SA4#117</w:t>
            </w:r>
          </w:p>
        </w:tc>
        <w:tc>
          <w:tcPr>
            <w:tcW w:w="1094" w:type="dxa"/>
            <w:shd w:val="solid" w:color="FFFFFF" w:fill="auto"/>
          </w:tcPr>
          <w:p w14:paraId="670166B5" w14:textId="68AE325C" w:rsidR="006C484D" w:rsidRDefault="006C484D" w:rsidP="00C72833">
            <w:pPr>
              <w:pStyle w:val="TAC"/>
              <w:rPr>
                <w:sz w:val="16"/>
                <w:szCs w:val="16"/>
              </w:rPr>
            </w:pPr>
            <w:r>
              <w:rPr>
                <w:sz w:val="16"/>
                <w:szCs w:val="16"/>
              </w:rPr>
              <w:t>S4-220269</w:t>
            </w:r>
          </w:p>
        </w:tc>
        <w:tc>
          <w:tcPr>
            <w:tcW w:w="425" w:type="dxa"/>
            <w:shd w:val="solid" w:color="FFFFFF" w:fill="auto"/>
          </w:tcPr>
          <w:p w14:paraId="3BCE11C9" w14:textId="77777777" w:rsidR="006C484D" w:rsidRPr="006B0D02" w:rsidRDefault="006C484D" w:rsidP="00C72833">
            <w:pPr>
              <w:pStyle w:val="TAL"/>
              <w:rPr>
                <w:sz w:val="16"/>
                <w:szCs w:val="16"/>
              </w:rPr>
            </w:pPr>
          </w:p>
        </w:tc>
        <w:tc>
          <w:tcPr>
            <w:tcW w:w="425" w:type="dxa"/>
            <w:shd w:val="solid" w:color="FFFFFF" w:fill="auto"/>
          </w:tcPr>
          <w:p w14:paraId="6B8D124D" w14:textId="77777777" w:rsidR="006C484D" w:rsidRPr="006B0D02" w:rsidRDefault="006C484D" w:rsidP="00C72833">
            <w:pPr>
              <w:pStyle w:val="TAR"/>
              <w:rPr>
                <w:sz w:val="16"/>
                <w:szCs w:val="16"/>
              </w:rPr>
            </w:pPr>
          </w:p>
        </w:tc>
        <w:tc>
          <w:tcPr>
            <w:tcW w:w="425" w:type="dxa"/>
            <w:shd w:val="solid" w:color="FFFFFF" w:fill="auto"/>
          </w:tcPr>
          <w:p w14:paraId="1E03FC5A" w14:textId="77777777" w:rsidR="006C484D" w:rsidRPr="006B0D02" w:rsidRDefault="006C484D" w:rsidP="00C72833">
            <w:pPr>
              <w:pStyle w:val="TAC"/>
              <w:rPr>
                <w:sz w:val="16"/>
                <w:szCs w:val="16"/>
              </w:rPr>
            </w:pPr>
          </w:p>
        </w:tc>
        <w:tc>
          <w:tcPr>
            <w:tcW w:w="4962" w:type="dxa"/>
            <w:shd w:val="solid" w:color="FFFFFF" w:fill="auto"/>
          </w:tcPr>
          <w:p w14:paraId="19F4BD39" w14:textId="4DF824C6" w:rsidR="006C484D" w:rsidRDefault="006C484D" w:rsidP="00C72833">
            <w:pPr>
              <w:pStyle w:val="TAL"/>
              <w:rPr>
                <w:sz w:val="16"/>
                <w:szCs w:val="16"/>
              </w:rPr>
            </w:pPr>
            <w:r>
              <w:rPr>
                <w:sz w:val="16"/>
                <w:szCs w:val="16"/>
              </w:rPr>
              <w:t>Final version</w:t>
            </w:r>
          </w:p>
        </w:tc>
        <w:tc>
          <w:tcPr>
            <w:tcW w:w="708" w:type="dxa"/>
            <w:shd w:val="solid" w:color="FFFFFF" w:fill="auto"/>
          </w:tcPr>
          <w:p w14:paraId="5D0BF3D8" w14:textId="5D64FDF1" w:rsidR="006C484D" w:rsidRDefault="006C484D" w:rsidP="00C72833">
            <w:pPr>
              <w:pStyle w:val="TAC"/>
              <w:rPr>
                <w:sz w:val="16"/>
                <w:szCs w:val="16"/>
              </w:rPr>
            </w:pPr>
            <w:r>
              <w:rPr>
                <w:sz w:val="16"/>
                <w:szCs w:val="16"/>
              </w:rPr>
              <w:t>0.5.0</w:t>
            </w:r>
          </w:p>
        </w:tc>
      </w:tr>
      <w:tr w:rsidR="00AD1440" w:rsidRPr="006B0D02" w14:paraId="7C700409" w14:textId="77777777" w:rsidTr="00420FBF">
        <w:tc>
          <w:tcPr>
            <w:tcW w:w="800" w:type="dxa"/>
            <w:shd w:val="solid" w:color="FFFFFF" w:fill="auto"/>
          </w:tcPr>
          <w:p w14:paraId="76DF5DFF" w14:textId="74848748" w:rsidR="00AD1440" w:rsidRDefault="00AD1440" w:rsidP="00C72833">
            <w:pPr>
              <w:pStyle w:val="TAC"/>
              <w:rPr>
                <w:sz w:val="16"/>
                <w:szCs w:val="16"/>
              </w:rPr>
            </w:pPr>
            <w:r>
              <w:rPr>
                <w:sz w:val="16"/>
                <w:szCs w:val="16"/>
              </w:rPr>
              <w:t>2022-02</w:t>
            </w:r>
          </w:p>
        </w:tc>
        <w:tc>
          <w:tcPr>
            <w:tcW w:w="800" w:type="dxa"/>
            <w:shd w:val="solid" w:color="FFFFFF" w:fill="auto"/>
          </w:tcPr>
          <w:p w14:paraId="7225EADB" w14:textId="2A159999" w:rsidR="00AD1440" w:rsidRDefault="00AD1440" w:rsidP="00C72833">
            <w:pPr>
              <w:pStyle w:val="TAC"/>
              <w:rPr>
                <w:sz w:val="16"/>
                <w:szCs w:val="16"/>
              </w:rPr>
            </w:pPr>
            <w:r>
              <w:rPr>
                <w:sz w:val="16"/>
                <w:szCs w:val="16"/>
              </w:rPr>
              <w:t>SA4#117</w:t>
            </w:r>
          </w:p>
        </w:tc>
        <w:tc>
          <w:tcPr>
            <w:tcW w:w="1094" w:type="dxa"/>
            <w:shd w:val="solid" w:color="FFFFFF" w:fill="auto"/>
          </w:tcPr>
          <w:p w14:paraId="33AFD111" w14:textId="5298F6E8" w:rsidR="00AD1440" w:rsidRDefault="00AD1440" w:rsidP="00C72833">
            <w:pPr>
              <w:pStyle w:val="TAC"/>
              <w:rPr>
                <w:sz w:val="16"/>
                <w:szCs w:val="16"/>
              </w:rPr>
            </w:pPr>
            <w:r>
              <w:rPr>
                <w:sz w:val="16"/>
                <w:szCs w:val="16"/>
              </w:rPr>
              <w:t>S4-220322</w:t>
            </w:r>
          </w:p>
        </w:tc>
        <w:tc>
          <w:tcPr>
            <w:tcW w:w="425" w:type="dxa"/>
            <w:shd w:val="solid" w:color="FFFFFF" w:fill="auto"/>
          </w:tcPr>
          <w:p w14:paraId="7AF4363D" w14:textId="77777777" w:rsidR="00AD1440" w:rsidRPr="006B0D02" w:rsidRDefault="00AD1440" w:rsidP="00C72833">
            <w:pPr>
              <w:pStyle w:val="TAL"/>
              <w:rPr>
                <w:sz w:val="16"/>
                <w:szCs w:val="16"/>
              </w:rPr>
            </w:pPr>
          </w:p>
        </w:tc>
        <w:tc>
          <w:tcPr>
            <w:tcW w:w="425" w:type="dxa"/>
            <w:shd w:val="solid" w:color="FFFFFF" w:fill="auto"/>
          </w:tcPr>
          <w:p w14:paraId="05D1C3CA" w14:textId="77777777" w:rsidR="00AD1440" w:rsidRPr="006B0D02" w:rsidRDefault="00AD1440" w:rsidP="00C72833">
            <w:pPr>
              <w:pStyle w:val="TAR"/>
              <w:rPr>
                <w:sz w:val="16"/>
                <w:szCs w:val="16"/>
              </w:rPr>
            </w:pPr>
          </w:p>
        </w:tc>
        <w:tc>
          <w:tcPr>
            <w:tcW w:w="425" w:type="dxa"/>
            <w:shd w:val="solid" w:color="FFFFFF" w:fill="auto"/>
          </w:tcPr>
          <w:p w14:paraId="5B50D926" w14:textId="77777777" w:rsidR="00AD1440" w:rsidRPr="006B0D02" w:rsidRDefault="00AD1440" w:rsidP="00C72833">
            <w:pPr>
              <w:pStyle w:val="TAC"/>
              <w:rPr>
                <w:sz w:val="16"/>
                <w:szCs w:val="16"/>
              </w:rPr>
            </w:pPr>
          </w:p>
        </w:tc>
        <w:tc>
          <w:tcPr>
            <w:tcW w:w="4962" w:type="dxa"/>
            <w:shd w:val="solid" w:color="FFFFFF" w:fill="auto"/>
          </w:tcPr>
          <w:p w14:paraId="47A76C8F" w14:textId="4797AB01" w:rsidR="00AD1440" w:rsidRDefault="00AD1440" w:rsidP="00C72833">
            <w:pPr>
              <w:pStyle w:val="TAL"/>
              <w:rPr>
                <w:sz w:val="16"/>
                <w:szCs w:val="16"/>
              </w:rPr>
            </w:pPr>
            <w:r>
              <w:rPr>
                <w:sz w:val="16"/>
                <w:szCs w:val="16"/>
              </w:rPr>
              <w:t xml:space="preserve">Language </w:t>
            </w:r>
            <w:r w:rsidR="0052594E">
              <w:rPr>
                <w:sz w:val="16"/>
                <w:szCs w:val="16"/>
              </w:rPr>
              <w:t xml:space="preserve">and editorial </w:t>
            </w:r>
            <w:r>
              <w:rPr>
                <w:sz w:val="16"/>
                <w:szCs w:val="16"/>
              </w:rPr>
              <w:t>fix</w:t>
            </w:r>
            <w:r w:rsidR="0052594E">
              <w:rPr>
                <w:sz w:val="16"/>
                <w:szCs w:val="16"/>
              </w:rPr>
              <w:t>es</w:t>
            </w:r>
          </w:p>
        </w:tc>
        <w:tc>
          <w:tcPr>
            <w:tcW w:w="708" w:type="dxa"/>
            <w:shd w:val="solid" w:color="FFFFFF" w:fill="auto"/>
          </w:tcPr>
          <w:p w14:paraId="7CFC770C" w14:textId="2360326B" w:rsidR="00AD1440" w:rsidRDefault="00AD1440" w:rsidP="00C72833">
            <w:pPr>
              <w:pStyle w:val="TAC"/>
              <w:rPr>
                <w:sz w:val="16"/>
                <w:szCs w:val="16"/>
              </w:rPr>
            </w:pPr>
            <w:r>
              <w:rPr>
                <w:sz w:val="16"/>
                <w:szCs w:val="16"/>
              </w:rPr>
              <w:t>0.6.0</w:t>
            </w:r>
          </w:p>
        </w:tc>
      </w:tr>
      <w:tr w:rsidR="00FB101F" w:rsidRPr="006B0D02" w14:paraId="6B74EE2D" w14:textId="77777777" w:rsidTr="007742F3">
        <w:tc>
          <w:tcPr>
            <w:tcW w:w="800" w:type="dxa"/>
            <w:tcBorders>
              <w:bottom w:val="single" w:sz="12" w:space="0" w:color="auto"/>
            </w:tcBorders>
            <w:shd w:val="solid" w:color="FFFFFF" w:fill="auto"/>
          </w:tcPr>
          <w:p w14:paraId="6A7DF963" w14:textId="38F66644" w:rsidR="00FB101F" w:rsidRDefault="00FB101F" w:rsidP="00C72833">
            <w:pPr>
              <w:pStyle w:val="TAC"/>
              <w:rPr>
                <w:sz w:val="16"/>
                <w:szCs w:val="16"/>
              </w:rPr>
            </w:pPr>
            <w:r>
              <w:rPr>
                <w:sz w:val="16"/>
                <w:szCs w:val="16"/>
              </w:rPr>
              <w:t>2022-03</w:t>
            </w:r>
          </w:p>
        </w:tc>
        <w:tc>
          <w:tcPr>
            <w:tcW w:w="800" w:type="dxa"/>
            <w:tcBorders>
              <w:bottom w:val="single" w:sz="12" w:space="0" w:color="auto"/>
            </w:tcBorders>
            <w:shd w:val="solid" w:color="FFFFFF" w:fill="auto"/>
          </w:tcPr>
          <w:p w14:paraId="7DD5477E" w14:textId="6AAFA6A6" w:rsidR="00FB101F" w:rsidRDefault="00FB101F" w:rsidP="00C72833">
            <w:pPr>
              <w:pStyle w:val="TAC"/>
              <w:rPr>
                <w:sz w:val="16"/>
                <w:szCs w:val="16"/>
              </w:rPr>
            </w:pPr>
            <w:r>
              <w:rPr>
                <w:sz w:val="16"/>
                <w:szCs w:val="16"/>
              </w:rPr>
              <w:t>SA#95-e</w:t>
            </w:r>
          </w:p>
        </w:tc>
        <w:tc>
          <w:tcPr>
            <w:tcW w:w="1094" w:type="dxa"/>
            <w:tcBorders>
              <w:bottom w:val="single" w:sz="12" w:space="0" w:color="auto"/>
            </w:tcBorders>
            <w:shd w:val="solid" w:color="FFFFFF" w:fill="auto"/>
          </w:tcPr>
          <w:p w14:paraId="7A24A8A0" w14:textId="2896F6DC" w:rsidR="00FB101F" w:rsidRDefault="00FB101F" w:rsidP="00C72833">
            <w:pPr>
              <w:pStyle w:val="TAC"/>
              <w:rPr>
                <w:sz w:val="16"/>
                <w:szCs w:val="16"/>
              </w:rPr>
            </w:pPr>
            <w:r>
              <w:rPr>
                <w:sz w:val="16"/>
                <w:szCs w:val="16"/>
              </w:rPr>
              <w:t>SP-220250</w:t>
            </w:r>
          </w:p>
        </w:tc>
        <w:tc>
          <w:tcPr>
            <w:tcW w:w="425" w:type="dxa"/>
            <w:tcBorders>
              <w:bottom w:val="single" w:sz="12" w:space="0" w:color="auto"/>
            </w:tcBorders>
            <w:shd w:val="solid" w:color="FFFFFF" w:fill="auto"/>
          </w:tcPr>
          <w:p w14:paraId="6B660C11" w14:textId="77777777" w:rsidR="00FB101F" w:rsidRPr="006B0D02" w:rsidRDefault="00FB101F" w:rsidP="00C72833">
            <w:pPr>
              <w:pStyle w:val="TAL"/>
              <w:rPr>
                <w:sz w:val="16"/>
                <w:szCs w:val="16"/>
              </w:rPr>
            </w:pPr>
          </w:p>
        </w:tc>
        <w:tc>
          <w:tcPr>
            <w:tcW w:w="425" w:type="dxa"/>
            <w:tcBorders>
              <w:bottom w:val="single" w:sz="12" w:space="0" w:color="auto"/>
            </w:tcBorders>
            <w:shd w:val="solid" w:color="FFFFFF" w:fill="auto"/>
          </w:tcPr>
          <w:p w14:paraId="44E9D173" w14:textId="77777777" w:rsidR="00FB101F" w:rsidRPr="006B0D02" w:rsidRDefault="00FB101F" w:rsidP="00C72833">
            <w:pPr>
              <w:pStyle w:val="TAR"/>
              <w:rPr>
                <w:sz w:val="16"/>
                <w:szCs w:val="16"/>
              </w:rPr>
            </w:pPr>
          </w:p>
        </w:tc>
        <w:tc>
          <w:tcPr>
            <w:tcW w:w="425" w:type="dxa"/>
            <w:tcBorders>
              <w:bottom w:val="single" w:sz="12" w:space="0" w:color="auto"/>
            </w:tcBorders>
            <w:shd w:val="solid" w:color="FFFFFF" w:fill="auto"/>
          </w:tcPr>
          <w:p w14:paraId="59150A8F" w14:textId="77777777" w:rsidR="00FB101F" w:rsidRPr="006B0D02" w:rsidRDefault="00FB101F" w:rsidP="00C72833">
            <w:pPr>
              <w:pStyle w:val="TAC"/>
              <w:rPr>
                <w:sz w:val="16"/>
                <w:szCs w:val="16"/>
              </w:rPr>
            </w:pPr>
          </w:p>
        </w:tc>
        <w:tc>
          <w:tcPr>
            <w:tcW w:w="4962" w:type="dxa"/>
            <w:tcBorders>
              <w:bottom w:val="single" w:sz="12" w:space="0" w:color="auto"/>
            </w:tcBorders>
            <w:shd w:val="solid" w:color="FFFFFF" w:fill="auto"/>
          </w:tcPr>
          <w:p w14:paraId="1742EB5D" w14:textId="3DC6C9EE" w:rsidR="00FB101F" w:rsidRDefault="00FB101F" w:rsidP="00C72833">
            <w:pPr>
              <w:pStyle w:val="TAL"/>
              <w:rPr>
                <w:sz w:val="16"/>
                <w:szCs w:val="16"/>
              </w:rPr>
            </w:pPr>
            <w:r>
              <w:rPr>
                <w:sz w:val="16"/>
                <w:szCs w:val="16"/>
              </w:rPr>
              <w:t>For approval in SA</w:t>
            </w:r>
          </w:p>
        </w:tc>
        <w:tc>
          <w:tcPr>
            <w:tcW w:w="708" w:type="dxa"/>
            <w:tcBorders>
              <w:bottom w:val="single" w:sz="12" w:space="0" w:color="auto"/>
            </w:tcBorders>
            <w:shd w:val="solid" w:color="FFFFFF" w:fill="auto"/>
          </w:tcPr>
          <w:p w14:paraId="7D4C1956" w14:textId="69578002" w:rsidR="00FB101F" w:rsidRDefault="00FB101F" w:rsidP="00C72833">
            <w:pPr>
              <w:pStyle w:val="TAC"/>
              <w:rPr>
                <w:sz w:val="16"/>
                <w:szCs w:val="16"/>
              </w:rPr>
            </w:pPr>
            <w:r>
              <w:rPr>
                <w:sz w:val="16"/>
                <w:szCs w:val="16"/>
              </w:rPr>
              <w:t>2.0.0</w:t>
            </w:r>
          </w:p>
        </w:tc>
      </w:tr>
      <w:tr w:rsidR="001438E5" w:rsidRPr="006B0D02" w14:paraId="40A3F10A" w14:textId="77777777" w:rsidTr="007742F3">
        <w:tc>
          <w:tcPr>
            <w:tcW w:w="800" w:type="dxa"/>
            <w:tcBorders>
              <w:top w:val="single" w:sz="12" w:space="0" w:color="auto"/>
              <w:bottom w:val="single" w:sz="12" w:space="0" w:color="auto"/>
            </w:tcBorders>
            <w:shd w:val="solid" w:color="FFFFFF" w:fill="auto"/>
          </w:tcPr>
          <w:p w14:paraId="7B3392E3" w14:textId="5F531B14" w:rsidR="001438E5" w:rsidRDefault="001438E5" w:rsidP="001438E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497018F" w14:textId="1242AE67" w:rsidR="001438E5" w:rsidRDefault="001438E5" w:rsidP="001438E5">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30237E6D" w14:textId="19D2DEC8" w:rsidR="001438E5" w:rsidRDefault="001438E5" w:rsidP="001438E5">
            <w:pPr>
              <w:pStyle w:val="TAC"/>
              <w:rPr>
                <w:sz w:val="16"/>
                <w:szCs w:val="16"/>
              </w:rPr>
            </w:pPr>
          </w:p>
        </w:tc>
        <w:tc>
          <w:tcPr>
            <w:tcW w:w="425" w:type="dxa"/>
            <w:tcBorders>
              <w:top w:val="single" w:sz="12" w:space="0" w:color="auto"/>
              <w:bottom w:val="single" w:sz="12" w:space="0" w:color="auto"/>
            </w:tcBorders>
            <w:shd w:val="solid" w:color="FFFFFF" w:fill="auto"/>
          </w:tcPr>
          <w:p w14:paraId="5CB5ED45" w14:textId="77777777" w:rsidR="001438E5" w:rsidRPr="006B0D02" w:rsidRDefault="001438E5" w:rsidP="001438E5">
            <w:pPr>
              <w:pStyle w:val="TAL"/>
              <w:rPr>
                <w:sz w:val="16"/>
                <w:szCs w:val="16"/>
              </w:rPr>
            </w:pPr>
          </w:p>
        </w:tc>
        <w:tc>
          <w:tcPr>
            <w:tcW w:w="425" w:type="dxa"/>
            <w:tcBorders>
              <w:top w:val="single" w:sz="12" w:space="0" w:color="auto"/>
              <w:bottom w:val="single" w:sz="12" w:space="0" w:color="auto"/>
            </w:tcBorders>
            <w:shd w:val="solid" w:color="FFFFFF" w:fill="auto"/>
          </w:tcPr>
          <w:p w14:paraId="4A5C4975" w14:textId="77777777" w:rsidR="001438E5" w:rsidRPr="006B0D02" w:rsidRDefault="001438E5" w:rsidP="001438E5">
            <w:pPr>
              <w:pStyle w:val="TAR"/>
              <w:rPr>
                <w:sz w:val="16"/>
                <w:szCs w:val="16"/>
              </w:rPr>
            </w:pPr>
          </w:p>
        </w:tc>
        <w:tc>
          <w:tcPr>
            <w:tcW w:w="425" w:type="dxa"/>
            <w:tcBorders>
              <w:top w:val="single" w:sz="12" w:space="0" w:color="auto"/>
              <w:bottom w:val="single" w:sz="12" w:space="0" w:color="auto"/>
            </w:tcBorders>
            <w:shd w:val="solid" w:color="FFFFFF" w:fill="auto"/>
          </w:tcPr>
          <w:p w14:paraId="517ADBBA" w14:textId="77777777" w:rsidR="001438E5" w:rsidRPr="006B0D02" w:rsidRDefault="001438E5" w:rsidP="001438E5">
            <w:pPr>
              <w:pStyle w:val="TAC"/>
              <w:rPr>
                <w:sz w:val="16"/>
                <w:szCs w:val="16"/>
              </w:rPr>
            </w:pPr>
          </w:p>
        </w:tc>
        <w:tc>
          <w:tcPr>
            <w:tcW w:w="4962" w:type="dxa"/>
            <w:tcBorders>
              <w:top w:val="single" w:sz="12" w:space="0" w:color="auto"/>
              <w:bottom w:val="single" w:sz="12" w:space="0" w:color="auto"/>
            </w:tcBorders>
            <w:shd w:val="solid" w:color="FFFFFF" w:fill="auto"/>
          </w:tcPr>
          <w:p w14:paraId="714C60AF" w14:textId="1ED5DD80" w:rsidR="001438E5" w:rsidRDefault="001438E5" w:rsidP="001438E5">
            <w:pPr>
              <w:pStyle w:val="TAL"/>
              <w:rPr>
                <w:sz w:val="16"/>
                <w:szCs w:val="16"/>
              </w:rPr>
            </w:pPr>
            <w:r>
              <w:rPr>
                <w:sz w:val="16"/>
                <w:szCs w:val="16"/>
              </w:rPr>
              <w:t>Under change control</w:t>
            </w:r>
          </w:p>
        </w:tc>
        <w:tc>
          <w:tcPr>
            <w:tcW w:w="708" w:type="dxa"/>
            <w:tcBorders>
              <w:top w:val="single" w:sz="12" w:space="0" w:color="auto"/>
              <w:bottom w:val="single" w:sz="12" w:space="0" w:color="auto"/>
            </w:tcBorders>
            <w:shd w:val="solid" w:color="FFFFFF" w:fill="auto"/>
          </w:tcPr>
          <w:p w14:paraId="1A260BEB" w14:textId="0A22E382" w:rsidR="001438E5" w:rsidRDefault="001438E5" w:rsidP="001438E5">
            <w:pPr>
              <w:pStyle w:val="TAC"/>
              <w:rPr>
                <w:sz w:val="16"/>
                <w:szCs w:val="16"/>
              </w:rPr>
            </w:pPr>
            <w:r>
              <w:rPr>
                <w:sz w:val="16"/>
                <w:szCs w:val="16"/>
              </w:rPr>
              <w:t>17.0.0</w:t>
            </w:r>
          </w:p>
        </w:tc>
      </w:tr>
      <w:tr w:rsidR="007742F3" w:rsidRPr="006B0D02" w14:paraId="52DD4C28" w14:textId="77777777" w:rsidTr="007742F3">
        <w:tc>
          <w:tcPr>
            <w:tcW w:w="800" w:type="dxa"/>
            <w:tcBorders>
              <w:top w:val="single" w:sz="12" w:space="0" w:color="auto"/>
            </w:tcBorders>
            <w:shd w:val="solid" w:color="FFFFFF" w:fill="auto"/>
          </w:tcPr>
          <w:p w14:paraId="40CFC605" w14:textId="4E4DF0BF" w:rsidR="007742F3" w:rsidRDefault="007742F3" w:rsidP="001438E5">
            <w:pPr>
              <w:pStyle w:val="TAC"/>
              <w:rPr>
                <w:sz w:val="16"/>
                <w:szCs w:val="16"/>
              </w:rPr>
            </w:pPr>
            <w:r>
              <w:rPr>
                <w:sz w:val="16"/>
                <w:szCs w:val="16"/>
              </w:rPr>
              <w:t>2024-0</w:t>
            </w:r>
            <w:r w:rsidR="00F21DB9">
              <w:rPr>
                <w:sz w:val="16"/>
                <w:szCs w:val="16"/>
              </w:rPr>
              <w:t>3</w:t>
            </w:r>
          </w:p>
        </w:tc>
        <w:tc>
          <w:tcPr>
            <w:tcW w:w="800" w:type="dxa"/>
            <w:tcBorders>
              <w:top w:val="single" w:sz="12" w:space="0" w:color="auto"/>
            </w:tcBorders>
            <w:shd w:val="solid" w:color="FFFFFF" w:fill="auto"/>
          </w:tcPr>
          <w:p w14:paraId="7DEC8AE0" w14:textId="555DD010" w:rsidR="007742F3" w:rsidRDefault="007742F3" w:rsidP="001438E5">
            <w:pPr>
              <w:pStyle w:val="TAC"/>
              <w:rPr>
                <w:sz w:val="16"/>
                <w:szCs w:val="16"/>
              </w:rPr>
            </w:pPr>
            <w:r>
              <w:rPr>
                <w:sz w:val="16"/>
                <w:szCs w:val="16"/>
              </w:rPr>
              <w:t>-</w:t>
            </w:r>
          </w:p>
        </w:tc>
        <w:tc>
          <w:tcPr>
            <w:tcW w:w="1094" w:type="dxa"/>
            <w:tcBorders>
              <w:top w:val="single" w:sz="12" w:space="0" w:color="auto"/>
            </w:tcBorders>
            <w:shd w:val="solid" w:color="FFFFFF" w:fill="auto"/>
          </w:tcPr>
          <w:p w14:paraId="7698A424" w14:textId="69636EED" w:rsidR="007742F3" w:rsidRDefault="007742F3" w:rsidP="001438E5">
            <w:pPr>
              <w:pStyle w:val="TAC"/>
              <w:rPr>
                <w:sz w:val="16"/>
                <w:szCs w:val="16"/>
              </w:rPr>
            </w:pPr>
            <w:r>
              <w:rPr>
                <w:sz w:val="16"/>
                <w:szCs w:val="16"/>
              </w:rPr>
              <w:t>-</w:t>
            </w:r>
          </w:p>
        </w:tc>
        <w:tc>
          <w:tcPr>
            <w:tcW w:w="425" w:type="dxa"/>
            <w:tcBorders>
              <w:top w:val="single" w:sz="12" w:space="0" w:color="auto"/>
            </w:tcBorders>
            <w:shd w:val="solid" w:color="FFFFFF" w:fill="auto"/>
          </w:tcPr>
          <w:p w14:paraId="58DDE127" w14:textId="2ABC173E" w:rsidR="007742F3" w:rsidRPr="006B0D02" w:rsidRDefault="007742F3" w:rsidP="001438E5">
            <w:pPr>
              <w:pStyle w:val="TAL"/>
              <w:rPr>
                <w:sz w:val="16"/>
                <w:szCs w:val="16"/>
              </w:rPr>
            </w:pPr>
            <w:r>
              <w:rPr>
                <w:sz w:val="16"/>
                <w:szCs w:val="16"/>
              </w:rPr>
              <w:t>-</w:t>
            </w:r>
          </w:p>
        </w:tc>
        <w:tc>
          <w:tcPr>
            <w:tcW w:w="425" w:type="dxa"/>
            <w:tcBorders>
              <w:top w:val="single" w:sz="12" w:space="0" w:color="auto"/>
            </w:tcBorders>
            <w:shd w:val="solid" w:color="FFFFFF" w:fill="auto"/>
          </w:tcPr>
          <w:p w14:paraId="53137A8C" w14:textId="2582D6CF" w:rsidR="007742F3" w:rsidRPr="006B0D02" w:rsidRDefault="007742F3" w:rsidP="001438E5">
            <w:pPr>
              <w:pStyle w:val="TAR"/>
              <w:rPr>
                <w:sz w:val="16"/>
                <w:szCs w:val="16"/>
              </w:rPr>
            </w:pPr>
            <w:r>
              <w:rPr>
                <w:sz w:val="16"/>
                <w:szCs w:val="16"/>
              </w:rPr>
              <w:t>-</w:t>
            </w:r>
          </w:p>
        </w:tc>
        <w:tc>
          <w:tcPr>
            <w:tcW w:w="425" w:type="dxa"/>
            <w:tcBorders>
              <w:top w:val="single" w:sz="12" w:space="0" w:color="auto"/>
            </w:tcBorders>
            <w:shd w:val="solid" w:color="FFFFFF" w:fill="auto"/>
          </w:tcPr>
          <w:p w14:paraId="2D511D7C" w14:textId="52497639" w:rsidR="007742F3" w:rsidRPr="006B0D02" w:rsidRDefault="007742F3" w:rsidP="001438E5">
            <w:pPr>
              <w:pStyle w:val="TAC"/>
              <w:rPr>
                <w:sz w:val="16"/>
                <w:szCs w:val="16"/>
              </w:rPr>
            </w:pPr>
            <w:r>
              <w:rPr>
                <w:sz w:val="16"/>
                <w:szCs w:val="16"/>
              </w:rPr>
              <w:t>-</w:t>
            </w:r>
          </w:p>
        </w:tc>
        <w:tc>
          <w:tcPr>
            <w:tcW w:w="4962" w:type="dxa"/>
            <w:tcBorders>
              <w:top w:val="single" w:sz="12" w:space="0" w:color="auto"/>
            </w:tcBorders>
            <w:shd w:val="solid" w:color="FFFFFF" w:fill="auto"/>
          </w:tcPr>
          <w:p w14:paraId="1BE4E29C" w14:textId="6BA6111E" w:rsidR="007742F3" w:rsidRDefault="007742F3" w:rsidP="001438E5">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36D635DE" w14:textId="1143A4F9" w:rsidR="007742F3" w:rsidRPr="007742F3" w:rsidRDefault="007742F3" w:rsidP="001438E5">
            <w:pPr>
              <w:pStyle w:val="TAC"/>
              <w:rPr>
                <w:b/>
                <w:sz w:val="16"/>
                <w:szCs w:val="16"/>
              </w:rPr>
            </w:pPr>
            <w:r w:rsidRPr="007742F3">
              <w:rPr>
                <w:b/>
                <w:sz w:val="16"/>
                <w:szCs w:val="16"/>
              </w:rPr>
              <w:t>18.0.0</w:t>
            </w: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DC0AF0">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2FB097" w14:textId="77777777" w:rsidR="00DC0AF0" w:rsidRDefault="00DC0AF0">
      <w:r>
        <w:separator/>
      </w:r>
    </w:p>
  </w:endnote>
  <w:endnote w:type="continuationSeparator" w:id="0">
    <w:p w14:paraId="23F25B8E" w14:textId="77777777" w:rsidR="00DC0AF0" w:rsidRDefault="00DC0A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252FF5" w14:textId="77777777" w:rsidR="00DC0AF0" w:rsidRDefault="00DC0AF0">
      <w:r>
        <w:separator/>
      </w:r>
    </w:p>
  </w:footnote>
  <w:footnote w:type="continuationSeparator" w:id="0">
    <w:p w14:paraId="7116BD3D" w14:textId="77777777" w:rsidR="00DC0AF0" w:rsidRDefault="00DC0A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321770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17A2">
      <w:rPr>
        <w:rFonts w:ascii="Arial" w:hAnsi="Arial" w:cs="Arial"/>
        <w:b/>
        <w:noProof/>
        <w:sz w:val="18"/>
        <w:szCs w:val="18"/>
      </w:rPr>
      <w:t>3GPP TR 26.962 V18.0.0 (2024-03)</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6F8D813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17A2">
      <w:rPr>
        <w:rFonts w:ascii="Arial" w:hAnsi="Arial" w:cs="Arial"/>
        <w:b/>
        <w:noProof/>
        <w:sz w:val="18"/>
        <w:szCs w:val="18"/>
      </w:rPr>
      <w:t>Release 18</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A0F3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E4539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382148"/>
    <w:lvl w:ilvl="0">
      <w:start w:val="1"/>
      <w:numFmt w:val="decimal"/>
      <w:pStyle w:val="ListNumber3"/>
      <w:lvlText w:val="%1."/>
      <w:lvlJc w:val="left"/>
      <w:pPr>
        <w:tabs>
          <w:tab w:val="num" w:pos="926"/>
        </w:tabs>
        <w:ind w:left="926" w:hanging="360"/>
      </w:p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16cid:durableId="1473643121">
    <w:abstractNumId w:val="9"/>
  </w:num>
  <w:num w:numId="2" w16cid:durableId="427624581">
    <w:abstractNumId w:val="11"/>
  </w:num>
  <w:num w:numId="3" w16cid:durableId="672536005">
    <w:abstractNumId w:val="6"/>
  </w:num>
  <w:num w:numId="4" w16cid:durableId="526135763">
    <w:abstractNumId w:val="3"/>
  </w:num>
  <w:num w:numId="5" w16cid:durableId="1577205131">
    <w:abstractNumId w:val="4"/>
  </w:num>
  <w:num w:numId="6" w16cid:durableId="944964544">
    <w:abstractNumId w:val="5"/>
    <w:lvlOverride w:ilvl="0">
      <w:startOverride w:val="1"/>
    </w:lvlOverride>
    <w:lvlOverride w:ilvl="1"/>
    <w:lvlOverride w:ilvl="2"/>
    <w:lvlOverride w:ilvl="3"/>
    <w:lvlOverride w:ilvl="4"/>
    <w:lvlOverride w:ilvl="5"/>
    <w:lvlOverride w:ilvl="6"/>
    <w:lvlOverride w:ilvl="7"/>
    <w:lvlOverride w:ilvl="8"/>
  </w:num>
  <w:num w:numId="7" w16cid:durableId="10626072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02741549">
    <w:abstractNumId w:val="7"/>
  </w:num>
  <w:num w:numId="9" w16cid:durableId="815798863">
    <w:abstractNumId w:val="10"/>
  </w:num>
  <w:num w:numId="10" w16cid:durableId="558829947">
    <w:abstractNumId w:val="2"/>
  </w:num>
  <w:num w:numId="11" w16cid:durableId="236013344">
    <w:abstractNumId w:val="1"/>
  </w:num>
  <w:num w:numId="12" w16cid:durableId="475535356">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438E5"/>
    <w:rsid w:val="00175B2A"/>
    <w:rsid w:val="001A4C42"/>
    <w:rsid w:val="001A7420"/>
    <w:rsid w:val="001B6637"/>
    <w:rsid w:val="001C21C3"/>
    <w:rsid w:val="001D02C2"/>
    <w:rsid w:val="001F0C1D"/>
    <w:rsid w:val="001F1132"/>
    <w:rsid w:val="001F168B"/>
    <w:rsid w:val="001F58C1"/>
    <w:rsid w:val="00222620"/>
    <w:rsid w:val="0023069C"/>
    <w:rsid w:val="002347A2"/>
    <w:rsid w:val="002675F0"/>
    <w:rsid w:val="00275FD0"/>
    <w:rsid w:val="002A0AAA"/>
    <w:rsid w:val="002B6339"/>
    <w:rsid w:val="002C313D"/>
    <w:rsid w:val="002E00EE"/>
    <w:rsid w:val="003073E0"/>
    <w:rsid w:val="0031509A"/>
    <w:rsid w:val="003172DC"/>
    <w:rsid w:val="003352E8"/>
    <w:rsid w:val="0035462D"/>
    <w:rsid w:val="003756B6"/>
    <w:rsid w:val="003765B8"/>
    <w:rsid w:val="003C3971"/>
    <w:rsid w:val="003C7086"/>
    <w:rsid w:val="00414488"/>
    <w:rsid w:val="004146A3"/>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2594E"/>
    <w:rsid w:val="0053388B"/>
    <w:rsid w:val="00535773"/>
    <w:rsid w:val="00543E6C"/>
    <w:rsid w:val="00565087"/>
    <w:rsid w:val="0058242E"/>
    <w:rsid w:val="00597B11"/>
    <w:rsid w:val="005B45DE"/>
    <w:rsid w:val="005B486D"/>
    <w:rsid w:val="005D2E01"/>
    <w:rsid w:val="005D7526"/>
    <w:rsid w:val="005E4BB2"/>
    <w:rsid w:val="00601192"/>
    <w:rsid w:val="00602AEA"/>
    <w:rsid w:val="00614FDF"/>
    <w:rsid w:val="00634C20"/>
    <w:rsid w:val="0063543D"/>
    <w:rsid w:val="00647114"/>
    <w:rsid w:val="00652BCD"/>
    <w:rsid w:val="00653B24"/>
    <w:rsid w:val="00655EB3"/>
    <w:rsid w:val="00672499"/>
    <w:rsid w:val="00685816"/>
    <w:rsid w:val="006A323F"/>
    <w:rsid w:val="006B30D0"/>
    <w:rsid w:val="006B7C21"/>
    <w:rsid w:val="006C3D95"/>
    <w:rsid w:val="006C484D"/>
    <w:rsid w:val="006E5C86"/>
    <w:rsid w:val="00701116"/>
    <w:rsid w:val="007018C2"/>
    <w:rsid w:val="00713C44"/>
    <w:rsid w:val="00734A5B"/>
    <w:rsid w:val="0074026F"/>
    <w:rsid w:val="007429F6"/>
    <w:rsid w:val="00744E76"/>
    <w:rsid w:val="00762591"/>
    <w:rsid w:val="00766D27"/>
    <w:rsid w:val="007742F3"/>
    <w:rsid w:val="00774DA4"/>
    <w:rsid w:val="00781F0F"/>
    <w:rsid w:val="007B600E"/>
    <w:rsid w:val="007F0F4A"/>
    <w:rsid w:val="008028A4"/>
    <w:rsid w:val="00820297"/>
    <w:rsid w:val="00830747"/>
    <w:rsid w:val="008768CA"/>
    <w:rsid w:val="008B57D6"/>
    <w:rsid w:val="008C10B8"/>
    <w:rsid w:val="008C384C"/>
    <w:rsid w:val="008E2CA5"/>
    <w:rsid w:val="008F5BFD"/>
    <w:rsid w:val="0090271F"/>
    <w:rsid w:val="00902E23"/>
    <w:rsid w:val="009114D7"/>
    <w:rsid w:val="0091348E"/>
    <w:rsid w:val="00917CCB"/>
    <w:rsid w:val="00942EC2"/>
    <w:rsid w:val="00950CEC"/>
    <w:rsid w:val="00954723"/>
    <w:rsid w:val="00965A80"/>
    <w:rsid w:val="00990056"/>
    <w:rsid w:val="00990762"/>
    <w:rsid w:val="009F37B7"/>
    <w:rsid w:val="009F75C3"/>
    <w:rsid w:val="00A10F02"/>
    <w:rsid w:val="00A164B4"/>
    <w:rsid w:val="00A26956"/>
    <w:rsid w:val="00A27486"/>
    <w:rsid w:val="00A3753D"/>
    <w:rsid w:val="00A53724"/>
    <w:rsid w:val="00A56066"/>
    <w:rsid w:val="00A61F5D"/>
    <w:rsid w:val="00A63E8B"/>
    <w:rsid w:val="00A73129"/>
    <w:rsid w:val="00A817A2"/>
    <w:rsid w:val="00A82346"/>
    <w:rsid w:val="00A92BA1"/>
    <w:rsid w:val="00AC6BC6"/>
    <w:rsid w:val="00AD1440"/>
    <w:rsid w:val="00AE65E2"/>
    <w:rsid w:val="00AF3C47"/>
    <w:rsid w:val="00B03E8D"/>
    <w:rsid w:val="00B15449"/>
    <w:rsid w:val="00B30E4F"/>
    <w:rsid w:val="00B53E15"/>
    <w:rsid w:val="00B93086"/>
    <w:rsid w:val="00BA19ED"/>
    <w:rsid w:val="00BA4B8D"/>
    <w:rsid w:val="00BC0EF9"/>
    <w:rsid w:val="00BC0F7D"/>
    <w:rsid w:val="00BD7D31"/>
    <w:rsid w:val="00BE3255"/>
    <w:rsid w:val="00BE48E6"/>
    <w:rsid w:val="00BE7CE3"/>
    <w:rsid w:val="00BF128E"/>
    <w:rsid w:val="00C074DD"/>
    <w:rsid w:val="00C1496A"/>
    <w:rsid w:val="00C27C63"/>
    <w:rsid w:val="00C33079"/>
    <w:rsid w:val="00C45231"/>
    <w:rsid w:val="00C72833"/>
    <w:rsid w:val="00C80F1D"/>
    <w:rsid w:val="00C82916"/>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0AF0"/>
    <w:rsid w:val="00DC309B"/>
    <w:rsid w:val="00DC4DA2"/>
    <w:rsid w:val="00DD4C17"/>
    <w:rsid w:val="00DD6C74"/>
    <w:rsid w:val="00DD74A5"/>
    <w:rsid w:val="00DF2B1F"/>
    <w:rsid w:val="00DF62CD"/>
    <w:rsid w:val="00E16509"/>
    <w:rsid w:val="00E2563B"/>
    <w:rsid w:val="00E44582"/>
    <w:rsid w:val="00E77645"/>
    <w:rsid w:val="00EA0094"/>
    <w:rsid w:val="00EA15B0"/>
    <w:rsid w:val="00EA2E1C"/>
    <w:rsid w:val="00EA5EA7"/>
    <w:rsid w:val="00EC4A25"/>
    <w:rsid w:val="00EE03C7"/>
    <w:rsid w:val="00EF6A49"/>
    <w:rsid w:val="00F025A2"/>
    <w:rsid w:val="00F04712"/>
    <w:rsid w:val="00F06B5B"/>
    <w:rsid w:val="00F07B19"/>
    <w:rsid w:val="00F13360"/>
    <w:rsid w:val="00F20B0E"/>
    <w:rsid w:val="00F21DB9"/>
    <w:rsid w:val="00F22EC7"/>
    <w:rsid w:val="00F23CA2"/>
    <w:rsid w:val="00F24E45"/>
    <w:rsid w:val="00F325C8"/>
    <w:rsid w:val="00F375DA"/>
    <w:rsid w:val="00F603CB"/>
    <w:rsid w:val="00F653B8"/>
    <w:rsid w:val="00F6617D"/>
    <w:rsid w:val="00F85012"/>
    <w:rsid w:val="00F9008D"/>
    <w:rsid w:val="00FA1266"/>
    <w:rsid w:val="00FB101F"/>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CD4F4E"/>
    <w:pPr>
      <w:spacing w:before="1800" w:after="960"/>
    </w:pPr>
    <w:rPr>
      <w:rFonts w:ascii="Arial" w:eastAsia="SimSun" w:hAnsi="Arial"/>
      <w:b/>
      <w:sz w:val="48"/>
      <w:szCs w:val="24"/>
      <w:lang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rPr>
  </w:style>
  <w:style w:type="paragraph" w:styleId="NormalWeb">
    <w:name w:val="Normal (Web)"/>
    <w:basedOn w:val="Normal"/>
    <w:uiPriority w:val="99"/>
    <w:unhideWhenUsed/>
    <w:rsid w:val="00CD4F4E"/>
    <w:pPr>
      <w:spacing w:before="100" w:beforeAutospacing="1" w:after="100" w:afterAutospacing="1"/>
    </w:pPr>
    <w:rPr>
      <w:sz w:val="24"/>
      <w:szCs w:val="24"/>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sz w:val="18"/>
      <w:lang w:eastAsia="ja-JP"/>
    </w:rPr>
  </w:style>
  <w:style w:type="table" w:customStyle="1" w:styleId="TableGrid1">
    <w:name w:val="Table Grid1"/>
    <w:basedOn w:val="TableNormal"/>
    <w:next w:val="TableGrid"/>
    <w:rsid w:val="00CD4F4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CD4F4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ibliography">
    <w:name w:val="Bibliography"/>
    <w:basedOn w:val="Normal"/>
    <w:next w:val="Normal"/>
    <w:uiPriority w:val="37"/>
    <w:semiHidden/>
    <w:unhideWhenUsed/>
    <w:rsid w:val="007742F3"/>
  </w:style>
  <w:style w:type="paragraph" w:styleId="BlockText">
    <w:name w:val="Block Text"/>
    <w:basedOn w:val="Normal"/>
    <w:rsid w:val="007742F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742F3"/>
    <w:pPr>
      <w:spacing w:after="120" w:line="480" w:lineRule="auto"/>
    </w:pPr>
  </w:style>
  <w:style w:type="character" w:customStyle="1" w:styleId="BodyText2Char">
    <w:name w:val="Body Text 2 Char"/>
    <w:basedOn w:val="DefaultParagraphFont"/>
    <w:link w:val="BodyText2"/>
    <w:rsid w:val="007742F3"/>
    <w:rPr>
      <w:lang w:eastAsia="en-US"/>
    </w:rPr>
  </w:style>
  <w:style w:type="paragraph" w:styleId="BodyText3">
    <w:name w:val="Body Text 3"/>
    <w:basedOn w:val="Normal"/>
    <w:link w:val="BodyText3Char"/>
    <w:rsid w:val="007742F3"/>
    <w:pPr>
      <w:spacing w:after="120"/>
    </w:pPr>
    <w:rPr>
      <w:sz w:val="16"/>
      <w:szCs w:val="16"/>
    </w:rPr>
  </w:style>
  <w:style w:type="character" w:customStyle="1" w:styleId="BodyText3Char">
    <w:name w:val="Body Text 3 Char"/>
    <w:basedOn w:val="DefaultParagraphFont"/>
    <w:link w:val="BodyText3"/>
    <w:rsid w:val="007742F3"/>
    <w:rPr>
      <w:sz w:val="16"/>
      <w:szCs w:val="16"/>
      <w:lang w:eastAsia="en-US"/>
    </w:rPr>
  </w:style>
  <w:style w:type="paragraph" w:styleId="BodyTextFirstIndent">
    <w:name w:val="Body Text First Indent"/>
    <w:basedOn w:val="BodyText"/>
    <w:link w:val="BodyTextFirstIndentChar"/>
    <w:rsid w:val="007742F3"/>
    <w:pPr>
      <w:ind w:firstLine="360"/>
    </w:pPr>
    <w:rPr>
      <w:rFonts w:eastAsia="Times New Roman"/>
    </w:rPr>
  </w:style>
  <w:style w:type="character" w:customStyle="1" w:styleId="BodyTextFirstIndentChar">
    <w:name w:val="Body Text First Indent Char"/>
    <w:basedOn w:val="BodyTextChar"/>
    <w:link w:val="BodyTextFirstIndent"/>
    <w:rsid w:val="007742F3"/>
    <w:rPr>
      <w:rFonts w:eastAsia="SimSun"/>
      <w:lang w:eastAsia="en-US"/>
    </w:rPr>
  </w:style>
  <w:style w:type="paragraph" w:styleId="BodyTextIndent">
    <w:name w:val="Body Text Indent"/>
    <w:basedOn w:val="Normal"/>
    <w:link w:val="BodyTextIndentChar"/>
    <w:rsid w:val="007742F3"/>
    <w:pPr>
      <w:spacing w:after="120"/>
      <w:ind w:left="283"/>
    </w:pPr>
  </w:style>
  <w:style w:type="character" w:customStyle="1" w:styleId="BodyTextIndentChar">
    <w:name w:val="Body Text Indent Char"/>
    <w:basedOn w:val="DefaultParagraphFont"/>
    <w:link w:val="BodyTextIndent"/>
    <w:rsid w:val="007742F3"/>
    <w:rPr>
      <w:lang w:eastAsia="en-US"/>
    </w:rPr>
  </w:style>
  <w:style w:type="paragraph" w:styleId="BodyTextFirstIndent2">
    <w:name w:val="Body Text First Indent 2"/>
    <w:basedOn w:val="BodyTextIndent"/>
    <w:link w:val="BodyTextFirstIndent2Char"/>
    <w:rsid w:val="007742F3"/>
    <w:pPr>
      <w:spacing w:after="180"/>
      <w:ind w:left="360" w:firstLine="360"/>
    </w:pPr>
  </w:style>
  <w:style w:type="character" w:customStyle="1" w:styleId="BodyTextFirstIndent2Char">
    <w:name w:val="Body Text First Indent 2 Char"/>
    <w:basedOn w:val="BodyTextIndentChar"/>
    <w:link w:val="BodyTextFirstIndent2"/>
    <w:rsid w:val="007742F3"/>
    <w:rPr>
      <w:lang w:eastAsia="en-US"/>
    </w:rPr>
  </w:style>
  <w:style w:type="paragraph" w:styleId="BodyTextIndent2">
    <w:name w:val="Body Text Indent 2"/>
    <w:basedOn w:val="Normal"/>
    <w:link w:val="BodyTextIndent2Char"/>
    <w:rsid w:val="007742F3"/>
    <w:pPr>
      <w:spacing w:after="120" w:line="480" w:lineRule="auto"/>
      <w:ind w:left="283"/>
    </w:pPr>
  </w:style>
  <w:style w:type="character" w:customStyle="1" w:styleId="BodyTextIndent2Char">
    <w:name w:val="Body Text Indent 2 Char"/>
    <w:basedOn w:val="DefaultParagraphFont"/>
    <w:link w:val="BodyTextIndent2"/>
    <w:rsid w:val="007742F3"/>
    <w:rPr>
      <w:lang w:eastAsia="en-US"/>
    </w:rPr>
  </w:style>
  <w:style w:type="paragraph" w:styleId="BodyTextIndent3">
    <w:name w:val="Body Text Indent 3"/>
    <w:basedOn w:val="Normal"/>
    <w:link w:val="BodyTextIndent3Char"/>
    <w:rsid w:val="007742F3"/>
    <w:pPr>
      <w:spacing w:after="120"/>
      <w:ind w:left="283"/>
    </w:pPr>
    <w:rPr>
      <w:sz w:val="16"/>
      <w:szCs w:val="16"/>
    </w:rPr>
  </w:style>
  <w:style w:type="character" w:customStyle="1" w:styleId="BodyTextIndent3Char">
    <w:name w:val="Body Text Indent 3 Char"/>
    <w:basedOn w:val="DefaultParagraphFont"/>
    <w:link w:val="BodyTextIndent3"/>
    <w:rsid w:val="007742F3"/>
    <w:rPr>
      <w:sz w:val="16"/>
      <w:szCs w:val="16"/>
      <w:lang w:eastAsia="en-US"/>
    </w:rPr>
  </w:style>
  <w:style w:type="paragraph" w:styleId="Closing">
    <w:name w:val="Closing"/>
    <w:basedOn w:val="Normal"/>
    <w:link w:val="ClosingChar"/>
    <w:rsid w:val="007742F3"/>
    <w:pPr>
      <w:spacing w:after="0"/>
      <w:ind w:left="4252"/>
    </w:pPr>
  </w:style>
  <w:style w:type="character" w:customStyle="1" w:styleId="ClosingChar">
    <w:name w:val="Closing Char"/>
    <w:basedOn w:val="DefaultParagraphFont"/>
    <w:link w:val="Closing"/>
    <w:rsid w:val="007742F3"/>
    <w:rPr>
      <w:lang w:eastAsia="en-US"/>
    </w:rPr>
  </w:style>
  <w:style w:type="paragraph" w:styleId="Date">
    <w:name w:val="Date"/>
    <w:basedOn w:val="Normal"/>
    <w:next w:val="Normal"/>
    <w:link w:val="DateChar"/>
    <w:rsid w:val="007742F3"/>
  </w:style>
  <w:style w:type="character" w:customStyle="1" w:styleId="DateChar">
    <w:name w:val="Date Char"/>
    <w:basedOn w:val="DefaultParagraphFont"/>
    <w:link w:val="Date"/>
    <w:rsid w:val="007742F3"/>
    <w:rPr>
      <w:lang w:eastAsia="en-US"/>
    </w:rPr>
  </w:style>
  <w:style w:type="paragraph" w:styleId="E-mailSignature">
    <w:name w:val="E-mail Signature"/>
    <w:basedOn w:val="Normal"/>
    <w:link w:val="E-mailSignatureChar"/>
    <w:rsid w:val="007742F3"/>
    <w:pPr>
      <w:spacing w:after="0"/>
    </w:pPr>
  </w:style>
  <w:style w:type="character" w:customStyle="1" w:styleId="E-mailSignatureChar">
    <w:name w:val="E-mail Signature Char"/>
    <w:basedOn w:val="DefaultParagraphFont"/>
    <w:link w:val="E-mailSignature"/>
    <w:rsid w:val="007742F3"/>
    <w:rPr>
      <w:lang w:eastAsia="en-US"/>
    </w:rPr>
  </w:style>
  <w:style w:type="paragraph" w:styleId="EnvelopeAddress">
    <w:name w:val="envelope address"/>
    <w:basedOn w:val="Normal"/>
    <w:rsid w:val="007742F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42F3"/>
    <w:pPr>
      <w:spacing w:after="0"/>
    </w:pPr>
    <w:rPr>
      <w:rFonts w:asciiTheme="majorHAnsi" w:eastAsiaTheme="majorEastAsia" w:hAnsiTheme="majorHAnsi" w:cstheme="majorBidi"/>
    </w:rPr>
  </w:style>
  <w:style w:type="paragraph" w:styleId="HTMLAddress">
    <w:name w:val="HTML Address"/>
    <w:basedOn w:val="Normal"/>
    <w:link w:val="HTMLAddressChar"/>
    <w:rsid w:val="007742F3"/>
    <w:pPr>
      <w:spacing w:after="0"/>
    </w:pPr>
    <w:rPr>
      <w:i/>
      <w:iCs/>
    </w:rPr>
  </w:style>
  <w:style w:type="character" w:customStyle="1" w:styleId="HTMLAddressChar">
    <w:name w:val="HTML Address Char"/>
    <w:basedOn w:val="DefaultParagraphFont"/>
    <w:link w:val="HTMLAddress"/>
    <w:rsid w:val="007742F3"/>
    <w:rPr>
      <w:i/>
      <w:iCs/>
      <w:lang w:eastAsia="en-US"/>
    </w:rPr>
  </w:style>
  <w:style w:type="paragraph" w:styleId="Index3">
    <w:name w:val="index 3"/>
    <w:basedOn w:val="Normal"/>
    <w:next w:val="Normal"/>
    <w:rsid w:val="007742F3"/>
    <w:pPr>
      <w:spacing w:after="0"/>
      <w:ind w:left="600" w:hanging="200"/>
    </w:pPr>
  </w:style>
  <w:style w:type="paragraph" w:styleId="Index4">
    <w:name w:val="index 4"/>
    <w:basedOn w:val="Normal"/>
    <w:next w:val="Normal"/>
    <w:rsid w:val="007742F3"/>
    <w:pPr>
      <w:spacing w:after="0"/>
      <w:ind w:left="800" w:hanging="200"/>
    </w:pPr>
  </w:style>
  <w:style w:type="paragraph" w:styleId="Index5">
    <w:name w:val="index 5"/>
    <w:basedOn w:val="Normal"/>
    <w:next w:val="Normal"/>
    <w:rsid w:val="007742F3"/>
    <w:pPr>
      <w:spacing w:after="0"/>
      <w:ind w:left="1000" w:hanging="200"/>
    </w:pPr>
  </w:style>
  <w:style w:type="paragraph" w:styleId="Index6">
    <w:name w:val="index 6"/>
    <w:basedOn w:val="Normal"/>
    <w:next w:val="Normal"/>
    <w:rsid w:val="007742F3"/>
    <w:pPr>
      <w:spacing w:after="0"/>
      <w:ind w:left="1200" w:hanging="200"/>
    </w:pPr>
  </w:style>
  <w:style w:type="paragraph" w:styleId="Index7">
    <w:name w:val="index 7"/>
    <w:basedOn w:val="Normal"/>
    <w:next w:val="Normal"/>
    <w:rsid w:val="007742F3"/>
    <w:pPr>
      <w:spacing w:after="0"/>
      <w:ind w:left="1400" w:hanging="200"/>
    </w:pPr>
  </w:style>
  <w:style w:type="paragraph" w:styleId="Index8">
    <w:name w:val="index 8"/>
    <w:basedOn w:val="Normal"/>
    <w:next w:val="Normal"/>
    <w:rsid w:val="007742F3"/>
    <w:pPr>
      <w:spacing w:after="0"/>
      <w:ind w:left="1600" w:hanging="200"/>
    </w:pPr>
  </w:style>
  <w:style w:type="paragraph" w:styleId="Index9">
    <w:name w:val="index 9"/>
    <w:basedOn w:val="Normal"/>
    <w:next w:val="Normal"/>
    <w:rsid w:val="007742F3"/>
    <w:pPr>
      <w:spacing w:after="0"/>
      <w:ind w:left="1800" w:hanging="200"/>
    </w:pPr>
  </w:style>
  <w:style w:type="paragraph" w:styleId="IndexHeading">
    <w:name w:val="index heading"/>
    <w:basedOn w:val="Normal"/>
    <w:next w:val="Index1"/>
    <w:rsid w:val="007742F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742F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742F3"/>
    <w:rPr>
      <w:i/>
      <w:iCs/>
      <w:color w:val="4472C4" w:themeColor="accent1"/>
      <w:lang w:eastAsia="en-US"/>
    </w:rPr>
  </w:style>
  <w:style w:type="paragraph" w:styleId="ListContinue2">
    <w:name w:val="List Continue 2"/>
    <w:basedOn w:val="Normal"/>
    <w:rsid w:val="007742F3"/>
    <w:pPr>
      <w:spacing w:after="120"/>
      <w:ind w:left="566"/>
      <w:contextualSpacing/>
    </w:pPr>
  </w:style>
  <w:style w:type="paragraph" w:styleId="ListContinue3">
    <w:name w:val="List Continue 3"/>
    <w:basedOn w:val="Normal"/>
    <w:rsid w:val="007742F3"/>
    <w:pPr>
      <w:spacing w:after="120"/>
      <w:ind w:left="849"/>
      <w:contextualSpacing/>
    </w:pPr>
  </w:style>
  <w:style w:type="paragraph" w:styleId="ListContinue4">
    <w:name w:val="List Continue 4"/>
    <w:basedOn w:val="Normal"/>
    <w:rsid w:val="007742F3"/>
    <w:pPr>
      <w:spacing w:after="120"/>
      <w:ind w:left="1132"/>
      <w:contextualSpacing/>
    </w:pPr>
  </w:style>
  <w:style w:type="paragraph" w:styleId="ListContinue5">
    <w:name w:val="List Continue 5"/>
    <w:basedOn w:val="Normal"/>
    <w:rsid w:val="007742F3"/>
    <w:pPr>
      <w:spacing w:after="120"/>
      <w:ind w:left="1415"/>
      <w:contextualSpacing/>
    </w:pPr>
  </w:style>
  <w:style w:type="paragraph" w:styleId="ListNumber3">
    <w:name w:val="List Number 3"/>
    <w:basedOn w:val="Normal"/>
    <w:rsid w:val="007742F3"/>
    <w:pPr>
      <w:numPr>
        <w:numId w:val="10"/>
      </w:numPr>
      <w:contextualSpacing/>
    </w:pPr>
  </w:style>
  <w:style w:type="paragraph" w:styleId="ListNumber4">
    <w:name w:val="List Number 4"/>
    <w:basedOn w:val="Normal"/>
    <w:rsid w:val="007742F3"/>
    <w:pPr>
      <w:numPr>
        <w:numId w:val="11"/>
      </w:numPr>
      <w:contextualSpacing/>
    </w:pPr>
  </w:style>
  <w:style w:type="paragraph" w:styleId="ListNumber5">
    <w:name w:val="List Number 5"/>
    <w:basedOn w:val="Normal"/>
    <w:rsid w:val="007742F3"/>
    <w:pPr>
      <w:numPr>
        <w:numId w:val="12"/>
      </w:numPr>
      <w:contextualSpacing/>
    </w:pPr>
  </w:style>
  <w:style w:type="paragraph" w:styleId="MacroText">
    <w:name w:val="macro"/>
    <w:link w:val="MacroTextChar"/>
    <w:rsid w:val="007742F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742F3"/>
    <w:rPr>
      <w:rFonts w:ascii="Consolas" w:hAnsi="Consolas"/>
      <w:lang w:eastAsia="en-US"/>
    </w:rPr>
  </w:style>
  <w:style w:type="paragraph" w:styleId="MessageHeader">
    <w:name w:val="Message Header"/>
    <w:basedOn w:val="Normal"/>
    <w:link w:val="MessageHeaderChar"/>
    <w:rsid w:val="007742F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42F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742F3"/>
    <w:rPr>
      <w:lang w:eastAsia="en-US"/>
    </w:rPr>
  </w:style>
  <w:style w:type="paragraph" w:styleId="NormalIndent">
    <w:name w:val="Normal Indent"/>
    <w:basedOn w:val="Normal"/>
    <w:rsid w:val="007742F3"/>
    <w:pPr>
      <w:ind w:left="720"/>
    </w:pPr>
  </w:style>
  <w:style w:type="paragraph" w:styleId="NoteHeading">
    <w:name w:val="Note Heading"/>
    <w:basedOn w:val="Normal"/>
    <w:next w:val="Normal"/>
    <w:link w:val="NoteHeadingChar"/>
    <w:rsid w:val="007742F3"/>
    <w:pPr>
      <w:spacing w:after="0"/>
    </w:pPr>
  </w:style>
  <w:style w:type="character" w:customStyle="1" w:styleId="NoteHeadingChar">
    <w:name w:val="Note Heading Char"/>
    <w:basedOn w:val="DefaultParagraphFont"/>
    <w:link w:val="NoteHeading"/>
    <w:rsid w:val="007742F3"/>
    <w:rPr>
      <w:lang w:eastAsia="en-US"/>
    </w:rPr>
  </w:style>
  <w:style w:type="paragraph" w:styleId="PlainText">
    <w:name w:val="Plain Text"/>
    <w:basedOn w:val="Normal"/>
    <w:link w:val="PlainTextChar"/>
    <w:rsid w:val="007742F3"/>
    <w:pPr>
      <w:spacing w:after="0"/>
    </w:pPr>
    <w:rPr>
      <w:rFonts w:ascii="Consolas" w:hAnsi="Consolas"/>
      <w:sz w:val="21"/>
      <w:szCs w:val="21"/>
    </w:rPr>
  </w:style>
  <w:style w:type="character" w:customStyle="1" w:styleId="PlainTextChar">
    <w:name w:val="Plain Text Char"/>
    <w:basedOn w:val="DefaultParagraphFont"/>
    <w:link w:val="PlainText"/>
    <w:rsid w:val="007742F3"/>
    <w:rPr>
      <w:rFonts w:ascii="Consolas" w:hAnsi="Consolas"/>
      <w:sz w:val="21"/>
      <w:szCs w:val="21"/>
      <w:lang w:eastAsia="en-US"/>
    </w:rPr>
  </w:style>
  <w:style w:type="paragraph" w:styleId="Quote">
    <w:name w:val="Quote"/>
    <w:basedOn w:val="Normal"/>
    <w:next w:val="Normal"/>
    <w:link w:val="QuoteChar"/>
    <w:uiPriority w:val="29"/>
    <w:qFormat/>
    <w:rsid w:val="007742F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42F3"/>
    <w:rPr>
      <w:i/>
      <w:iCs/>
      <w:color w:val="404040" w:themeColor="text1" w:themeTint="BF"/>
      <w:lang w:eastAsia="en-US"/>
    </w:rPr>
  </w:style>
  <w:style w:type="paragraph" w:styleId="Salutation">
    <w:name w:val="Salutation"/>
    <w:basedOn w:val="Normal"/>
    <w:next w:val="Normal"/>
    <w:link w:val="SalutationChar"/>
    <w:rsid w:val="007742F3"/>
  </w:style>
  <w:style w:type="character" w:customStyle="1" w:styleId="SalutationChar">
    <w:name w:val="Salutation Char"/>
    <w:basedOn w:val="DefaultParagraphFont"/>
    <w:link w:val="Salutation"/>
    <w:rsid w:val="007742F3"/>
    <w:rPr>
      <w:lang w:eastAsia="en-US"/>
    </w:rPr>
  </w:style>
  <w:style w:type="paragraph" w:styleId="Signature">
    <w:name w:val="Signature"/>
    <w:basedOn w:val="Normal"/>
    <w:link w:val="SignatureChar"/>
    <w:rsid w:val="007742F3"/>
    <w:pPr>
      <w:spacing w:after="0"/>
      <w:ind w:left="4252"/>
    </w:pPr>
  </w:style>
  <w:style w:type="character" w:customStyle="1" w:styleId="SignatureChar">
    <w:name w:val="Signature Char"/>
    <w:basedOn w:val="DefaultParagraphFont"/>
    <w:link w:val="Signature"/>
    <w:rsid w:val="007742F3"/>
    <w:rPr>
      <w:lang w:eastAsia="en-US"/>
    </w:rPr>
  </w:style>
  <w:style w:type="paragraph" w:styleId="Subtitle">
    <w:name w:val="Subtitle"/>
    <w:basedOn w:val="Normal"/>
    <w:next w:val="Normal"/>
    <w:link w:val="SubtitleChar"/>
    <w:qFormat/>
    <w:rsid w:val="007742F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42F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742F3"/>
    <w:pPr>
      <w:spacing w:after="0"/>
      <w:ind w:left="200" w:hanging="200"/>
    </w:pPr>
  </w:style>
  <w:style w:type="paragraph" w:styleId="TableofFigures">
    <w:name w:val="table of figures"/>
    <w:basedOn w:val="Normal"/>
    <w:next w:val="Normal"/>
    <w:rsid w:val="007742F3"/>
    <w:pPr>
      <w:spacing w:after="0"/>
    </w:pPr>
  </w:style>
  <w:style w:type="paragraph" w:styleId="Title">
    <w:name w:val="Title"/>
    <w:basedOn w:val="Normal"/>
    <w:next w:val="Normal"/>
    <w:link w:val="TitleChar"/>
    <w:qFormat/>
    <w:rsid w:val="007742F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742F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742F3"/>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tiff"/><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9096</Words>
  <Characters>51848</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60823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PCG51_07_3GPP-WP-PCR-16-8-Alt5-v005</cp:lastModifiedBy>
  <cp:revision>5</cp:revision>
  <cp:lastPrinted>2019-02-25T14:05:00Z</cp:lastPrinted>
  <dcterms:created xsi:type="dcterms:W3CDTF">2024-05-06T12:51:00Z</dcterms:created>
  <dcterms:modified xsi:type="dcterms:W3CDTF">2024-05-15T09:48:00Z</dcterms:modified>
</cp:coreProperties>
</file>