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375CB" w14:textId="78A08C6A" w:rsidR="00CE4D16" w:rsidRPr="00CE4D16" w:rsidRDefault="00CE4D16" w:rsidP="00CE4D16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val="en-US" w:eastAsia="ja-JP"/>
        </w:rPr>
      </w:pPr>
      <w:bookmarkStart w:id="0" w:name="_Hlk110438726"/>
      <w:bookmarkStart w:id="1" w:name="Title"/>
      <w:bookmarkStart w:id="2" w:name="DocumentFor"/>
      <w:bookmarkEnd w:id="1"/>
      <w:bookmarkEnd w:id="2"/>
      <w:r w:rsidRPr="00CE4D16">
        <w:rPr>
          <w:rFonts w:ascii="Arial" w:eastAsia="Yu Mincho" w:hAnsi="Arial"/>
          <w:b/>
          <w:noProof/>
          <w:sz w:val="24"/>
          <w:lang w:val="en-US"/>
        </w:rPr>
        <w:t>3GPP TSG RAN WG2#127</w:t>
      </w:r>
      <w:r w:rsidRPr="00CE4D16">
        <w:rPr>
          <w:rFonts w:ascii="Arial" w:eastAsia="Yu Mincho" w:hAnsi="Arial"/>
          <w:b/>
          <w:noProof/>
          <w:sz w:val="24"/>
          <w:lang w:val="en-US"/>
        </w:rPr>
        <w:tab/>
        <w:t>R2-24062</w:t>
      </w:r>
      <w:r w:rsidRPr="00CE4D16">
        <w:rPr>
          <w:rFonts w:ascii="Arial" w:eastAsia="Yu Mincho" w:hAnsi="Arial" w:hint="eastAsia"/>
          <w:b/>
          <w:noProof/>
          <w:sz w:val="24"/>
          <w:lang w:val="en-US"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val="en-US" w:eastAsia="ja-JP"/>
        </w:rPr>
        <w:t>9</w:t>
      </w:r>
    </w:p>
    <w:p w14:paraId="3CEAD86B" w14:textId="77777777" w:rsidR="00CE4D16" w:rsidRPr="00CE4D16" w:rsidRDefault="00CE4D16" w:rsidP="00CE4D16">
      <w:pPr>
        <w:tabs>
          <w:tab w:val="right" w:pos="9216"/>
        </w:tabs>
        <w:rPr>
          <w:rFonts w:ascii="Arial" w:eastAsia="Yu Mincho" w:hAnsi="Arial"/>
          <w:b/>
          <w:noProof/>
          <w:sz w:val="24"/>
          <w:lang w:val="en-US"/>
        </w:rPr>
      </w:pPr>
      <w:r w:rsidRPr="00CE4D16">
        <w:rPr>
          <w:rFonts w:ascii="Arial" w:eastAsia="Yu Mincho" w:hAnsi="Arial"/>
          <w:b/>
          <w:noProof/>
          <w:sz w:val="24"/>
          <w:lang w:val="en-US"/>
        </w:rPr>
        <w:t>Maastricht, Netherlands, 19th - 23rd August 2024</w:t>
      </w:r>
    </w:p>
    <w:p w14:paraId="187D5B76" w14:textId="77777777" w:rsidR="00CE4D16" w:rsidRPr="00CE4D16" w:rsidRDefault="00CE4D16" w:rsidP="00CE4D1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  <w:lang w:val="en-US"/>
        </w:rPr>
      </w:pPr>
    </w:p>
    <w:p w14:paraId="1C2A8880" w14:textId="77777777" w:rsidR="00CE4D16" w:rsidRPr="00CE4D16" w:rsidRDefault="00CE4D16" w:rsidP="00CE4D16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val="en-US" w:eastAsia="ko-KR"/>
        </w:rPr>
      </w:pPr>
    </w:p>
    <w:p w14:paraId="46F2107A" w14:textId="53A840F4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3" w:name="_Ref452454252"/>
      <w:bookmarkEnd w:id="3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4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4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3853ADC9" w:rsidR="007645EF" w:rsidRPr="00DE14A5" w:rsidRDefault="007645EF" w:rsidP="007645EF">
      <w:pPr>
        <w:spacing w:after="60"/>
        <w:ind w:left="1985" w:hanging="1985"/>
        <w:rPr>
          <w:rFonts w:ascii="Calibri" w:eastAsia="Yu Mincho" w:hAnsi="Calibri" w:cs="Arial" w:hint="eastAsia"/>
          <w:bCs/>
          <w:sz w:val="22"/>
          <w:szCs w:val="22"/>
          <w:lang w:eastAsia="ja-JP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CE4D16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CE4D16">
        <w:rPr>
          <w:rFonts w:ascii="Calibri" w:hAnsi="Calibri" w:cs="Arial"/>
          <w:b/>
          <w:sz w:val="22"/>
          <w:szCs w:val="22"/>
          <w:lang w:val="fr-FR"/>
        </w:rPr>
        <w:t>Source:</w:t>
      </w:r>
      <w:r w:rsidRPr="00CE4D16">
        <w:rPr>
          <w:rFonts w:ascii="Calibri" w:hAnsi="Calibri" w:cs="Arial"/>
          <w:bCs/>
          <w:sz w:val="22"/>
          <w:szCs w:val="22"/>
          <w:lang w:val="fr-FR"/>
        </w:rPr>
        <w:tab/>
      </w:r>
      <w:r w:rsidRPr="00CE4D16">
        <w:rPr>
          <w:rFonts w:ascii="Arial" w:hAnsi="Arial" w:cs="Arial"/>
          <w:bCs/>
          <w:lang w:val="fr-FR"/>
        </w:rPr>
        <w:t>RAN3</w:t>
      </w:r>
    </w:p>
    <w:p w14:paraId="15CEB6D4" w14:textId="7DF6A48D" w:rsidR="007645EF" w:rsidRPr="00CE4D16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CE4D16">
        <w:rPr>
          <w:rFonts w:ascii="Calibri" w:hAnsi="Calibri" w:cs="Arial"/>
          <w:b/>
          <w:sz w:val="22"/>
          <w:szCs w:val="22"/>
          <w:lang w:val="fr-FR"/>
        </w:rPr>
        <w:t>To:</w:t>
      </w:r>
      <w:r w:rsidRPr="00CE4D16">
        <w:rPr>
          <w:rFonts w:ascii="Calibri" w:hAnsi="Calibri" w:cs="Arial"/>
          <w:bCs/>
          <w:sz w:val="22"/>
          <w:szCs w:val="22"/>
          <w:lang w:val="fr-FR"/>
        </w:rPr>
        <w:tab/>
      </w:r>
      <w:r w:rsidR="00CB1D05" w:rsidRPr="00CE4D16">
        <w:rPr>
          <w:rFonts w:ascii="Calibri" w:hAnsi="Calibri" w:cs="Arial"/>
          <w:bCs/>
          <w:sz w:val="22"/>
          <w:szCs w:val="22"/>
          <w:lang w:val="fr-FR"/>
        </w:rPr>
        <w:t>SA</w:t>
      </w:r>
      <w:r w:rsidR="00945C14" w:rsidRPr="00CE4D16">
        <w:rPr>
          <w:rFonts w:ascii="Calibri" w:hAnsi="Calibri" w:cs="Arial"/>
          <w:bCs/>
          <w:sz w:val="22"/>
          <w:szCs w:val="22"/>
          <w:lang w:val="fr-FR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CE4D16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</w:rPr>
      </w:pPr>
      <w:r w:rsidRPr="00CE4D16">
        <w:rPr>
          <w:rFonts w:ascii="Calibri" w:hAnsi="Calibri" w:cs="Arial"/>
          <w:b/>
          <w:sz w:val="22"/>
          <w:szCs w:val="22"/>
        </w:rPr>
        <w:t>Contact Person:</w:t>
      </w:r>
      <w:bookmarkStart w:id="5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5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6AAFFD00" w:rsidR="007645EF" w:rsidRPr="00DE14A5" w:rsidRDefault="007645EF" w:rsidP="007645EF">
      <w:pPr>
        <w:tabs>
          <w:tab w:val="left" w:pos="2268"/>
        </w:tabs>
        <w:rPr>
          <w:rFonts w:ascii="Calibri" w:eastAsia="Yu Mincho" w:hAnsi="Calibri" w:cs="Calibri" w:hint="eastAsia"/>
          <w:bCs/>
          <w:sz w:val="24"/>
          <w:szCs w:val="22"/>
          <w:lang w:eastAsia="ja-JP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6" w:name="_Hlk149836526"/>
      <w:bookmarkStart w:id="7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air-interface” is measured by the gNB-DU in TS 28.552 and by NRCellCU (for non-split and 2-split scenario) and GNBCUUPFunction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in gNB-DU” is measured by the gNB-DU in TS 28.552 and by NRCellCU (for non-split and 2-split scenario) and GNBCUUPFunction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>The “UL PDCP SDU Loss Rate” is measured by the GNBCUUPFunction and NRCellCU in TS 28.552 and by GNBCUUPFunction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>S-TMSI is not available in the gNB-DU and in the gNB-CU-UP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>available in the gNB-CU-CP.</w:t>
      </w:r>
    </w:p>
    <w:bookmarkEnd w:id="6"/>
    <w:bookmarkEnd w:id="7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lastRenderedPageBreak/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272F4AB7" w:rsidR="0059191F" w:rsidRDefault="0059191F" w:rsidP="00DE14A5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5C52253F" w:rsidR="0059191F" w:rsidRPr="005B7938" w:rsidRDefault="0059191F" w:rsidP="00DE14A5">
      <w:pPr>
        <w:tabs>
          <w:tab w:val="left" w:pos="4111"/>
          <w:tab w:val="left" w:pos="6946"/>
        </w:tabs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0883A" w14:textId="77777777" w:rsidR="00FF3A54" w:rsidRDefault="00FF3A54">
      <w:r>
        <w:separator/>
      </w:r>
    </w:p>
  </w:endnote>
  <w:endnote w:type="continuationSeparator" w:id="0">
    <w:p w14:paraId="36D55FBD" w14:textId="77777777" w:rsidR="00FF3A54" w:rsidRDefault="00FF3A54">
      <w:r>
        <w:continuationSeparator/>
      </w:r>
    </w:p>
  </w:endnote>
  <w:endnote w:type="continuationNotice" w:id="1">
    <w:p w14:paraId="0975E820" w14:textId="77777777" w:rsidR="00FF3A54" w:rsidRDefault="00FF3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CE82A" w14:textId="77777777" w:rsidR="00FF3A54" w:rsidRDefault="00FF3A54">
      <w:r>
        <w:separator/>
      </w:r>
    </w:p>
  </w:footnote>
  <w:footnote w:type="continuationSeparator" w:id="0">
    <w:p w14:paraId="1A3C8C45" w14:textId="77777777" w:rsidR="00FF3A54" w:rsidRDefault="00FF3A54">
      <w:r>
        <w:continuationSeparator/>
      </w:r>
    </w:p>
  </w:footnote>
  <w:footnote w:type="continuationNotice" w:id="1">
    <w:p w14:paraId="21C21310" w14:textId="77777777" w:rsidR="00FF3A54" w:rsidRDefault="00FF3A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C7891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4D16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4A5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5F6A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3A54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2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2357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Draft v2</cp:lastModifiedBy>
  <cp:revision>3</cp:revision>
  <dcterms:created xsi:type="dcterms:W3CDTF">2024-07-19T13:14:00Z</dcterms:created>
  <dcterms:modified xsi:type="dcterms:W3CDTF">2024-07-19T13:15:00Z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