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[AT127][012][Emergency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proofErr w:type="spellStart"/>
            <w:r w:rsidRPr="00F16619">
              <w:rPr>
                <w:i/>
                <w:iCs/>
                <w:highlight w:val="green"/>
              </w:rPr>
              <w:t>cellBarred</w:t>
            </w:r>
            <w:proofErr w:type="spellEnd"/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</w:t>
            </w:r>
            <w:proofErr w:type="spellStart"/>
            <w:r w:rsidRPr="00F16619">
              <w:rPr>
                <w:highlight w:val="green"/>
              </w:rPr>
              <w:t>RedCap</w:t>
            </w:r>
            <w:proofErr w:type="spellEnd"/>
            <w:r w:rsidRPr="00F16619">
              <w:rPr>
                <w:highlight w:val="green"/>
              </w:rPr>
              <w:t xml:space="preserve"> UE supports only half duplex FDD operation, </w:t>
            </w:r>
            <w:proofErr w:type="spellStart"/>
            <w:r w:rsidRPr="00F16619">
              <w:rPr>
                <w:i/>
                <w:iCs/>
                <w:highlight w:val="green"/>
              </w:rPr>
              <w:t>halfDuplexRedCapAllowed</w:t>
            </w:r>
            <w:proofErr w:type="spellEnd"/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BodyText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proofErr w:type="spellStart"/>
        <w:r w:rsidR="00FE17DA" w:rsidRPr="00141B85">
          <w:rPr>
            <w:i/>
            <w:sz w:val="20"/>
            <w:szCs w:val="20"/>
          </w:rPr>
          <w:t>trackingAreaCode</w:t>
        </w:r>
        <w:proofErr w:type="spellEnd"/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</w:t>
      </w:r>
      <w:proofErr w:type="spellStart"/>
      <w:r w:rsidR="005212F5">
        <w:t>may be</w:t>
      </w:r>
      <w:proofErr w:type="spellEnd"/>
      <w:r w:rsidR="005212F5">
        <w:t xml:space="preserve">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 xml:space="preserve">Please use the </w:t>
      </w:r>
      <w:proofErr w:type="spellStart"/>
      <w:r w:rsidR="005212F5">
        <w:t>RedCap</w:t>
      </w:r>
      <w:proofErr w:type="spellEnd"/>
      <w:r w:rsidR="005212F5">
        <w:t xml:space="preserve"> case as the example for your generic wording suggestion.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5975"/>
        <w:gridCol w:w="2400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</w:t>
            </w:r>
            <w:proofErr w:type="spellStart"/>
            <w:r>
              <w:t>rapp</w:t>
            </w:r>
            <w:proofErr w:type="spellEnd"/>
            <w:r>
              <w:t>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ListParagraph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5B230FE1" w:rsidR="00FE17DA" w:rsidRPr="009F7E1E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6237" w:type="dxa"/>
          </w:tcPr>
          <w:p w14:paraId="38801E35" w14:textId="2E7DF92E" w:rsidR="00FE17DA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There are “other barring conditions” for which UE considers the cell as barred.</w:t>
            </w:r>
          </w:p>
          <w:p w14:paraId="38074FE6" w14:textId="4DCF6248" w:rsidR="009F7E1E" w:rsidRPr="009F7E1E" w:rsidRDefault="009F7E1E" w:rsidP="009F7E1E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yellow"/>
                <w:lang w:eastAsia="ko-KR"/>
              </w:rPr>
            </w:pPr>
            <w:r w:rsidRPr="009F7E1E">
              <w:rPr>
                <w:rFonts w:eastAsia="Malgun Gothic" w:hint="eastAsia"/>
                <w:highlight w:val="yellow"/>
                <w:lang w:eastAsia="ko-KR"/>
              </w:rPr>
              <w:t>C</w:t>
            </w:r>
            <w:r w:rsidRPr="009F7E1E">
              <w:rPr>
                <w:rFonts w:eastAsia="Malgun Gothic"/>
                <w:highlight w:val="yellow"/>
                <w:lang w:eastAsia="ko-KR"/>
              </w:rPr>
              <w:t>ondition 1</w:t>
            </w:r>
            <w:r w:rsidRPr="009F7E1E">
              <w:rPr>
                <w:rFonts w:eastAsia="Malgun Gothic"/>
                <w:lang w:eastAsia="ko-KR"/>
              </w:rPr>
              <w:t xml:space="preserve"> (i.e., Vivo’s condition</w:t>
            </w:r>
            <w:r>
              <w:rPr>
                <w:rFonts w:eastAsia="Malgun Gothic"/>
                <w:lang w:eastAsia="ko-KR"/>
              </w:rPr>
              <w:t xml:space="preserve">, </w:t>
            </w:r>
            <w:r w:rsidRPr="009F7E1E">
              <w:rPr>
                <w:rFonts w:eastAsia="Malgun Gothic"/>
                <w:lang w:eastAsia="ko-KR"/>
              </w:rPr>
              <w:t>See highlighted text below)</w:t>
            </w:r>
          </w:p>
          <w:p w14:paraId="1BF6E108" w14:textId="2E8C42D2" w:rsidR="009F7E1E" w:rsidRPr="006E4572" w:rsidRDefault="009F7E1E" w:rsidP="00F16619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green"/>
                <w:lang w:eastAsia="ko-KR"/>
              </w:rPr>
            </w:pPr>
            <w:r w:rsidRPr="009F7E1E">
              <w:rPr>
                <w:rFonts w:eastAsia="Malgun Gothic" w:hint="eastAsia"/>
                <w:highlight w:val="green"/>
                <w:lang w:eastAsia="ko-KR"/>
              </w:rPr>
              <w:t>C</w:t>
            </w:r>
            <w:r w:rsidRPr="009F7E1E">
              <w:rPr>
                <w:rFonts w:eastAsia="Malgun Gothic"/>
                <w:highlight w:val="green"/>
                <w:lang w:eastAsia="ko-KR"/>
              </w:rPr>
              <w:t>ondition 2.</w:t>
            </w:r>
            <w:r w:rsidRPr="009F7E1E">
              <w:rPr>
                <w:rFonts w:eastAsia="Malgun Gothic"/>
                <w:lang w:eastAsia="ko-KR"/>
              </w:rPr>
              <w:t xml:space="preserve"> (See </w:t>
            </w:r>
            <w:r>
              <w:rPr>
                <w:rFonts w:eastAsia="Malgun Gothic"/>
                <w:lang w:eastAsia="ko-KR"/>
              </w:rPr>
              <w:t>highlighted text below</w:t>
            </w:r>
            <w:r w:rsidRPr="009F7E1E">
              <w:rPr>
                <w:rFonts w:eastAsia="Malgun Gothic"/>
                <w:lang w:eastAsia="ko-KR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9"/>
            </w:tblGrid>
            <w:tr w:rsidR="009F7E1E" w14:paraId="58B1DD8D" w14:textId="77777777" w:rsidTr="009F7E1E">
              <w:tc>
                <w:tcPr>
                  <w:tcW w:w="6011" w:type="dxa"/>
                </w:tcPr>
                <w:p w14:paraId="0D5856D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UE is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and it is in RRC_IDLE or in RRC_INACTIVE, or 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is in RRC_CONNECTED while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T311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running:</w:t>
                  </w:r>
                </w:p>
                <w:p w14:paraId="11075C9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not present in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:</w:t>
                  </w:r>
                </w:p>
                <w:p w14:paraId="62776C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1A8F7F0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allowed, upon which the procedure ends;</w:t>
                  </w:r>
                </w:p>
                <w:p w14:paraId="0E0848BF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 else:</w:t>
                  </w:r>
                </w:p>
                <w:p w14:paraId="6EDB72C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bookmarkStart w:id="2" w:name="OLE_LINK100"/>
                  <w:bookmarkStart w:id="3" w:name="OLE_LINK101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</w:t>
                  </w:r>
                  <w:bookmarkEnd w:id="2"/>
                  <w:bookmarkEnd w:id="3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the UE supports 1 Rx branch; or</w:t>
                  </w:r>
                </w:p>
                <w:p w14:paraId="73CECFE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>i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cellBarredRedCap2Rx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barred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and the UE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supports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2 Rx branches; or</w:t>
                  </w:r>
                </w:p>
                <w:p w14:paraId="600B815A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is not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SIB1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and the UE supports only half-duplex FDD operation:</w:t>
                  </w:r>
                </w:p>
                <w:p w14:paraId="346E33D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02C75FE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SimSu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perform barring based on </w:t>
                  </w:r>
                  <w:proofErr w:type="spellStart"/>
                  <w:r w:rsidRPr="009F7E1E">
                    <w:rPr>
                      <w:rFonts w:ascii="Times New Roman" w:eastAsia="SimSu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as specified in TS 38.304 [20],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cyan"/>
                      <w:lang w:eastAsia="ja-JP"/>
                    </w:rPr>
                    <w:t>upon which the procedure ends;</w:t>
                  </w:r>
                </w:p>
                <w:p w14:paraId="1EE5E3AC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6CD665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if in RRC_CONNECTED while T311 is not running:</w:t>
                  </w:r>
                </w:p>
                <w:p w14:paraId="511471FB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3F23B2D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else:</w:t>
                  </w:r>
                </w:p>
                <w:p w14:paraId="5791802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downlink for TDD, or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uplink for FDD, and they are not downlink only bands, and</w:t>
                  </w:r>
                </w:p>
                <w:p w14:paraId="03EF51E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IAB-MT or wide area NCR-MT (see TS 38.106 [79]) or supports at least one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additionalSpectrumEmission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for a supported band in the downlink for TDD, or a supported band in uplink for FDD, and</w:t>
                  </w:r>
                </w:p>
                <w:p w14:paraId="0F251788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an uplink channel bandwidth with a maximum transmission bandwidth configuration (see TS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lastRenderedPageBreak/>
                    <w:t>38.101-1 [15], TS 38.101-2 [39], and TS 38.101-5 [75]) which</w:t>
                  </w:r>
                </w:p>
                <w:p w14:paraId="1D047A6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uplinkConfigCommon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configured), and which</w:t>
                  </w:r>
                </w:p>
                <w:p w14:paraId="4FD770AB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configured, and</w:t>
                  </w:r>
                </w:p>
                <w:p w14:paraId="170A280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 downlink channel bandwidth with a maximum transmission bandwidth configuration (see TS 38.101-1 [15], TS 38.101-2 [39], and TS 38.101-5 [75]) which</w:t>
                  </w:r>
                </w:p>
                <w:p w14:paraId="7BADD76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downlinkConfigCommon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configured), and which</w:t>
                  </w:r>
                </w:p>
                <w:p w14:paraId="572D5BDD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configured, and</w:t>
                  </w:r>
                </w:p>
                <w:p w14:paraId="022A183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 and the UE supports corresponding 7.5kHz frequency shift on this band; </w:t>
                  </w:r>
                  <w:bookmarkStart w:id="4" w:name="_Hlk55890539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bookmarkEnd w:id="4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is not present, and</w:t>
                  </w:r>
                </w:p>
                <w:p w14:paraId="23EF8AD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before="240"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neither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nor an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TDD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FDD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present, or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the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supports full-duplex FDD operation on this band:</w:t>
                  </w:r>
                </w:p>
                <w:p w14:paraId="37AD141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 xml:space="preserve">if neither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trackingAreaCode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is provided for the selected PLMN nor the registered PLMN nor PLMN of the equivalent PLMN list:</w:t>
                  </w:r>
                </w:p>
                <w:p w14:paraId="05E7E47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2C344841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perform cell re-selection to other cells on the same frequency as the barred cell as specified in TS 38.304 [20];</w:t>
                  </w:r>
                </w:p>
                <w:p w14:paraId="33D60209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(</w:t>
                  </w:r>
                  <w:r>
                    <w:rPr>
                      <w:rFonts w:eastAsia="Malgun Gothic"/>
                      <w:lang w:eastAsia="ko-KR"/>
                    </w:rPr>
                    <w:t>…)</w:t>
                  </w:r>
                </w:p>
                <w:p w14:paraId="28F30E6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else:</w:t>
                  </w:r>
                </w:p>
                <w:p w14:paraId="0F7BE9C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consider the cell as barred in accordance with TS 38.304 [20]; and</w:t>
                  </w:r>
                </w:p>
                <w:p w14:paraId="1FC41A7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,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intraFreqReselection-eRedCap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intraFreqReselection2RxXR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for 2Rx XR UEs is set to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notAllowed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;</w:t>
                  </w:r>
                </w:p>
                <w:p w14:paraId="59B6E667" w14:textId="55302A5D" w:rsidR="009F7E1E" w:rsidRP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61E27378" w14:textId="53120EB5" w:rsidR="009A64DB" w:rsidRDefault="009A64DB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T</w:t>
            </w:r>
            <w:r>
              <w:rPr>
                <w:rFonts w:eastAsia="Malgun Gothic"/>
                <w:lang w:eastAsia="ko-KR"/>
              </w:rPr>
              <w:t xml:space="preserve">he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needs to check “other barring conditions” (i.e., </w:t>
            </w:r>
            <w:r>
              <w:rPr>
                <w:rFonts w:eastAsia="Malgun Gothic"/>
                <w:lang w:eastAsia="ko-KR"/>
              </w:rPr>
              <w:lastRenderedPageBreak/>
              <w:t>both condition 1 and 2) to consider the cell as acceptable cell.</w:t>
            </w:r>
          </w:p>
          <w:p w14:paraId="55EC40D0" w14:textId="76CB088C" w:rsidR="006E4572" w:rsidRDefault="006E4572" w:rsidP="006E4572">
            <w:pPr>
              <w:rPr>
                <w:rFonts w:eastAsia="Malgun Gothic"/>
                <w:highlight w:val="cyan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 xml:space="preserve">ut the problem is, if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bars the cell due to </w:t>
            </w:r>
            <w:r w:rsidRPr="009F7E1E">
              <w:rPr>
                <w:rFonts w:eastAsia="Malgun Gothic"/>
                <w:lang w:eastAsia="ko-KR"/>
              </w:rPr>
              <w:t>cellBarredRedCap1Rx</w:t>
            </w:r>
            <w:r>
              <w:rPr>
                <w:rFonts w:eastAsia="Malgun Gothic"/>
                <w:lang w:eastAsia="ko-KR"/>
              </w:rPr>
              <w:t xml:space="preserve"> or </w:t>
            </w:r>
            <w:r w:rsidRPr="009F7E1E">
              <w:rPr>
                <w:rFonts w:eastAsia="Malgun Gothic"/>
                <w:lang w:eastAsia="ko-KR"/>
              </w:rPr>
              <w:t>cellBarredRedCap</w:t>
            </w:r>
            <w:r>
              <w:rPr>
                <w:rFonts w:eastAsia="Malgun Gothic"/>
                <w:lang w:eastAsia="ko-KR"/>
              </w:rPr>
              <w:t>2</w:t>
            </w:r>
            <w:r w:rsidRPr="009F7E1E">
              <w:rPr>
                <w:rFonts w:eastAsia="Malgun Gothic"/>
                <w:lang w:eastAsia="ko-KR"/>
              </w:rPr>
              <w:t>Rx</w:t>
            </w:r>
            <w:r>
              <w:rPr>
                <w:rFonts w:eastAsia="Malgun Gothic"/>
                <w:lang w:eastAsia="ko-KR"/>
              </w:rPr>
              <w:t xml:space="preserve">, the UE does not check the “other barring conditions”, due to </w:t>
            </w:r>
            <w:r w:rsidRPr="009F7E1E">
              <w:rPr>
                <w:rFonts w:eastAsia="Malgun Gothic"/>
                <w:highlight w:val="cyan"/>
                <w:lang w:eastAsia="ko-KR"/>
              </w:rPr>
              <w:t>highlighted text</w:t>
            </w:r>
            <w:r>
              <w:rPr>
                <w:rFonts w:eastAsia="Malgun Gothic"/>
                <w:highlight w:val="cyan"/>
                <w:lang w:eastAsia="ko-KR"/>
              </w:rPr>
              <w:t>.</w:t>
            </w:r>
          </w:p>
          <w:p w14:paraId="5BA0987C" w14:textId="439067E2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 xml:space="preserve">hus, it should be clarified the </w:t>
            </w:r>
            <w:proofErr w:type="spellStart"/>
            <w:r>
              <w:rPr>
                <w:rFonts w:eastAsia="Malgun Gothic"/>
                <w:lang w:eastAsia="ko-KR"/>
              </w:rPr>
              <w:t>RedCap</w:t>
            </w:r>
            <w:proofErr w:type="spellEnd"/>
            <w:r>
              <w:rPr>
                <w:rFonts w:eastAsia="Malgun Gothic"/>
                <w:lang w:eastAsia="ko-KR"/>
              </w:rPr>
              <w:t xml:space="preserve"> UE should check the “other barring conditions”. We think this can be achieved temporarily assuming the otherwise case of the case “</w:t>
            </w:r>
            <w:r w:rsidR="009A64DB">
              <w:rPr>
                <w:rFonts w:eastAsia="Malgun Gothic"/>
                <w:lang w:eastAsia="ko-KR"/>
              </w:rPr>
              <w:t xml:space="preserve">when </w:t>
            </w:r>
            <w:r w:rsidRPr="006E4572">
              <w:rPr>
                <w:rFonts w:eastAsia="Malgun Gothic"/>
                <w:lang w:eastAsia="ko-KR"/>
              </w:rPr>
              <w:t>cellBarredRedCap1Rx is set to "barred" in SIB1</w:t>
            </w:r>
            <w:r>
              <w:rPr>
                <w:rFonts w:eastAsia="Malgun Gothic"/>
                <w:lang w:eastAsia="ko-KR"/>
              </w:rPr>
              <w:t>”.</w:t>
            </w:r>
          </w:p>
          <w:p w14:paraId="3B06A563" w14:textId="32710BBA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 w:rsidR="009A64DB">
              <w:rPr>
                <w:rFonts w:eastAsia="Malgun Gothic"/>
                <w:lang w:eastAsia="ko-KR"/>
              </w:rPr>
              <w:t>o</w:t>
            </w:r>
            <w:r>
              <w:rPr>
                <w:rFonts w:eastAsia="Malgun Gothic"/>
                <w:lang w:eastAsia="ko-KR"/>
              </w:rPr>
              <w:t>, our proposal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9"/>
            </w:tblGrid>
            <w:tr w:rsidR="009A64DB" w14:paraId="147DC32C" w14:textId="77777777" w:rsidTr="009A64DB">
              <w:tc>
                <w:tcPr>
                  <w:tcW w:w="6011" w:type="dxa"/>
                </w:tcPr>
                <w:p w14:paraId="5D102F03" w14:textId="77777777" w:rsidR="009A64DB" w:rsidRPr="00236904" w:rsidRDefault="009A64DB" w:rsidP="009A64DB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Chars="100" w:left="210"/>
                    <w:jc w:val="left"/>
                    <w:textAlignment w:val="baseline"/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When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"barred" in SIB1</w:t>
                  </w:r>
                  <w:r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u w:val="single"/>
                      <w:lang w:eastAsia="ja-JP"/>
                    </w:rPr>
                    <w:t>and otherwise the UE would not consider the cell as 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, 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64DB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 xml:space="preserve">and 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cell selection criteria are fulfilled as defined in clause 5.2.3,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cellBarred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in MIB is not set to "barred" and in SIB1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barringExemptEmergencyCall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and, if the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UE supports only half duplex FDD operation, </w:t>
                  </w:r>
                  <w:proofErr w:type="spellStart"/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is set to "true"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</w:p>
                <w:p w14:paraId="37E9841B" w14:textId="318A2449" w:rsidR="009A64DB" w:rsidRPr="009A64DB" w:rsidRDefault="009A64DB" w:rsidP="006E4572">
                  <w:pPr>
                    <w:widowControl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120" w:line="240" w:lineRule="auto"/>
                    <w:jc w:val="left"/>
                    <w:textAlignment w:val="baseline"/>
                    <w:rPr>
                      <w:rFonts w:eastAsia="ＭＳ 明朝"/>
                      <w:kern w:val="0"/>
                      <w:sz w:val="20"/>
                      <w:lang w:eastAsia="ja-JP"/>
                    </w:rPr>
                  </w:pPr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The </w:t>
                  </w:r>
                  <w:proofErr w:type="spellStart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that supports only 1Rx branch may treat this cell as an acceptable cell and not treat this cell as if the cell status is “barred”.</w:t>
                  </w:r>
                </w:p>
              </w:tc>
            </w:tr>
          </w:tbl>
          <w:p w14:paraId="3669E87A" w14:textId="324CA592" w:rsidR="009F7E1E" w:rsidRDefault="006E4572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</w:t>
            </w:r>
            <w:r>
              <w:rPr>
                <w:rFonts w:eastAsia="Malgun Gothic"/>
                <w:lang w:eastAsia="ko-KR"/>
              </w:rPr>
              <w:t>ote</w:t>
            </w:r>
            <w:r w:rsidR="009A64DB">
              <w:rPr>
                <w:rFonts w:eastAsia="Malgun Gothic"/>
                <w:lang w:eastAsia="ko-KR"/>
              </w:rPr>
              <w:t xml:space="preserve"> that the text is simplified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/>
                <w:lang w:eastAsia="ko-KR"/>
              </w:rPr>
              <w:t>by removing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 w:hint="eastAsia"/>
                <w:lang w:eastAsia="ko-KR"/>
              </w:rPr>
              <w:t>t</w:t>
            </w:r>
            <w:r w:rsidR="009A64DB">
              <w:rPr>
                <w:rFonts w:eastAsia="Malgun Gothic"/>
                <w:lang w:eastAsia="ko-KR"/>
              </w:rPr>
              <w:t xml:space="preserve">wo conditions (i.e., one for </w:t>
            </w:r>
            <w:proofErr w:type="spellStart"/>
            <w:r w:rsidR="009A64DB" w:rsidRPr="009A64DB">
              <w:rPr>
                <w:rFonts w:eastAsia="Malgun Gothic"/>
                <w:lang w:eastAsia="ko-KR"/>
              </w:rPr>
              <w:t>cellBarred</w:t>
            </w:r>
            <w:proofErr w:type="spellEnd"/>
            <w:r w:rsidR="009A64DB">
              <w:rPr>
                <w:rFonts w:eastAsia="Malgun Gothic"/>
                <w:lang w:eastAsia="ko-KR"/>
              </w:rPr>
              <w:t xml:space="preserve"> in MIB, one for </w:t>
            </w:r>
            <w:proofErr w:type="spellStart"/>
            <w:r w:rsidR="009A64DB" w:rsidRPr="009A64DB">
              <w:rPr>
                <w:rFonts w:eastAsia="Malgun Gothic"/>
                <w:lang w:eastAsia="ko-KR"/>
              </w:rPr>
              <w:t>halfDuplexRedCapAllowed</w:t>
            </w:r>
            <w:proofErr w:type="spellEnd"/>
            <w:r w:rsidR="009A64DB">
              <w:rPr>
                <w:rFonts w:eastAsia="Malgun Gothic"/>
                <w:lang w:eastAsia="ko-KR"/>
              </w:rPr>
              <w:t>) as the two conditions are not needed any more (i.e., they are included in the new condition).</w:t>
            </w:r>
          </w:p>
          <w:p w14:paraId="48A714F7" w14:textId="255B30BF" w:rsidR="009F7E1E" w:rsidRPr="009F7E1E" w:rsidRDefault="009F7E1E" w:rsidP="00F1661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05" w:type="dxa"/>
          </w:tcPr>
          <w:p w14:paraId="4CDC132F" w14:textId="77777777" w:rsidR="00FE17DA" w:rsidRDefault="00FE17DA" w:rsidP="00F16619"/>
        </w:tc>
      </w:tr>
      <w:tr w:rsidR="00AE793F" w14:paraId="14E4B811" w14:textId="77777777" w:rsidTr="00FE17DA">
        <w:tc>
          <w:tcPr>
            <w:tcW w:w="1129" w:type="dxa"/>
          </w:tcPr>
          <w:p w14:paraId="44581322" w14:textId="5DBDA270" w:rsidR="00AE793F" w:rsidRDefault="00AE793F" w:rsidP="00AE793F">
            <w:r>
              <w:lastRenderedPageBreak/>
              <w:t>Vodafone</w:t>
            </w:r>
          </w:p>
        </w:tc>
        <w:tc>
          <w:tcPr>
            <w:tcW w:w="6237" w:type="dxa"/>
          </w:tcPr>
          <w:p w14:paraId="11592012" w14:textId="355F3F98" w:rsidR="00AE793F" w:rsidRDefault="00AE793F" w:rsidP="00AE793F">
            <w:r>
              <w:t>I think Samsung and ZTE proposals try to say the same and to me the wording could be a bit improved</w:t>
            </w:r>
          </w:p>
          <w:p w14:paraId="6A5BC102" w14:textId="1FF706D5" w:rsidR="00AE793F" w:rsidRPr="00236904" w:rsidRDefault="00AE793F" w:rsidP="00AE793F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Chars="100" w:left="210"/>
              <w:jc w:val="left"/>
              <w:textAlignment w:val="baseline"/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</w:pP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If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cellBarredRedCap1Rx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set to "barred" in SIB1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and</w:t>
            </w:r>
            <w:ins w:id="5" w:author="Alexey Kulakov, Vodafone" w:date="2024-08-20T16:07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there are no other </w:t>
              </w:r>
            </w:ins>
            <w:ins w:id="6" w:author="Alexey Kulakov, Vodafone" w:date="2024-08-20T16:08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reasons</w:t>
              </w:r>
            </w:ins>
            <w:del w:id="7" w:author="Alexey Kulakov, Vodafone" w:date="2024-08-20T16:08:00Z">
              <w:r w:rsidRPr="00AE793F" w:rsidDel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delText xml:space="preserve"> otherwise</w:delText>
              </w:r>
            </w:del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the </w:t>
            </w:r>
            <w:commentRangeStart w:id="8"/>
            <w:ins w:id="9" w:author="Alexey Kulakov, Vodafone" w:date="2024-08-20T16:16:00Z">
              <w:r w:rsidR="00737571" w:rsidRPr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RedCap1Rx</w:t>
              </w:r>
              <w:r w:rsidR="00737571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</w:t>
              </w:r>
              <w:commentRangeEnd w:id="8"/>
              <w:r w:rsidR="00737571">
                <w:rPr>
                  <w:rStyle w:val="CommentReference"/>
                  <w:lang w:eastAsia="en-GB"/>
                </w:rPr>
                <w:commentReference w:id="8"/>
              </w:r>
            </w:ins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UE would not consider the cell as barred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and 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cell selection criteria are fulfilled as defined in clause 5.2.3, </w:t>
            </w:r>
            <w:proofErr w:type="spellStart"/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barringExemptEmergencyCall</w:t>
            </w:r>
            <w:proofErr w:type="spellEnd"/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present </w:t>
            </w:r>
          </w:p>
          <w:p w14:paraId="03ABA168" w14:textId="6C6C2A62" w:rsidR="00AE793F" w:rsidRDefault="00AE793F" w:rsidP="00AE793F">
            <w:pPr>
              <w:rPr>
                <w:ins w:id="10" w:author="Alexey Kulakov, Vodafone" w:date="2024-08-20T16:14:00Z"/>
              </w:rPr>
            </w:pPr>
            <w:ins w:id="11" w:author="Alexey Kulakov, Vodafone" w:date="2024-08-20T16:13:00Z">
              <w:r>
                <w:t>If the intention is to copy paste this text t</w:t>
              </w:r>
            </w:ins>
            <w:ins w:id="12" w:author="Alexey Kulakov, Vodafone" w:date="2024-08-20T16:14:00Z">
              <w:r>
                <w:t>o other “</w:t>
              </w:r>
              <w:proofErr w:type="spellStart"/>
              <w:r>
                <w:t>redcap”fields</w:t>
              </w:r>
              <w:proofErr w:type="spellEnd"/>
              <w:r>
                <w:t>, like</w:t>
              </w:r>
            </w:ins>
            <w:ins w:id="13" w:author="Alexey Kulakov, Vodafone" w:date="2024-08-20T16:15:00Z">
              <w:r>
                <w:t xml:space="preserve"> below, then I think it should work</w:t>
              </w:r>
            </w:ins>
          </w:p>
          <w:p w14:paraId="6C24AC36" w14:textId="7B71E006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4" w:author="Alexey Kulakov, Vodafone" w:date="2024-08-20T16:14:00Z"/>
              </w:rPr>
              <w:pPrChange w:id="15" w:author="Alexey Kulakov, Vodafone" w:date="2024-08-20T16:15:00Z">
                <w:pPr/>
              </w:pPrChange>
            </w:pPr>
            <w:ins w:id="16" w:author="Alexey Kulakov, Vodafone" w:date="2024-08-20T16:14:00Z">
              <w:r>
                <w:t>cellBarredRedCap2Rx</w:t>
              </w:r>
            </w:ins>
          </w:p>
          <w:p w14:paraId="6898526C" w14:textId="6BBF31E2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7" w:author="Alexey Kulakov, Vodafone" w:date="2024-08-20T16:14:00Z"/>
              </w:rPr>
              <w:pPrChange w:id="18" w:author="Alexey Kulakov, Vodafone" w:date="2024-08-20T16:15:00Z">
                <w:pPr/>
              </w:pPrChange>
            </w:pPr>
            <w:ins w:id="19" w:author="Alexey Kulakov, Vodafone" w:date="2024-08-20T16:14:00Z">
              <w:r>
                <w:t>cellBarred-eRedCap1Rx</w:t>
              </w:r>
            </w:ins>
          </w:p>
          <w:p w14:paraId="7F8CEF22" w14:textId="4F4146DB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20" w:author="Alexey Kulakov, Vodafone" w:date="2024-08-20T16:14:00Z"/>
              </w:rPr>
              <w:pPrChange w:id="21" w:author="Alexey Kulakov, Vodafone" w:date="2024-08-20T16:15:00Z">
                <w:pPr/>
              </w:pPrChange>
            </w:pPr>
            <w:ins w:id="22" w:author="Alexey Kulakov, Vodafone" w:date="2024-08-20T16:14:00Z">
              <w:r>
                <w:t>cellBarred-eRedCap2Rx</w:t>
              </w:r>
            </w:ins>
          </w:p>
          <w:p w14:paraId="01E2D1DA" w14:textId="429FFCF4" w:rsidR="00AE793F" w:rsidRDefault="00AE793F" w:rsidP="00AE793F"/>
        </w:tc>
        <w:tc>
          <w:tcPr>
            <w:tcW w:w="2405" w:type="dxa"/>
          </w:tcPr>
          <w:p w14:paraId="75994B25" w14:textId="77777777" w:rsidR="00AE793F" w:rsidRDefault="00AE793F" w:rsidP="00AE793F"/>
        </w:tc>
      </w:tr>
      <w:tr w:rsidR="00AE793F" w14:paraId="4D70A26E" w14:textId="77777777" w:rsidTr="00FE17DA">
        <w:tc>
          <w:tcPr>
            <w:tcW w:w="1129" w:type="dxa"/>
          </w:tcPr>
          <w:p w14:paraId="6479AD24" w14:textId="6780DA2F" w:rsidR="00AE793F" w:rsidRPr="007B297F" w:rsidRDefault="007B297F" w:rsidP="00AE793F">
            <w:pPr>
              <w:rPr>
                <w:rFonts w:eastAsia="ＭＳ Ｐゴシック" w:hint="eastAsia"/>
                <w:lang w:eastAsia="ja-JP"/>
                <w:rPrChange w:id="23" w:author="QC(MK)" w:date="2024-08-21T15:07:00Z">
                  <w:rPr/>
                </w:rPrChange>
              </w:rPr>
            </w:pPr>
            <w:r>
              <w:rPr>
                <w:rFonts w:eastAsia="ＭＳ Ｐゴシック" w:hint="eastAsia"/>
                <w:lang w:eastAsia="ja-JP"/>
              </w:rPr>
              <w:t>Qualcomm Incorporated</w:t>
            </w:r>
          </w:p>
        </w:tc>
        <w:tc>
          <w:tcPr>
            <w:tcW w:w="6237" w:type="dxa"/>
          </w:tcPr>
          <w:p w14:paraId="2AF4313F" w14:textId="69E63A85" w:rsidR="007B297F" w:rsidRPr="007B297F" w:rsidRDefault="007B297F" w:rsidP="007B297F">
            <w:pPr>
              <w:rPr>
                <w:rFonts w:eastAsia="ＭＳ Ｐゴシック" w:hint="eastAsia"/>
                <w:lang w:eastAsia="ja-JP"/>
              </w:rPr>
            </w:pPr>
          </w:p>
        </w:tc>
        <w:tc>
          <w:tcPr>
            <w:tcW w:w="2405" w:type="dxa"/>
          </w:tcPr>
          <w:p w14:paraId="69B88C02" w14:textId="77777777" w:rsidR="007B297F" w:rsidRDefault="007B297F" w:rsidP="007B297F">
            <w:pPr>
              <w:rPr>
                <w:rFonts w:eastAsia="ＭＳ Ｐゴシック"/>
                <w:lang w:eastAsia="ja-JP"/>
              </w:rPr>
            </w:pPr>
            <w:r>
              <w:rPr>
                <w:rFonts w:eastAsia="ＭＳ Ｐゴシック" w:hint="eastAsia"/>
                <w:lang w:eastAsia="ja-JP"/>
              </w:rPr>
              <w:t>Rapporteur</w:t>
            </w:r>
            <w:r>
              <w:rPr>
                <w:rFonts w:eastAsia="ＭＳ Ｐゴシック"/>
                <w:lang w:eastAsia="ja-JP"/>
              </w:rPr>
              <w:t>’</w:t>
            </w:r>
            <w:r>
              <w:rPr>
                <w:rFonts w:eastAsia="ＭＳ Ｐゴシック" w:hint="eastAsia"/>
                <w:lang w:eastAsia="ja-JP"/>
              </w:rPr>
              <w:t>s text looks fine to us.</w:t>
            </w:r>
          </w:p>
          <w:p w14:paraId="67E017C5" w14:textId="77777777" w:rsidR="007B297F" w:rsidRDefault="007B297F" w:rsidP="007B297F">
            <w:pPr>
              <w:rPr>
                <w:rFonts w:eastAsia="ＭＳ Ｐゴシック"/>
                <w:lang w:eastAsia="ja-JP"/>
              </w:rPr>
            </w:pPr>
            <w:r>
              <w:rPr>
                <w:rFonts w:eastAsia="ＭＳ Ｐゴシック" w:hint="eastAsia"/>
                <w:lang w:eastAsia="ja-JP"/>
              </w:rPr>
              <w:t>We also had come to think about Samsung</w:t>
            </w:r>
            <w:r>
              <w:rPr>
                <w:rFonts w:eastAsia="ＭＳ Ｐゴシック"/>
                <w:lang w:eastAsia="ja-JP"/>
              </w:rPr>
              <w:t>’</w:t>
            </w:r>
            <w:r>
              <w:rPr>
                <w:rFonts w:eastAsia="ＭＳ Ｐゴシック" w:hint="eastAsia"/>
                <w:lang w:eastAsia="ja-JP"/>
              </w:rPr>
              <w:t xml:space="preserve">s concern on </w:t>
            </w:r>
            <w:r>
              <w:rPr>
                <w:rFonts w:eastAsia="ＭＳ Ｐゴシック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  <w:lang w:eastAsia="ja-JP"/>
              </w:rPr>
              <w:t>.</w:t>
            </w:r>
            <w:r>
              <w:rPr>
                <w:rFonts w:eastAsia="ＭＳ Ｐゴシック" w:hint="eastAsia"/>
                <w:lang w:eastAsia="ja-JP"/>
              </w:rPr>
              <w:t xml:space="preserve"> We believe it can be left to UE implementation to </w:t>
            </w:r>
            <w:r>
              <w:rPr>
                <w:rFonts w:eastAsia="ＭＳ Ｐゴシック" w:hint="eastAsia"/>
                <w:lang w:eastAsia="ja-JP"/>
              </w:rPr>
              <w:lastRenderedPageBreak/>
              <w:t xml:space="preserve">check other barring conditions according to the text in 38.304. In that sense, it is essential to have </w:t>
            </w:r>
            <w:r>
              <w:rPr>
                <w:rFonts w:eastAsia="ＭＳ Ｐゴシック"/>
                <w:lang w:eastAsia="ja-JP"/>
              </w:rPr>
              <w:t>“</w:t>
            </w:r>
            <w:r>
              <w:rPr>
                <w:rFonts w:eastAsia="ＭＳ Ｐゴシック" w:hint="eastAsia"/>
                <w:lang w:eastAsia="ja-JP"/>
              </w:rPr>
              <w:t>see 38.331</w:t>
            </w:r>
            <w:r>
              <w:rPr>
                <w:rFonts w:eastAsia="ＭＳ Ｐゴシック"/>
                <w:lang w:eastAsia="ja-JP"/>
              </w:rPr>
              <w:t>”</w:t>
            </w:r>
            <w:r>
              <w:rPr>
                <w:rFonts w:eastAsia="ＭＳ Ｐゴシック" w:hint="eastAsia"/>
                <w:lang w:eastAsia="ja-JP"/>
              </w:rPr>
              <w:t xml:space="preserve"> or </w:t>
            </w:r>
            <w:r>
              <w:rPr>
                <w:rFonts w:eastAsia="ＭＳ Ｐゴシック"/>
                <w:lang w:eastAsia="ja-JP"/>
              </w:rPr>
              <w:t>“according</w:t>
            </w:r>
            <w:r>
              <w:rPr>
                <w:rFonts w:eastAsia="ＭＳ Ｐゴシック" w:hint="eastAsia"/>
                <w:lang w:eastAsia="ja-JP"/>
              </w:rPr>
              <w:t xml:space="preserve"> to 38.331</w:t>
            </w:r>
            <w:r>
              <w:rPr>
                <w:rFonts w:eastAsia="ＭＳ Ｐゴシック"/>
                <w:lang w:eastAsia="ja-JP"/>
              </w:rPr>
              <w:t>”</w:t>
            </w:r>
            <w:r>
              <w:rPr>
                <w:rFonts w:eastAsia="ＭＳ Ｐゴシック" w:hint="eastAsia"/>
                <w:lang w:eastAsia="ja-JP"/>
              </w:rPr>
              <w:t xml:space="preserve"> in the 38.304 text (as already proposed by the rapporteur).</w:t>
            </w:r>
          </w:p>
          <w:p w14:paraId="7511F854" w14:textId="58BF3032" w:rsidR="00AE793F" w:rsidRPr="007B297F" w:rsidRDefault="007B297F" w:rsidP="00AE793F">
            <w:pPr>
              <w:rPr>
                <w:rFonts w:eastAsia="ＭＳ Ｐゴシック" w:hint="eastAsia"/>
                <w:lang w:eastAsia="ja-JP"/>
              </w:rPr>
            </w:pPr>
            <w:r>
              <w:rPr>
                <w:rFonts w:eastAsia="ＭＳ Ｐゴシック" w:hint="eastAsia"/>
                <w:lang w:eastAsia="ja-JP"/>
              </w:rPr>
              <w:t xml:space="preserve">It should also be noted that the UE anyway need to perform other actions in 38.331 related to acceptable cell after the barring exemption. There, the UE needs to undo the </w:t>
            </w:r>
            <w:r>
              <w:rPr>
                <w:rFonts w:eastAsia="ＭＳ Ｐゴシック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ＭＳ Ｐゴシック" w:hint="eastAsia"/>
                <w:lang w:eastAsia="ja-JP"/>
              </w:rPr>
              <w:t>as well.</w:t>
            </w:r>
          </w:p>
        </w:tc>
      </w:tr>
      <w:tr w:rsidR="00AE793F" w14:paraId="4064F201" w14:textId="77777777" w:rsidTr="00FE17DA">
        <w:tc>
          <w:tcPr>
            <w:tcW w:w="1129" w:type="dxa"/>
          </w:tcPr>
          <w:p w14:paraId="66E71258" w14:textId="77777777" w:rsidR="00AE793F" w:rsidRDefault="00AE793F" w:rsidP="00AE793F"/>
        </w:tc>
        <w:tc>
          <w:tcPr>
            <w:tcW w:w="6237" w:type="dxa"/>
          </w:tcPr>
          <w:p w14:paraId="49B7A3D8" w14:textId="77777777" w:rsidR="00AE793F" w:rsidRDefault="00AE793F" w:rsidP="00AE793F"/>
        </w:tc>
        <w:tc>
          <w:tcPr>
            <w:tcW w:w="2405" w:type="dxa"/>
          </w:tcPr>
          <w:p w14:paraId="25156233" w14:textId="77777777" w:rsidR="00AE793F" w:rsidRDefault="00AE793F" w:rsidP="00AE793F"/>
        </w:tc>
      </w:tr>
      <w:tr w:rsidR="00AE793F" w14:paraId="045DBA44" w14:textId="77777777" w:rsidTr="00FE17DA">
        <w:tc>
          <w:tcPr>
            <w:tcW w:w="1129" w:type="dxa"/>
          </w:tcPr>
          <w:p w14:paraId="1CF81380" w14:textId="77777777" w:rsidR="00AE793F" w:rsidRDefault="00AE793F" w:rsidP="00AE793F"/>
        </w:tc>
        <w:tc>
          <w:tcPr>
            <w:tcW w:w="6237" w:type="dxa"/>
          </w:tcPr>
          <w:p w14:paraId="7410D1D0" w14:textId="77777777" w:rsidR="00AE793F" w:rsidRDefault="00AE793F" w:rsidP="00AE793F"/>
        </w:tc>
        <w:tc>
          <w:tcPr>
            <w:tcW w:w="2405" w:type="dxa"/>
          </w:tcPr>
          <w:p w14:paraId="444E213B" w14:textId="77777777" w:rsidR="00AE793F" w:rsidRDefault="00AE793F" w:rsidP="00AE793F"/>
        </w:tc>
      </w:tr>
      <w:tr w:rsidR="00AE793F" w14:paraId="61333DD9" w14:textId="77777777" w:rsidTr="00FE17DA">
        <w:tc>
          <w:tcPr>
            <w:tcW w:w="1129" w:type="dxa"/>
          </w:tcPr>
          <w:p w14:paraId="02345AE4" w14:textId="77777777" w:rsidR="00AE793F" w:rsidRDefault="00AE793F" w:rsidP="00AE793F"/>
        </w:tc>
        <w:tc>
          <w:tcPr>
            <w:tcW w:w="6237" w:type="dxa"/>
          </w:tcPr>
          <w:p w14:paraId="2D8F84D7" w14:textId="77777777" w:rsidR="00AE793F" w:rsidRDefault="00AE793F" w:rsidP="00AE793F"/>
        </w:tc>
        <w:tc>
          <w:tcPr>
            <w:tcW w:w="2405" w:type="dxa"/>
          </w:tcPr>
          <w:p w14:paraId="75E805CB" w14:textId="77777777" w:rsidR="00AE793F" w:rsidRDefault="00AE793F" w:rsidP="00AE793F"/>
        </w:tc>
      </w:tr>
      <w:tr w:rsidR="00AE793F" w14:paraId="07440593" w14:textId="77777777" w:rsidTr="00FE17DA">
        <w:tc>
          <w:tcPr>
            <w:tcW w:w="1129" w:type="dxa"/>
          </w:tcPr>
          <w:p w14:paraId="4B653EB7" w14:textId="77777777" w:rsidR="00AE793F" w:rsidRDefault="00AE793F" w:rsidP="00AE793F"/>
        </w:tc>
        <w:tc>
          <w:tcPr>
            <w:tcW w:w="6237" w:type="dxa"/>
          </w:tcPr>
          <w:p w14:paraId="0623D038" w14:textId="77777777" w:rsidR="00AE793F" w:rsidRDefault="00AE793F" w:rsidP="00AE793F"/>
        </w:tc>
        <w:tc>
          <w:tcPr>
            <w:tcW w:w="2405" w:type="dxa"/>
          </w:tcPr>
          <w:p w14:paraId="26F7B0BD" w14:textId="77777777" w:rsidR="00AE793F" w:rsidRDefault="00AE793F" w:rsidP="00AE793F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lexey Kulakov, Vodafone" w:date="2024-08-20T16:16:00Z" w:initials="AKV">
    <w:p w14:paraId="042C6B2F" w14:textId="77777777" w:rsidR="00737571" w:rsidRDefault="00737571" w:rsidP="00805BE3">
      <w:pPr>
        <w:pStyle w:val="CommentText"/>
      </w:pPr>
      <w:r>
        <w:rPr>
          <w:rStyle w:val="CommentReference"/>
        </w:rPr>
        <w:annotationRef/>
      </w:r>
      <w:r>
        <w:t>I thought this barring is only for such Ues and not general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C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F3FF4" w16cex:dateUtc="2024-08-20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C6B2F" w16cid:durableId="2A6F3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5D0B" w14:textId="77777777" w:rsidR="00322A3B" w:rsidRDefault="00322A3B">
      <w:pPr>
        <w:spacing w:after="0" w:line="240" w:lineRule="auto"/>
      </w:pPr>
      <w:r>
        <w:separator/>
      </w:r>
    </w:p>
  </w:endnote>
  <w:endnote w:type="continuationSeparator" w:id="0">
    <w:p w14:paraId="6B1B2870" w14:textId="77777777" w:rsidR="00322A3B" w:rsidRDefault="0032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AD7" w14:textId="77777777" w:rsidR="003709F6" w:rsidRDefault="00322A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F8B22" w14:textId="77777777" w:rsidR="003709F6" w:rsidRDefault="00370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471" w14:textId="77777777" w:rsidR="003709F6" w:rsidRDefault="003709F6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D5D0" w14:textId="77777777" w:rsidR="00737571" w:rsidRDefault="0073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AE0E" w14:textId="77777777" w:rsidR="00322A3B" w:rsidRDefault="00322A3B">
      <w:pPr>
        <w:spacing w:after="0" w:line="240" w:lineRule="auto"/>
      </w:pPr>
      <w:r>
        <w:separator/>
      </w:r>
    </w:p>
  </w:footnote>
  <w:footnote w:type="continuationSeparator" w:id="0">
    <w:p w14:paraId="78BB82AA" w14:textId="77777777" w:rsidR="00322A3B" w:rsidRDefault="0032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882F" w14:textId="77777777" w:rsidR="00737571" w:rsidRDefault="00737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D4E3" w14:textId="77777777" w:rsidR="003709F6" w:rsidRDefault="003709F6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0B8F" w14:textId="77777777" w:rsidR="00737571" w:rsidRDefault="0073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36D28AA"/>
    <w:multiLevelType w:val="hybridMultilevel"/>
    <w:tmpl w:val="8D405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1864">
    <w:abstractNumId w:val="0"/>
  </w:num>
  <w:num w:numId="2" w16cid:durableId="1990162498">
    <w:abstractNumId w:val="7"/>
  </w:num>
  <w:num w:numId="3" w16cid:durableId="1687904588">
    <w:abstractNumId w:val="4"/>
  </w:num>
  <w:num w:numId="4" w16cid:durableId="1159033968">
    <w:abstractNumId w:val="5"/>
  </w:num>
  <w:num w:numId="5" w16cid:durableId="1329407068">
    <w:abstractNumId w:val="2"/>
  </w:num>
  <w:num w:numId="6" w16cid:durableId="66542647">
    <w:abstractNumId w:val="6"/>
  </w:num>
  <w:num w:numId="7" w16cid:durableId="1514025759">
    <w:abstractNumId w:val="3"/>
  </w:num>
  <w:num w:numId="8" w16cid:durableId="228883314">
    <w:abstractNumId w:val="8"/>
  </w:num>
  <w:num w:numId="9" w16cid:durableId="8968921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Alexey Kulakov, Vodafone">
    <w15:presenceInfo w15:providerId="AD" w15:userId="S::Alexey.Kulakov1@vodafone.com::a9499e6f-d631-4cd6-9b8c-d11b1e0c36ff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hyphenationZone w:val="4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3690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A3B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4572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37571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297F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64DB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9F7E1E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93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ＭＳ 明朝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ＭＳ 明朝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ＭＳ 明朝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ＭＳ 明朝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ＭＳ 明朝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ＭＳ 明朝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ＭＳ 明朝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ＭＳ 明朝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ＭＳ 明朝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ＭＳ 明朝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ＭＳ 明朝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ＭＳ 明朝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ＭＳ 明朝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ＭＳ 明朝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ＭＳ 明朝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ＭＳ 明朝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ＭＳ 明朝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ＭＳ 明朝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ＭＳ 明朝"/>
      <w:i/>
      <w:kern w:val="0"/>
      <w:sz w:val="18"/>
    </w:rPr>
  </w:style>
  <w:style w:type="character" w:customStyle="1" w:styleId="CharChar7">
    <w:name w:val="Char Char7"/>
    <w:qFormat/>
    <w:rPr>
      <w:rFonts w:ascii="Arial" w:eastAsia="ＭＳ 明朝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ＭＳ 明朝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ＭＳ 明朝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ＭＳ 明朝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ＭＳ 明朝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ＭＳ 明朝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ＭＳ 明朝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ＭＳ 明朝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ＭＳ 明朝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ＭＳ 明朝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ＭＳ 明朝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ＭＳ 明朝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ＭＳ 明朝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ＭＳ 明朝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ＭＳ 明朝" w:hAnsi="Arial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ＭＳ 明朝" w:hAnsi="Arial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ＭＳ 明朝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ＭＳ 明朝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ＭＳ 明朝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ＭＳ 明朝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ＭＳ 明朝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ＭＳ 明朝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ＭＳ 明朝" w:hAnsi="Arial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ＭＳ 明朝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ＭＳ 明朝" w:hAnsi="Arial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ＭＳ 明朝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ＭＳ 明朝"/>
      <w:color w:val="auto"/>
      <w:kern w:val="0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ＭＳ 明朝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ＭＳ 明朝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ＭＳ 明朝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ＭＳ 明朝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ＭＳ 明朝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ＭＳ 明朝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ＭＳ 明朝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ＭＳ 明朝" w:hAnsi="Arial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ＭＳ 明朝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ＭＳ 明朝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ＭＳ 明朝" w:hAnsi="Arial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ＭＳ 明朝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Strong">
    <w:name w:val="Strong"/>
    <w:basedOn w:val="DefaultParagraphFont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1073CA-B6D5-494D-8B90-B3F9638DB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QC(MK)</cp:lastModifiedBy>
  <cp:revision>2</cp:revision>
  <cp:lastPrinted>2113-01-01T00:00:00Z</cp:lastPrinted>
  <dcterms:created xsi:type="dcterms:W3CDTF">2024-08-21T06:17:00Z</dcterms:created>
  <dcterms:modified xsi:type="dcterms:W3CDTF">2024-08-21T06:17:00Z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  <property fmtid="{D5CDD505-2E9C-101B-9397-08002B2CF9AE}" pid="10" name="MSIP_Label_0359f705-2ba0-454b-9cfc-6ce5bcaac040_Enabled">
    <vt:lpwstr>true</vt:lpwstr>
  </property>
  <property fmtid="{D5CDD505-2E9C-101B-9397-08002B2CF9AE}" pid="11" name="MSIP_Label_0359f705-2ba0-454b-9cfc-6ce5bcaac040_SetDate">
    <vt:lpwstr>2024-08-20T14:17:05Z</vt:lpwstr>
  </property>
  <property fmtid="{D5CDD505-2E9C-101B-9397-08002B2CF9AE}" pid="12" name="MSIP_Label_0359f705-2ba0-454b-9cfc-6ce5bcaac040_Method">
    <vt:lpwstr>Standard</vt:lpwstr>
  </property>
  <property fmtid="{D5CDD505-2E9C-101B-9397-08002B2CF9AE}" pid="13" name="MSIP_Label_0359f705-2ba0-454b-9cfc-6ce5bcaac040_Name">
    <vt:lpwstr>0359f705-2ba0-454b-9cfc-6ce5bcaac040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ActionId">
    <vt:lpwstr>6b7faa66-df8b-42b5-a80e-db7d156715ef</vt:lpwstr>
  </property>
  <property fmtid="{D5CDD505-2E9C-101B-9397-08002B2CF9AE}" pid="16" name="MSIP_Label_0359f705-2ba0-454b-9cfc-6ce5bcaac040_ContentBits">
    <vt:lpwstr>2</vt:lpwstr>
  </property>
</Properties>
</file>