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953C5" w14:textId="25DDEC09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128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S4-24</w:t>
      </w:r>
      <w:r w:rsidR="00D62B24">
        <w:rPr>
          <w:rFonts w:eastAsia="游明朝" w:hint="eastAsia"/>
          <w:b/>
          <w:bCs/>
          <w:noProof/>
          <w:color w:val="000000" w:themeColor="text1"/>
          <w:sz w:val="24"/>
          <w:lang w:eastAsia="ja-JP"/>
        </w:rPr>
        <w:t>1</w:t>
      </w:r>
      <w:r w:rsidR="00305658">
        <w:rPr>
          <w:rFonts w:eastAsia="游明朝" w:hint="eastAsia"/>
          <w:b/>
          <w:bCs/>
          <w:noProof/>
          <w:color w:val="000000" w:themeColor="text1"/>
          <w:sz w:val="24"/>
          <w:lang w:eastAsia="ja-JP"/>
        </w:rPr>
        <w:t>362</w:t>
      </w:r>
    </w:p>
    <w:p w14:paraId="50BF87C1" w14:textId="501B5A55" w:rsidR="00E10B6C" w:rsidRPr="001674EE" w:rsidRDefault="00EA2E42" w:rsidP="001C032B">
      <w:pPr>
        <w:pStyle w:val="CRCoverPage"/>
        <w:tabs>
          <w:tab w:val="right" w:pos="9639"/>
        </w:tabs>
        <w:spacing w:after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Jeju, Korea, 20 – 24 May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</w:t>
      </w:r>
      <w:r w:rsidR="001674EE">
        <w:rPr>
          <w:rFonts w:eastAsia="游明朝" w:hint="eastAsia"/>
          <w:b/>
          <w:noProof/>
          <w:color w:val="A6A6A6" w:themeColor="background1" w:themeShade="A6"/>
          <w:sz w:val="24"/>
          <w:lang w:eastAsia="ja-JP"/>
        </w:rPr>
        <w:t>1170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1910D2D4" w:rsidR="007E3D6E" w:rsidRPr="00F65BE0" w:rsidRDefault="007E3D6E" w:rsidP="007E3D6E">
      <w:pPr>
        <w:ind w:left="2127" w:hanging="2127"/>
        <w:jc w:val="both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Source: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425B74" w:rsidRPr="00460868">
        <w:rPr>
          <w:rFonts w:ascii="Arial" w:eastAsia="Batang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Malgun Gothic" w:hAnsi="Arial" w:cs="Arial"/>
          <w:b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</w:rPr>
        <w:t>NTT</w:t>
      </w:r>
      <w:ins w:id="0" w:author="samsung" w:date="2024-05-21T13:53:00Z">
        <w:r w:rsidR="003B2FC6">
          <w:rPr>
            <w:rFonts w:ascii="Arial" w:eastAsia="Malgun Gothic" w:hAnsi="Arial" w:cs="Arial"/>
            <w:b/>
            <w:sz w:val="24"/>
            <w:szCs w:val="24"/>
          </w:rPr>
          <w:t>, Vodafone</w:t>
        </w:r>
      </w:ins>
      <w:ins w:id="1" w:author="NTT_SA4#128" w:date="2024-05-24T11:04:00Z" w16du:dateUtc="2024-05-24T02:04:00Z">
        <w:r w:rsidR="00F65BE0">
          <w:rPr>
            <w:rFonts w:ascii="Arial" w:eastAsia="游明朝" w:hAnsi="Arial" w:cs="Arial" w:hint="eastAsia"/>
            <w:b/>
            <w:sz w:val="24"/>
            <w:szCs w:val="24"/>
            <w:lang w:eastAsia="ja-JP"/>
          </w:rPr>
          <w:t xml:space="preserve">, </w:t>
        </w:r>
        <w:r w:rsidR="00F65BE0" w:rsidRPr="00F65BE0">
          <w:rPr>
            <w:rFonts w:ascii="Arial" w:eastAsia="游明朝" w:hAnsi="Arial" w:cs="Arial"/>
            <w:b/>
            <w:sz w:val="24"/>
            <w:szCs w:val="24"/>
            <w:lang w:eastAsia="ja-JP"/>
          </w:rPr>
          <w:t>Qualcomm Incorporated</w:t>
        </w:r>
      </w:ins>
    </w:p>
    <w:p w14:paraId="6E7E0F67" w14:textId="77D49994" w:rsidR="007E3D6E" w:rsidRPr="007C10CD" w:rsidRDefault="007E3D6E" w:rsidP="007E3D6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Title: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Pr="008D1D84">
        <w:rPr>
          <w:rFonts w:ascii="Arial" w:eastAsia="Malgun Gothic" w:hAnsi="Arial" w:cs="Arial"/>
          <w:b/>
          <w:sz w:val="24"/>
          <w:szCs w:val="24"/>
          <w:highlight w:val="yellow"/>
        </w:rPr>
        <w:t>[draft]</w:t>
      </w:r>
      <w:r>
        <w:rPr>
          <w:rFonts w:ascii="Arial" w:eastAsia="Malgun Gothic" w:hAnsi="Arial" w:cs="Arial"/>
          <w:b/>
          <w:sz w:val="24"/>
          <w:szCs w:val="24"/>
        </w:rPr>
        <w:t xml:space="preserve"> </w:t>
      </w:r>
      <w:r w:rsidR="000E6AFD">
        <w:rPr>
          <w:rFonts w:ascii="Arial" w:eastAsia="Malgun Gothic" w:hAnsi="Arial" w:cs="Arial"/>
          <w:b/>
          <w:sz w:val="24"/>
          <w:szCs w:val="24"/>
        </w:rPr>
        <w:t>S</w:t>
      </w:r>
      <w:r>
        <w:rPr>
          <w:rFonts w:ascii="Arial" w:eastAsia="Malgun Gothic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Malgun Gothic" w:hAnsi="Arial" w:cs="Arial"/>
          <w:b/>
          <w:sz w:val="24"/>
          <w:szCs w:val="24"/>
        </w:rPr>
        <w:t>i</w:t>
      </w:r>
      <w:r>
        <w:rPr>
          <w:rFonts w:ascii="Arial" w:eastAsia="Malgun Gothic" w:hAnsi="Arial" w:cs="Arial"/>
          <w:b/>
          <w:sz w:val="24"/>
          <w:szCs w:val="24"/>
        </w:rPr>
        <w:t>mmersive Real-</w:t>
      </w:r>
      <w:r w:rsidR="00101A86">
        <w:rPr>
          <w:rFonts w:ascii="Arial" w:eastAsia="Malgun Gothic" w:hAnsi="Arial" w:cs="Arial"/>
          <w:b/>
          <w:sz w:val="24"/>
          <w:szCs w:val="24"/>
        </w:rPr>
        <w:t>T</w:t>
      </w:r>
      <w:r>
        <w:rPr>
          <w:rFonts w:ascii="Arial" w:eastAsia="Malgun Gothic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Malgun Gothic" w:hAnsi="Arial" w:cs="Arial"/>
          <w:b/>
          <w:sz w:val="24"/>
          <w:szCs w:val="24"/>
        </w:rPr>
        <w:t>C</w:t>
      </w:r>
      <w:r>
        <w:rPr>
          <w:rFonts w:ascii="Arial" w:eastAsia="Malgun Gothic" w:hAnsi="Arial" w:cs="Arial"/>
          <w:b/>
          <w:sz w:val="24"/>
          <w:szCs w:val="24"/>
        </w:rPr>
        <w:t>ommunication for WebRTC</w:t>
      </w:r>
      <w:r w:rsidR="00425B74">
        <w:rPr>
          <w:rFonts w:ascii="Arial" w:eastAsia="Malgun Gothic" w:hAnsi="Arial" w:cs="Arial"/>
          <w:b/>
          <w:sz w:val="24"/>
          <w:szCs w:val="24"/>
        </w:rPr>
        <w:t>,</w:t>
      </w:r>
      <w:r>
        <w:rPr>
          <w:rFonts w:ascii="Arial" w:eastAsia="Malgun Gothic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Document for: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425B74">
        <w:rPr>
          <w:rFonts w:ascii="Arial" w:eastAsia="Malgun Gothic" w:hAnsi="Arial" w:cs="Arial"/>
          <w:b/>
          <w:sz w:val="24"/>
          <w:szCs w:val="24"/>
        </w:rPr>
        <w:t>Approval</w:t>
      </w:r>
    </w:p>
    <w:p w14:paraId="2E5C1264" w14:textId="48857702" w:rsidR="007E3D6E" w:rsidRPr="00717DE4" w:rsidRDefault="007E3D6E" w:rsidP="007E3D6E">
      <w:pPr>
        <w:ind w:left="2127" w:hanging="2127"/>
        <w:jc w:val="both"/>
        <w:rPr>
          <w:rFonts w:ascii="Arial" w:eastAsia="游明朝" w:hAnsi="Arial" w:cs="Arial" w:hint="eastAsia"/>
          <w:b/>
          <w:sz w:val="24"/>
          <w:szCs w:val="24"/>
          <w:lang w:eastAsia="ja-JP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Agenda Item: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717DE4">
        <w:rPr>
          <w:rFonts w:ascii="Arial" w:eastAsia="游明朝" w:hAnsi="Arial" w:cs="Arial" w:hint="eastAsia"/>
          <w:b/>
          <w:sz w:val="24"/>
          <w:szCs w:val="24"/>
          <w:lang w:eastAsia="ja-JP"/>
        </w:rPr>
        <w:t>18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Batang" w:cs="Arial"/>
          <w:szCs w:val="36"/>
          <w:lang w:val="en-US" w:eastAsia="zh-CN"/>
        </w:rPr>
        <w:t>i</w:t>
      </w:r>
      <w:r w:rsidR="00833D8A">
        <w:rPr>
          <w:rFonts w:eastAsia="Batang" w:cs="Arial"/>
          <w:szCs w:val="36"/>
          <w:lang w:val="en-US" w:eastAsia="zh-CN"/>
        </w:rPr>
        <w:t>mmersive</w:t>
      </w:r>
      <w:r w:rsidR="00460868" w:rsidRPr="00460868">
        <w:rPr>
          <w:rFonts w:eastAsia="Batang" w:cs="Arial"/>
          <w:szCs w:val="36"/>
          <w:lang w:val="en-US" w:eastAsia="zh-CN"/>
        </w:rPr>
        <w:t xml:space="preserve"> Real-</w:t>
      </w:r>
      <w:r w:rsidR="00D52125">
        <w:rPr>
          <w:rFonts w:eastAsia="Batang" w:cs="Arial"/>
          <w:szCs w:val="36"/>
          <w:lang w:val="en-US" w:eastAsia="zh-CN"/>
        </w:rPr>
        <w:t>T</w:t>
      </w:r>
      <w:r w:rsidR="00460868" w:rsidRPr="00460868">
        <w:rPr>
          <w:rFonts w:eastAsia="Batang" w:cs="Arial"/>
          <w:szCs w:val="36"/>
          <w:lang w:val="en-US" w:eastAsia="zh-CN"/>
        </w:rPr>
        <w:t xml:space="preserve">ime </w:t>
      </w:r>
      <w:r w:rsidR="00D52125">
        <w:rPr>
          <w:rFonts w:eastAsia="Batang" w:cs="Arial"/>
          <w:szCs w:val="36"/>
          <w:lang w:val="en-US" w:eastAsia="zh-CN"/>
        </w:rPr>
        <w:t>C</w:t>
      </w:r>
      <w:r w:rsidR="00833D8A">
        <w:rPr>
          <w:rFonts w:eastAsia="Batang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Batang" w:cs="Arial"/>
          <w:szCs w:val="36"/>
          <w:lang w:val="en-US" w:eastAsia="zh-CN"/>
        </w:rPr>
        <w:t>for WebRTC</w:t>
      </w:r>
      <w:r w:rsidR="00425B74">
        <w:rPr>
          <w:rFonts w:eastAsia="Batang" w:cs="Arial"/>
          <w:szCs w:val="36"/>
          <w:lang w:val="en-US" w:eastAsia="zh-CN"/>
        </w:rPr>
        <w:t>,</w:t>
      </w:r>
      <w:r w:rsidR="00460868" w:rsidRPr="00460868">
        <w:rPr>
          <w:rFonts w:eastAsia="Batang" w:cs="Arial"/>
          <w:szCs w:val="36"/>
          <w:lang w:val="en-US" w:eastAsia="zh-CN"/>
        </w:rPr>
        <w:t xml:space="preserve"> Phase 2</w:t>
      </w:r>
    </w:p>
    <w:p w14:paraId="4520DCE2" w14:textId="7AD47CA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  <w:ins w:id="2" w:author="Hakju Ryan Lee" w:date="2024-04-25T15:49:00Z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  <w:rPr>
                <w:ins w:id="3" w:author="Hakju Ryan Lee" w:date="2024-04-25T15:49:00Z"/>
              </w:rPr>
            </w:pPr>
            <w:ins w:id="4" w:author="Hakju Ryan Lee" w:date="2024-04-25T15:50:00Z">
              <w:r w:rsidRPr="00305153">
                <w:t>1030006</w:t>
              </w:r>
            </w:ins>
          </w:p>
        </w:tc>
        <w:tc>
          <w:tcPr>
            <w:tcW w:w="3326" w:type="dxa"/>
          </w:tcPr>
          <w:p w14:paraId="5B3F071B" w14:textId="32618770" w:rsidR="00305153" w:rsidRPr="00F66505" w:rsidRDefault="00305153" w:rsidP="00F66505">
            <w:pPr>
              <w:pStyle w:val="TAL"/>
              <w:rPr>
                <w:ins w:id="5" w:author="Hakju Ryan Lee" w:date="2024-04-25T15:49:00Z"/>
              </w:rPr>
            </w:pPr>
            <w:ins w:id="6" w:author="Hakju Ryan Lee" w:date="2024-04-25T15:50:00Z">
              <w:r>
                <w:rPr>
                  <w:rFonts w:cs="Arial"/>
                  <w:color w:val="000000"/>
                  <w:szCs w:val="18"/>
                </w:rPr>
                <w:t>Study on Advanced Media Delivery (FS_AMD)</w:t>
              </w:r>
            </w:ins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  <w:rPr>
                <w:ins w:id="7" w:author="Hakju Ryan Lee" w:date="2024-04-25T15:49:00Z"/>
              </w:rPr>
            </w:pPr>
            <w:ins w:id="8" w:author="Hakju Ryan Lee" w:date="2024-04-25T15:50:00Z">
              <w:r w:rsidRPr="00305153">
                <w:t>Further harmonization of RTC and Streaming for Advanced Media Delivery</w:t>
              </w:r>
            </w:ins>
          </w:p>
        </w:tc>
      </w:tr>
      <w:tr w:rsidR="00305153" w14:paraId="36D77D3E" w14:textId="77777777" w:rsidTr="005875D6">
        <w:trPr>
          <w:cantSplit/>
          <w:jc w:val="center"/>
          <w:ins w:id="9" w:author="Hakju Ryan Lee" w:date="2024-04-25T15:51:00Z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  <w:rPr>
                <w:ins w:id="10" w:author="Hakju Ryan Lee" w:date="2024-04-25T15:51:00Z"/>
              </w:rPr>
            </w:pPr>
            <w:ins w:id="11" w:author="Hakju Ryan Lee" w:date="2024-04-25T15:51:00Z">
              <w:r w:rsidRPr="00305153">
                <w:t>950015</w:t>
              </w:r>
            </w:ins>
          </w:p>
        </w:tc>
        <w:tc>
          <w:tcPr>
            <w:tcW w:w="3326" w:type="dxa"/>
          </w:tcPr>
          <w:p w14:paraId="565AF7CE" w14:textId="24A74968" w:rsidR="00305153" w:rsidRDefault="00305153" w:rsidP="00F66505">
            <w:pPr>
              <w:pStyle w:val="TAL"/>
              <w:rPr>
                <w:ins w:id="12" w:author="Hakju Ryan Lee" w:date="2024-04-25T15:51:00Z"/>
                <w:rFonts w:cs="Arial"/>
                <w:color w:val="000000"/>
                <w:szCs w:val="18"/>
              </w:rPr>
            </w:pPr>
            <w:ins w:id="13" w:author="Hakju Ryan Lee" w:date="2024-04-25T15:52:00Z">
              <w:r w:rsidRPr="00305153">
                <w:rPr>
                  <w:rFonts w:cs="Arial"/>
                  <w:color w:val="000000"/>
                  <w:szCs w:val="18"/>
                </w:rPr>
                <w:t>Media Capabilities for Augmented Reality</w:t>
              </w:r>
              <w:r>
                <w:rPr>
                  <w:rFonts w:cs="Arial"/>
                  <w:color w:val="000000"/>
                  <w:szCs w:val="18"/>
                </w:rPr>
                <w:t xml:space="preserve"> (MeCAR)</w:t>
              </w:r>
            </w:ins>
          </w:p>
        </w:tc>
        <w:tc>
          <w:tcPr>
            <w:tcW w:w="5099" w:type="dxa"/>
          </w:tcPr>
          <w:p w14:paraId="7AE17878" w14:textId="29474C81" w:rsidR="00305153" w:rsidRPr="005D4AA5" w:rsidRDefault="00E12E6D" w:rsidP="00E12E6D">
            <w:pPr>
              <w:pStyle w:val="TAL"/>
              <w:rPr>
                <w:ins w:id="14" w:author="Hakju Ryan Lee" w:date="2024-04-25T15:51:00Z"/>
                <w:rFonts w:eastAsia="Malgun Gothic"/>
                <w:lang w:eastAsia="ko-KR"/>
              </w:rPr>
            </w:pPr>
            <w:ins w:id="15" w:author="Hakju Ryan Lee" w:date="2024-04-25T15:53:00Z">
              <w:r>
                <w:rPr>
                  <w:rFonts w:eastAsia="Malgun Gothic"/>
                  <w:lang w:eastAsia="ko-KR"/>
                </w:rPr>
                <w:t>S</w:t>
              </w:r>
            </w:ins>
            <w:ins w:id="16" w:author="Hakju Ryan Lee" w:date="2024-04-25T15:52:00Z">
              <w:r w:rsidR="005D4AA5">
                <w:rPr>
                  <w:rFonts w:eastAsia="Malgun Gothic" w:hint="eastAsia"/>
                  <w:lang w:eastAsia="ko-KR"/>
                </w:rPr>
                <w:t xml:space="preserve">ignalling and </w:t>
              </w:r>
              <w:r w:rsidR="005D4AA5">
                <w:rPr>
                  <w:rFonts w:eastAsia="Malgun Gothic"/>
                  <w:lang w:eastAsia="ko-KR"/>
                </w:rPr>
                <w:t>metadata</w:t>
              </w:r>
              <w:r w:rsidR="005D4AA5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17" w:author="Hakju Ryan Lee" w:date="2024-04-25T15:53:00Z">
              <w:r w:rsidR="005D4AA5">
                <w:rPr>
                  <w:rFonts w:eastAsia="Malgun Gothic"/>
                  <w:lang w:eastAsia="ko-KR"/>
                </w:rPr>
                <w:t>for immersive media communication</w:t>
              </w:r>
              <w:r>
                <w:rPr>
                  <w:rFonts w:eastAsia="Malgun Gothic"/>
                  <w:lang w:eastAsia="ko-KR"/>
                </w:rPr>
                <w:t xml:space="preserve"> specified</w:t>
              </w:r>
            </w:ins>
          </w:p>
        </w:tc>
      </w:tr>
      <w:tr w:rsidR="0007049D" w14:paraId="63D7044F" w14:textId="77777777" w:rsidTr="005875D6">
        <w:trPr>
          <w:cantSplit/>
          <w:jc w:val="center"/>
          <w:ins w:id="18" w:author="Hakju Ryan Lee" w:date="2024-04-25T15:53:00Z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  <w:rPr>
                <w:ins w:id="19" w:author="Hakju Ryan Lee" w:date="2024-04-25T15:53:00Z"/>
              </w:rPr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ins w:id="20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ins w:id="21" w:author="Hakju Ryan Lee" w:date="2024-04-25T15:53:00Z"/>
                <w:rFonts w:eastAsia="Malgun Gothic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  <w:ins w:id="22" w:author="Hakju Ryan Lee" w:date="2024-04-25T15:53:00Z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  <w:rPr>
                <w:ins w:id="23" w:author="Hakju Ryan Lee" w:date="2024-04-25T15:53:00Z"/>
              </w:rPr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ins w:id="24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ins w:id="25" w:author="Hakju Ryan Lee" w:date="2024-04-25T15:53:00Z"/>
                <w:rFonts w:eastAsia="Malgun Gothic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1"/>
      </w:pPr>
      <w:bookmarkStart w:id="26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0D6B82B7" w:rsidR="0053633D" w:rsidRDefault="0053633D" w:rsidP="006C3E3A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addition, SA4 had studied the </w:t>
      </w:r>
      <w:r w:rsidR="00B20EB8">
        <w:rPr>
          <w:rFonts w:eastAsia="游明朝"/>
          <w:lang w:eastAsia="ja-JP"/>
        </w:rPr>
        <w:t>possible enhancement of</w:t>
      </w:r>
      <w:r>
        <w:rPr>
          <w:rFonts w:eastAsia="游明朝"/>
          <w:lang w:eastAsia="ja-JP"/>
        </w:rPr>
        <w:t xml:space="preserve"> RTC architecture and </w:t>
      </w:r>
      <w:r w:rsidR="00B20EB8">
        <w:rPr>
          <w:rFonts w:eastAsia="游明朝"/>
          <w:lang w:eastAsia="ja-JP"/>
        </w:rPr>
        <w:t xml:space="preserve">its </w:t>
      </w:r>
      <w:r>
        <w:rPr>
          <w:rFonts w:eastAsia="游明朝"/>
          <w:lang w:eastAsia="ja-JP"/>
        </w:rPr>
        <w:t>associated signalling protocols (</w:t>
      </w:r>
      <w:proofErr w:type="spellStart"/>
      <w:r>
        <w:rPr>
          <w:rFonts w:eastAsia="游明朝"/>
          <w:lang w:eastAsia="ja-JP"/>
        </w:rPr>
        <w:t>FS_eiRTCW</w:t>
      </w:r>
      <w:proofErr w:type="spellEnd"/>
      <w:r>
        <w:rPr>
          <w:rFonts w:eastAsia="游明朝"/>
          <w:lang w:eastAsia="ja-JP"/>
        </w:rPr>
        <w:t>, UID=950012) for some specific collaboration scenarios</w:t>
      </w:r>
      <w:r w:rsidR="009738F3">
        <w:rPr>
          <w:rFonts w:eastAsia="游明朝"/>
          <w:lang w:eastAsia="ja-JP"/>
        </w:rPr>
        <w:t xml:space="preserve">. This study does not provide any recommendation for normative works, but it contains some useful key findings </w:t>
      </w:r>
      <w:r w:rsidR="00B20EB8">
        <w:rPr>
          <w:rFonts w:eastAsia="游明朝"/>
          <w:lang w:eastAsia="ja-JP"/>
        </w:rPr>
        <w:t>to be considered as improved/extended RTC features in Rel</w:t>
      </w:r>
      <w:r w:rsidR="00187F0D">
        <w:rPr>
          <w:rFonts w:eastAsia="游明朝"/>
          <w:lang w:eastAsia="ja-JP"/>
        </w:rPr>
        <w:t>ease</w:t>
      </w:r>
      <w:r w:rsidR="00B20EB8">
        <w:rPr>
          <w:rFonts w:eastAsia="游明朝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better support the immersive media </w:t>
      </w:r>
      <w:r>
        <w:rPr>
          <w:rFonts w:eastAsia="Malgun Gothic"/>
          <w:lang w:eastAsia="ko-KR"/>
        </w:rPr>
        <w:t>communication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over RTC</w:t>
      </w:r>
      <w:r w:rsidR="00E54BB5">
        <w:rPr>
          <w:rFonts w:eastAsia="Malgun Gothic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Malgun Gothic"/>
          <w:lang w:eastAsia="ko-KR"/>
        </w:rPr>
        <w:t xml:space="preserve"> further</w:t>
      </w:r>
      <w:r w:rsidR="00E54BB5">
        <w:rPr>
          <w:rFonts w:eastAsia="Malgun Gothic"/>
          <w:lang w:eastAsia="ko-KR"/>
        </w:rPr>
        <w:t>:</w:t>
      </w:r>
    </w:p>
    <w:p w14:paraId="69652B9F" w14:textId="090749BC" w:rsidR="00B65137" w:rsidRDefault="00B65137" w:rsidP="00E454AD">
      <w:pPr>
        <w:pStyle w:val="B1"/>
        <w:rPr>
          <w:ins w:id="27" w:author="NTTr2" w:date="2024-04-30T12:00:00Z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 xml:space="preserve">edia capabilities, </w:t>
      </w:r>
      <w:proofErr w:type="gramStart"/>
      <w:r w:rsidR="009D2737" w:rsidRPr="00E54BB5">
        <w:rPr>
          <w:b/>
        </w:rPr>
        <w:t>profiles</w:t>
      </w:r>
      <w:proofErr w:type="gramEnd"/>
      <w:r w:rsidR="009D2737" w:rsidRPr="00E54BB5">
        <w:rPr>
          <w:b/>
        </w:rPr>
        <w:t xml:space="preserve">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48492B99" w:rsidR="00B460E6" w:rsidRDefault="00A20D54" w:rsidP="00E454AD">
      <w:pPr>
        <w:pStyle w:val="B1"/>
        <w:rPr>
          <w:ins w:id="28" w:author="Hakju Ryan Lee" w:date="2024-05-02T09:18:00Z"/>
        </w:rPr>
      </w:pPr>
      <w:ins w:id="29" w:author="NTTr2" w:date="2024-05-01T15:20:00Z">
        <w:r>
          <w:rPr>
            <w:b/>
          </w:rPr>
          <w:t>2</w:t>
        </w:r>
      </w:ins>
      <w:ins w:id="30" w:author="NTTr2" w:date="2024-05-01T15:19:00Z">
        <w:r w:rsidRPr="00E54BB5">
          <w:rPr>
            <w:b/>
          </w:rPr>
          <w:t>.</w:t>
        </w:r>
        <w:r w:rsidRPr="00E54BB5">
          <w:rPr>
            <w:b/>
          </w:rPr>
          <w:tab/>
        </w:r>
      </w:ins>
      <w:ins w:id="31" w:author="Hakju Ryan Lee" w:date="2024-05-02T09:15:00Z">
        <w:r w:rsidR="00F473E5">
          <w:rPr>
            <w:b/>
          </w:rPr>
          <w:t>S</w:t>
        </w:r>
      </w:ins>
      <w:ins w:id="32" w:author="Hakju Ryan Lee" w:date="2024-05-02T08:55:00Z">
        <w:r w:rsidR="00281835">
          <w:rPr>
            <w:b/>
          </w:rPr>
          <w:t xml:space="preserve">ignalling </w:t>
        </w:r>
      </w:ins>
      <w:ins w:id="33" w:author="Hakju Ryan Lee" w:date="2024-05-02T09:08:00Z">
        <w:r w:rsidR="00F473E5">
          <w:rPr>
            <w:b/>
          </w:rPr>
          <w:t xml:space="preserve">and metadata </w:t>
        </w:r>
      </w:ins>
      <w:ins w:id="34" w:author="Hakju Ryan Lee" w:date="2024-05-02T08:55:00Z">
        <w:r w:rsidR="00281835">
          <w:rPr>
            <w:b/>
          </w:rPr>
          <w:t xml:space="preserve">to support </w:t>
        </w:r>
        <w:r w:rsidR="00281835" w:rsidRPr="00281835">
          <w:rPr>
            <w:b/>
          </w:rPr>
          <w:t>immersive media capabilities</w:t>
        </w:r>
      </w:ins>
      <w:ins w:id="35" w:author="NTTr2" w:date="2024-05-01T15:19:00Z">
        <w:r>
          <w:br/>
        </w:r>
      </w:ins>
      <w:ins w:id="36" w:author="Hakju Ryan Lee" w:date="2024-05-02T08:57:00Z">
        <w:r w:rsidR="007E4647">
          <w:rPr>
            <w:rFonts w:eastAsia="Malgun Gothic"/>
            <w:lang w:eastAsia="ko-KR"/>
          </w:rPr>
          <w:t xml:space="preserve">TS 26.113 specified </w:t>
        </w:r>
      </w:ins>
      <w:ins w:id="37" w:author="Hakju Ryan Lee" w:date="2024-05-02T08:59:00Z">
        <w:r w:rsidR="007E4647">
          <w:rPr>
            <w:rFonts w:eastAsia="Malgun Gothic"/>
            <w:lang w:eastAsia="ko-KR"/>
          </w:rPr>
          <w:t xml:space="preserve">reference point of </w:t>
        </w:r>
      </w:ins>
      <w:ins w:id="38" w:author="Hakju Ryan Lee" w:date="2024-05-02T08:58:00Z">
        <w:r w:rsidR="007E4647">
          <w:rPr>
            <w:rFonts w:eastAsia="Malgun Gothic"/>
            <w:lang w:eastAsia="ko-KR"/>
          </w:rPr>
          <w:t>RTC-4s</w:t>
        </w:r>
      </w:ins>
      <w:ins w:id="39" w:author="Hakju Ryan Lee" w:date="2024-05-02T08:59:00Z">
        <w:r w:rsidR="007E4647">
          <w:rPr>
            <w:rFonts w:eastAsia="Malgun Gothic"/>
            <w:lang w:eastAsia="ko-KR"/>
          </w:rPr>
          <w:t xml:space="preserve"> </w:t>
        </w:r>
      </w:ins>
      <w:ins w:id="40" w:author="Hakju Ryan Lee" w:date="2024-05-02T09:08:00Z">
        <w:r w:rsidR="00F473E5">
          <w:rPr>
            <w:rFonts w:eastAsia="Malgun Gothic"/>
            <w:lang w:eastAsia="ko-KR"/>
          </w:rPr>
          <w:t xml:space="preserve">and RTC-4m </w:t>
        </w:r>
      </w:ins>
      <w:ins w:id="41" w:author="Hakju Ryan Lee" w:date="2024-05-02T08:59:00Z">
        <w:r w:rsidR="007E4647">
          <w:rPr>
            <w:rFonts w:eastAsia="Malgun Gothic"/>
            <w:lang w:eastAsia="ko-KR"/>
          </w:rPr>
          <w:t xml:space="preserve">for exchange of signalling </w:t>
        </w:r>
      </w:ins>
      <w:ins w:id="42" w:author="Hakju Ryan Lee" w:date="2024-05-02T09:08:00Z">
        <w:r w:rsidR="00F473E5">
          <w:rPr>
            <w:rFonts w:eastAsia="Malgun Gothic"/>
            <w:lang w:eastAsia="ko-KR"/>
          </w:rPr>
          <w:t xml:space="preserve">and metadata </w:t>
        </w:r>
      </w:ins>
      <w:ins w:id="43" w:author="Hakju Ryan Lee" w:date="2024-05-02T08:59:00Z">
        <w:r w:rsidR="007E4647">
          <w:rPr>
            <w:rFonts w:eastAsia="Malgun Gothic"/>
            <w:lang w:eastAsia="ko-KR"/>
          </w:rPr>
          <w:t>information</w:t>
        </w:r>
      </w:ins>
      <w:ins w:id="44" w:author="Hakju Ryan Lee" w:date="2024-05-02T09:08:00Z">
        <w:r w:rsidR="00F473E5">
          <w:rPr>
            <w:rFonts w:eastAsia="Malgun Gothic"/>
            <w:lang w:eastAsia="ko-KR"/>
          </w:rPr>
          <w:t xml:space="preserve">, </w:t>
        </w:r>
        <w:r w:rsidR="00F473E5" w:rsidRPr="00C413C0">
          <w:rPr>
            <w:rFonts w:eastAsia="Malgun Gothic"/>
            <w:lang w:eastAsia="ko-KR"/>
          </w:rPr>
          <w:t xml:space="preserve">respectively, </w:t>
        </w:r>
      </w:ins>
      <w:proofErr w:type="gramStart"/>
      <w:ins w:id="45" w:author="Hakju Ryan Lee" w:date="2024-05-02T20:08:00Z">
        <w:r w:rsidR="00C413C0" w:rsidRPr="00C413C0">
          <w:rPr>
            <w:rFonts w:hint="eastAsia"/>
            <w:lang w:eastAsia="ja-JP"/>
          </w:rPr>
          <w:t>However</w:t>
        </w:r>
        <w:proofErr w:type="gramEnd"/>
        <w:r w:rsidR="00C413C0" w:rsidRPr="00C413C0">
          <w:rPr>
            <w:rFonts w:hint="eastAsia"/>
            <w:lang w:eastAsia="ja-JP"/>
          </w:rPr>
          <w:t xml:space="preserve"> there </w:t>
        </w:r>
      </w:ins>
      <w:ins w:id="46" w:author="Hakju Ryan Lee" w:date="2024-05-02T20:10:00Z">
        <w:r w:rsidR="00C413C0">
          <w:rPr>
            <w:lang w:eastAsia="ja-JP"/>
          </w:rPr>
          <w:t xml:space="preserve">needs more studies </w:t>
        </w:r>
      </w:ins>
      <w:ins w:id="47" w:author="Hakju Ryan Lee" w:date="2024-05-02T20:08:00Z">
        <w:r w:rsidR="00C413C0" w:rsidRPr="00C413C0">
          <w:rPr>
            <w:rFonts w:hint="eastAsia"/>
            <w:lang w:eastAsia="ja-JP"/>
          </w:rPr>
          <w:t>to improve the usage of these interfaces.</w:t>
        </w:r>
      </w:ins>
      <w:ins w:id="48" w:author="Hakju Ryan Lee" w:date="2024-05-02T09:11:00Z">
        <w:r w:rsidR="00F473E5" w:rsidRPr="00C413C0">
          <w:rPr>
            <w:rFonts w:eastAsia="Malgun Gothic"/>
            <w:lang w:eastAsia="ko-KR"/>
          </w:rPr>
          <w:t xml:space="preserve"> </w:t>
        </w:r>
      </w:ins>
      <w:ins w:id="49" w:author="Hakju Ryan Lee" w:date="2024-05-02T09:18:00Z">
        <w:r w:rsidR="00B460E6" w:rsidRPr="00C413C0">
          <w:rPr>
            <w:rFonts w:eastAsia="Malgun Gothic"/>
            <w:lang w:eastAsia="ko-KR"/>
          </w:rPr>
          <w:t xml:space="preserve">Particularly, </w:t>
        </w:r>
      </w:ins>
      <w:ins w:id="50" w:author="NTTr2" w:date="2024-04-30T12:00:00Z">
        <w:del w:id="51" w:author="Hakju Ryan Lee" w:date="2024-05-02T09:02:00Z">
          <w:r w:rsidR="00CE7595" w:rsidDel="007E4647">
            <w:rPr>
              <w:rFonts w:eastAsia="Malgun Gothic"/>
              <w:lang w:eastAsia="ko-KR"/>
            </w:rPr>
            <w:delText>T</w:delText>
          </w:r>
        </w:del>
      </w:ins>
      <w:ins w:id="52" w:author="Hakju Ryan Lee" w:date="2024-05-02T09:02:00Z">
        <w:r w:rsidR="007E4647">
          <w:rPr>
            <w:rFonts w:eastAsia="Malgun Gothic"/>
            <w:lang w:eastAsia="ko-KR"/>
          </w:rPr>
          <w:t>t</w:t>
        </w:r>
      </w:ins>
      <w:ins w:id="53" w:author="NTTr2" w:date="2024-04-30T12:00:00Z">
        <w:r w:rsidR="00CE7595">
          <w:rPr>
            <w:rFonts w:eastAsia="Malgun Gothic"/>
            <w:lang w:eastAsia="ko-KR"/>
          </w:rPr>
          <w:t xml:space="preserve">he </w:t>
        </w:r>
        <w:r w:rsidR="00CE7595">
          <w:t>device type and media capabilities identifiers specifically for UEs with immersive media capabilities</w:t>
        </w:r>
      </w:ins>
      <w:ins w:id="54" w:author="NTTr2" w:date="2024-04-30T12:01:00Z">
        <w:r w:rsidR="00CE7595">
          <w:t xml:space="preserve"> are defined in TS</w:t>
        </w:r>
        <w:r w:rsidR="00CE7595">
          <w:rPr>
            <w:lang w:val="en-US"/>
          </w:rPr>
          <w:t> 26.119</w:t>
        </w:r>
      </w:ins>
      <w:ins w:id="55" w:author="Hakju Ryan Lee" w:date="2024-05-02T09:18:00Z">
        <w:r w:rsidR="00B460E6">
          <w:t xml:space="preserve">, but </w:t>
        </w:r>
      </w:ins>
      <w:ins w:id="56" w:author="Hakju Ryan Lee" w:date="2024-05-02T09:19:00Z">
        <w:r w:rsidR="00B460E6">
          <w:t xml:space="preserve">26.113 did not specify how these identifiers could be incorporated into RTC system. </w:t>
        </w:r>
      </w:ins>
      <w:ins w:id="57" w:author="Hakju Ryan Lee" w:date="2024-05-02T09:20:00Z">
        <w:r w:rsidR="00B460E6">
          <w:t>Also, 26.113 addressed some essential metadata (</w:t>
        </w:r>
        <w:proofErr w:type="spellStart"/>
        <w:proofErr w:type="gramStart"/>
        <w:r w:rsidR="00B460E6">
          <w:t>e.g</w:t>
        </w:r>
        <w:proofErr w:type="spellEnd"/>
        <w:r w:rsidR="00B460E6">
          <w:t>,.</w:t>
        </w:r>
        <w:proofErr w:type="gramEnd"/>
        <w:r w:rsidR="00B460E6">
          <w:t xml:space="preserve"> depth sensors)</w:t>
        </w:r>
      </w:ins>
      <w:ins w:id="58" w:author="Hakju Ryan Lee" w:date="2024-05-02T09:22:00Z">
        <w:r w:rsidR="00B460E6">
          <w:t xml:space="preserve"> in the Annex</w:t>
        </w:r>
      </w:ins>
      <w:ins w:id="59" w:author="Hakju Ryan Lee" w:date="2024-05-02T09:20:00Z">
        <w:r w:rsidR="00B460E6">
          <w:t xml:space="preserve">, but it </w:t>
        </w:r>
      </w:ins>
      <w:ins w:id="60" w:author="Hakju Ryan Lee" w:date="2024-05-02T09:21:00Z">
        <w:r w:rsidR="00B460E6">
          <w:t xml:space="preserve">remains as FFS how to make this usable. </w:t>
        </w:r>
      </w:ins>
      <w:ins w:id="61" w:author="Hakju Ryan Lee" w:date="2024-05-02T09:22:00Z">
        <w:r w:rsidR="00B460E6">
          <w:t xml:space="preserve">In this study, </w:t>
        </w:r>
      </w:ins>
      <w:ins w:id="62" w:author="Hakju Ryan Lee" w:date="2024-05-02T09:29:00Z">
        <w:r w:rsidR="007344BA">
          <w:t xml:space="preserve">the requirements and the potential list of signalling and metadata are identified. </w:t>
        </w:r>
      </w:ins>
    </w:p>
    <w:p w14:paraId="69475298" w14:textId="1E141403" w:rsidR="00B65137" w:rsidRPr="002B41EB" w:rsidRDefault="005B1EDA" w:rsidP="00E454AD">
      <w:pPr>
        <w:pStyle w:val="B1"/>
        <w:rPr>
          <w:ins w:id="63" w:author="Hakju Ryan Lee" w:date="2024-04-25T15:03:00Z"/>
        </w:rPr>
      </w:pPr>
      <w:ins w:id="64" w:author="NTTr2" w:date="2024-05-01T16:00:00Z">
        <w:r>
          <w:rPr>
            <w:b/>
          </w:rPr>
          <w:lastRenderedPageBreak/>
          <w:t>3</w:t>
        </w:r>
      </w:ins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ins w:id="65" w:author="Kenjiro Arai" w:date="2024-05-01T13:20:00Z">
        <w:r w:rsidR="00A405ED" w:rsidRPr="002B41EB">
          <w:rPr>
            <w:rFonts w:eastAsia="游明朝" w:hint="eastAsia"/>
            <w:lang w:eastAsia="ja-JP"/>
          </w:rPr>
          <w:t>s</w:t>
        </w:r>
        <w:r w:rsidR="00A405ED" w:rsidRPr="002B41EB">
          <w:rPr>
            <w:rFonts w:eastAsia="游明朝"/>
            <w:lang w:eastAsia="ja-JP"/>
          </w:rPr>
          <w:t>pecified</w:t>
        </w:r>
      </w:ins>
      <w:del w:id="66" w:author="Kenjiro Arai" w:date="2024-05-01T13:20:00Z">
        <w:r w:rsidR="001100B1" w:rsidRPr="002B41EB" w:rsidDel="00A405ED">
          <w:delText>developed</w:delText>
        </w:r>
      </w:del>
      <w:r w:rsidR="001100B1" w:rsidRPr="002B41EB">
        <w:t xml:space="preserve"> the</w:t>
      </w:r>
      <w:r w:rsidR="001100B1">
        <w:t xml:space="preserve"> basic architecture for collaboration scenario 3, where all the required functional entities </w:t>
      </w:r>
      <w:proofErr w:type="gramStart"/>
      <w:r w:rsidR="001100B1">
        <w:t>are located in</w:t>
      </w:r>
      <w:proofErr w:type="gramEnd"/>
      <w:r w:rsidR="001100B1">
        <w:t xml:space="preserve">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</w:t>
      </w:r>
      <w:proofErr w:type="spellStart"/>
      <w:r w:rsidR="0073357D">
        <w:t>FS_eiRTCW</w:t>
      </w:r>
      <w:proofErr w:type="spellEnd"/>
      <w:r w:rsidR="0073357D">
        <w:t>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del w:id="67" w:author="NTTr1" w:date="2024-04-23T16:47:00Z">
        <w:r w:rsidR="005F0092" w:rsidRPr="00B64C88" w:rsidDel="00B64C88">
          <w:delText>this</w:delText>
        </w:r>
        <w:r w:rsidR="005F0092" w:rsidRPr="003919F7" w:rsidDel="00B64C88">
          <w:delText xml:space="preserve"> </w:delText>
        </w:r>
      </w:del>
      <w:ins w:id="68" w:author="NTTr1" w:date="2024-04-23T16:46:00Z">
        <w:r w:rsidR="00B64C88">
          <w:t xml:space="preserve">these </w:t>
        </w:r>
      </w:ins>
      <w:r w:rsidR="005F0092" w:rsidRPr="003919F7">
        <w:t>enhanced fe</w:t>
      </w:r>
      <w:r w:rsidR="005F0092" w:rsidRPr="002B41EB">
        <w:t xml:space="preserve">atures have </w:t>
      </w:r>
      <w:ins w:id="69" w:author="NTTr1" w:date="2024-04-23T16:46:00Z">
        <w:del w:id="70" w:author="Hakju Ryan Lee" w:date="2024-04-25T11:07:00Z">
          <w:r w:rsidR="00B64C88" w:rsidRPr="002B41EB" w:rsidDel="00D309DC">
            <w:delText>possible</w:delText>
          </w:r>
        </w:del>
      </w:ins>
      <w:del w:id="71" w:author="Hakju Ryan Lee" w:date="2024-04-25T11:07:00Z">
        <w:r w:rsidR="005F0092" w:rsidRPr="002B41EB" w:rsidDel="00D309DC">
          <w:delText>an</w:delText>
        </w:r>
      </w:del>
      <w:ins w:id="72" w:author="Hakju Ryan Lee" w:date="2024-04-25T11:07:00Z">
        <w:r w:rsidR="00D309DC" w:rsidRPr="002B41EB">
          <w:t>potential</w:t>
        </w:r>
      </w:ins>
      <w:r w:rsidR="005F0092" w:rsidRPr="002B41EB">
        <w:t xml:space="preserve"> impact</w:t>
      </w:r>
      <w:ins w:id="73" w:author="NTTr1" w:date="2024-04-23T16:52:00Z">
        <w:r w:rsidR="00B303F3" w:rsidRPr="002B41EB">
          <w:t>s</w:t>
        </w:r>
      </w:ins>
      <w:r w:rsidR="005F0092" w:rsidRPr="002B41EB">
        <w:t xml:space="preserve"> on the 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ins w:id="74" w:author="Kenjiro Arai" w:date="2024-05-01T13:55:00Z">
        <w:r w:rsidR="00A5237E">
          <w:t xml:space="preserve">the followings </w:t>
        </w:r>
      </w:ins>
      <w:r w:rsidR="005F0092" w:rsidRPr="002B41EB">
        <w:t>in this study</w:t>
      </w:r>
      <w:del w:id="75" w:author="Kenjiro Arai" w:date="2024-05-01T13:56:00Z">
        <w:r w:rsidR="005F0092" w:rsidRPr="002B41EB" w:rsidDel="00A5237E">
          <w:delText xml:space="preserve"> (e.g., potential benefit, dependency with other APIs/entities)</w:delText>
        </w:r>
      </w:del>
      <w:ins w:id="76" w:author="NTTr2" w:date="2024-05-01T12:18:00Z">
        <w:del w:id="77" w:author="Kenjiro Arai" w:date="2024-05-01T13:56:00Z">
          <w:r w:rsidR="00BB7326" w:rsidRPr="002B41EB" w:rsidDel="00A5237E">
            <w:delText>,</w:delText>
          </w:r>
        </w:del>
        <w:r w:rsidR="00BB7326" w:rsidRPr="002B41EB">
          <w:t xml:space="preserve"> t</w:t>
        </w:r>
        <w:r w:rsidR="00BB7326" w:rsidRPr="002B41EB">
          <w:rPr>
            <w:lang w:val="en-US"/>
          </w:rPr>
          <w:t xml:space="preserve">o conclude the recommendation for normative work from </w:t>
        </w:r>
      </w:ins>
      <w:ins w:id="78" w:author="NTTr2" w:date="2024-05-01T12:30:00Z">
        <w:r w:rsidR="00264593" w:rsidRPr="002B41EB">
          <w:rPr>
            <w:lang w:val="en-US"/>
          </w:rPr>
          <w:t xml:space="preserve">the </w:t>
        </w:r>
      </w:ins>
      <w:ins w:id="79" w:author="NTTr2" w:date="2024-05-01T12:19:00Z">
        <w:r w:rsidR="00BB7326" w:rsidRPr="002B41EB">
          <w:rPr>
            <w:lang w:val="en-US"/>
          </w:rPr>
          <w:t>key findings of TR 26.930</w:t>
        </w:r>
      </w:ins>
      <w:ins w:id="80" w:author="Hakju Ryan Lee" w:date="2024-05-02T09:31:00Z">
        <w:r w:rsidR="007344BA">
          <w:t>, particularly:</w:t>
        </w:r>
      </w:ins>
      <w:del w:id="81" w:author="Hakju Ryan Lee" w:date="2024-05-02T09:31:00Z">
        <w:r w:rsidR="005F0092" w:rsidRPr="002B41EB" w:rsidDel="007344BA">
          <w:delText>.</w:delText>
        </w:r>
      </w:del>
    </w:p>
    <w:p w14:paraId="51F496D2" w14:textId="51759CEA" w:rsidR="001E2E21" w:rsidRPr="002B41EB" w:rsidRDefault="00EE7116" w:rsidP="00EE7116">
      <w:pPr>
        <w:pStyle w:val="B2"/>
        <w:rPr>
          <w:ins w:id="82" w:author="NTTr2" w:date="2024-04-30T10:12:00Z"/>
          <w:lang w:val="en-US"/>
        </w:rPr>
      </w:pPr>
      <w:r>
        <w:rPr>
          <w:rFonts w:eastAsia="游明朝" w:hint="eastAsia"/>
          <w:lang w:eastAsia="ja-JP"/>
        </w:rPr>
        <w:t>-</w:t>
      </w:r>
      <w:ins w:id="83" w:author="Hakju Ryan Lee" w:date="2024-04-25T15:12:00Z">
        <w:r w:rsidR="00504618" w:rsidRPr="002B41EB">
          <w:tab/>
        </w:r>
      </w:ins>
      <w:ins w:id="84" w:author="NTTr2" w:date="2024-04-30T14:40:00Z">
        <w:r w:rsidR="00EF539A" w:rsidRPr="002B41EB">
          <w:t xml:space="preserve">The potential enhancements of the functional architecture for supporting service control API </w:t>
        </w:r>
        <w:r w:rsidR="00EF539A" w:rsidRPr="002B41EB">
          <w:rPr>
            <w:lang w:val="en-US"/>
          </w:rPr>
          <w:t>exposed to RTC application providers</w:t>
        </w:r>
        <w:r w:rsidR="00EF539A" w:rsidRPr="002B41EB">
          <w:t xml:space="preserve"> and</w:t>
        </w:r>
      </w:ins>
      <w:ins w:id="85" w:author="Kenjiro Arai" w:date="2024-05-01T13:27:00Z">
        <w:r w:rsidR="002B41EB" w:rsidRPr="002B41EB">
          <w:t xml:space="preserve"> </w:t>
        </w:r>
      </w:ins>
      <w:ins w:id="86" w:author="Kenjiro Arai" w:date="2024-05-01T13:26:00Z">
        <w:r w:rsidR="002B41EB" w:rsidRPr="002B41EB">
          <w:t xml:space="preserve">its </w:t>
        </w:r>
      </w:ins>
      <w:ins w:id="87" w:author="NTTr2" w:date="2024-04-30T14:40:00Z">
        <w:r w:rsidR="00EF539A" w:rsidRPr="002B41EB">
          <w:t xml:space="preserve">API specification were </w:t>
        </w:r>
      </w:ins>
      <w:ins w:id="88" w:author="Hakju Ryan Lee" w:date="2024-05-02T09:32:00Z">
        <w:r w:rsidR="007344BA">
          <w:t>provided</w:t>
        </w:r>
      </w:ins>
      <w:ins w:id="89" w:author="NTTr2" w:date="2024-04-30T14:40:00Z">
        <w:r w:rsidR="00EF539A" w:rsidRPr="002B41EB">
          <w:t xml:space="preserve"> in clause</w:t>
        </w:r>
        <w:r w:rsidR="00EF539A" w:rsidRPr="002B41EB">
          <w:rPr>
            <w:lang w:val="en-US"/>
          </w:rPr>
          <w:t xml:space="preserve"> 5.6 of TR 26.930, based on the Derivative RTC architecture for collaboration scenario 3 defined in TS 26.506. </w:t>
        </w:r>
      </w:ins>
      <w:ins w:id="90" w:author="Kenjiro Arai" w:date="2024-05-01T13:29:00Z">
        <w:r w:rsidR="002B41EB" w:rsidRPr="002B41EB">
          <w:rPr>
            <w:lang w:val="en-US"/>
          </w:rPr>
          <w:t xml:space="preserve">However, </w:t>
        </w:r>
      </w:ins>
      <w:ins w:id="91" w:author="NTTr2" w:date="2024-04-30T14:40:00Z">
        <w:r w:rsidR="00EF539A" w:rsidRPr="002B41EB">
          <w:rPr>
            <w:lang w:val="en-US"/>
          </w:rPr>
          <w:t>the gap analysis between the service control APIs and existing APIs over RTC-1 is necessary</w:t>
        </w:r>
      </w:ins>
      <w:ins w:id="92" w:author="NTTr2" w:date="2024-04-30T14:47:00Z">
        <w:r w:rsidR="00B52C41" w:rsidRPr="002B41EB">
          <w:rPr>
            <w:lang w:val="en-US"/>
          </w:rPr>
          <w:t xml:space="preserve"> for identi</w:t>
        </w:r>
      </w:ins>
      <w:ins w:id="93" w:author="NTTr2" w:date="2024-04-30T14:48:00Z">
        <w:r w:rsidR="00B52C41" w:rsidRPr="002B41EB">
          <w:rPr>
            <w:lang w:val="en-US"/>
          </w:rPr>
          <w:t>f</w:t>
        </w:r>
      </w:ins>
      <w:ins w:id="94" w:author="NTTr2" w:date="2024-04-30T14:47:00Z">
        <w:r w:rsidR="00B52C41" w:rsidRPr="002B41EB">
          <w:rPr>
            <w:lang w:val="en-US"/>
          </w:rPr>
          <w:t>ying</w:t>
        </w:r>
      </w:ins>
      <w:ins w:id="95" w:author="NTTr2" w:date="2024-04-30T14:40:00Z">
        <w:r w:rsidR="00EF539A" w:rsidRPr="002B41EB">
          <w:rPr>
            <w:lang w:val="en-US"/>
          </w:rPr>
          <w:t xml:space="preserve"> how to implement the service control APIs into the latest version of the RTC architecture, considering harmonization with Generalized Media Delivery architecture.</w:t>
        </w:r>
      </w:ins>
    </w:p>
    <w:p w14:paraId="5AA156D1" w14:textId="28F2FFFD" w:rsidR="003F4139" w:rsidRDefault="00EE7116" w:rsidP="00EE7116">
      <w:pPr>
        <w:pStyle w:val="B2"/>
        <w:rPr>
          <w:rFonts w:eastAsia="游明朝"/>
          <w:lang w:eastAsia="ja-JP"/>
        </w:rPr>
      </w:pPr>
      <w:r>
        <w:t>-</w:t>
      </w:r>
      <w:r>
        <w:tab/>
      </w:r>
      <w:ins w:id="96" w:author="NTTr2" w:date="2024-04-30T10:18:00Z">
        <w:r w:rsidR="001E2E21" w:rsidRPr="002B41EB">
          <w:t>WebRTC signalling function (</w:t>
        </w:r>
      </w:ins>
      <w:ins w:id="97" w:author="NTTr2" w:date="2024-04-30T10:13:00Z">
        <w:r w:rsidR="001E2E21" w:rsidRPr="002B41EB">
          <w:t>WSF</w:t>
        </w:r>
      </w:ins>
      <w:ins w:id="98" w:author="NTTr2" w:date="2024-04-30T10:18:00Z">
        <w:r w:rsidR="001E2E21" w:rsidRPr="002B41EB">
          <w:t>)</w:t>
        </w:r>
      </w:ins>
      <w:ins w:id="99" w:author="NTTr2" w:date="2024-04-30T10:13:00Z">
        <w:r w:rsidR="001E2E21" w:rsidRPr="002B41EB">
          <w:t xml:space="preserve"> discovery mechanisms using MSH </w:t>
        </w:r>
      </w:ins>
      <w:ins w:id="100" w:author="Kenjiro Arai" w:date="2024-05-01T13:30:00Z">
        <w:r w:rsidR="002B41EB" w:rsidRPr="002B41EB">
          <w:t>have been</w:t>
        </w:r>
      </w:ins>
      <w:ins w:id="101" w:author="NTTr2" w:date="2024-04-30T10:13:00Z">
        <w:r w:rsidR="001E2E21" w:rsidRPr="002B41EB">
          <w:t xml:space="preserve"> specified during Rel</w:t>
        </w:r>
      </w:ins>
      <w:ins w:id="102" w:author="NTTr2" w:date="2024-04-30T13:19:00Z">
        <w:r w:rsidR="00E53AC1" w:rsidRPr="002B41EB">
          <w:t>ease</w:t>
        </w:r>
      </w:ins>
      <w:ins w:id="103" w:author="NTTr2" w:date="2024-04-30T10:13:00Z">
        <w:r w:rsidR="001E2E21" w:rsidRPr="002B41EB">
          <w:t>-18. Howe</w:t>
        </w:r>
      </w:ins>
      <w:ins w:id="104" w:author="NTTr2" w:date="2024-04-30T10:14:00Z">
        <w:r w:rsidR="001E2E21" w:rsidRPr="002B41EB">
          <w:t>ver, this mechanism is not applicable to Web App (i.e., Ja</w:t>
        </w:r>
      </w:ins>
      <w:ins w:id="105" w:author="Kenjiro Arai" w:date="2024-05-01T13:31:00Z">
        <w:r w:rsidR="002B41EB">
          <w:t>v</w:t>
        </w:r>
      </w:ins>
      <w:ins w:id="106" w:author="NTTr2" w:date="2024-04-30T10:14:00Z">
        <w:r w:rsidR="001E2E21" w:rsidRPr="002B41EB">
          <w:t>a application on a web browser). Then a WSF discovery mechanism applicable</w:t>
        </w:r>
      </w:ins>
      <w:ins w:id="107" w:author="NTTr2" w:date="2024-04-30T10:15:00Z">
        <w:r w:rsidR="001E2E21" w:rsidRPr="002B41EB">
          <w:t xml:space="preserve"> to Web App was studied and documented in </w:t>
        </w:r>
      </w:ins>
      <w:ins w:id="108" w:author="Hakju Ryan Lee" w:date="2024-04-25T17:41:00Z">
        <w:r w:rsidR="003F4139" w:rsidRPr="002B41EB">
          <w:t xml:space="preserve">clause 6.7 </w:t>
        </w:r>
      </w:ins>
      <w:ins w:id="109" w:author="NTTr2" w:date="2024-04-30T10:15:00Z">
        <w:r w:rsidR="001E2E21" w:rsidRPr="002B41EB">
          <w:t>of</w:t>
        </w:r>
      </w:ins>
      <w:ins w:id="110" w:author="Hakju Ryan Lee" w:date="2024-04-25T17:41:00Z">
        <w:del w:id="111" w:author="NTTr2" w:date="2024-04-30T10:15:00Z">
          <w:r w:rsidR="003F4139" w:rsidRPr="002B41EB" w:rsidDel="001E2E21">
            <w:delText>in</w:delText>
          </w:r>
        </w:del>
        <w:r w:rsidR="003F4139" w:rsidRPr="002B41EB">
          <w:t xml:space="preserve"> TR</w:t>
        </w:r>
      </w:ins>
      <w:ins w:id="112" w:author="NTTr2" w:date="2024-04-30T10:15:00Z">
        <w:r w:rsidR="001E2E21" w:rsidRPr="002B41EB">
          <w:rPr>
            <w:lang w:val="en-US"/>
          </w:rPr>
          <w:t> </w:t>
        </w:r>
      </w:ins>
      <w:ins w:id="113" w:author="Hakju Ryan Lee" w:date="2024-04-25T17:41:00Z">
        <w:del w:id="114" w:author="NTTr2" w:date="2024-04-30T10:15:00Z">
          <w:r w:rsidR="003F4139" w:rsidRPr="002B41EB" w:rsidDel="001E2E21">
            <w:delText xml:space="preserve"> </w:delText>
          </w:r>
        </w:del>
        <w:r w:rsidR="003F4139" w:rsidRPr="002B41EB">
          <w:t>26.930</w:t>
        </w:r>
      </w:ins>
      <w:ins w:id="115" w:author="NTTr2" w:date="2024-04-30T10:15:00Z">
        <w:r w:rsidR="001E2E21" w:rsidRPr="002B41EB">
          <w:t xml:space="preserve">. This mechanism is applicable </w:t>
        </w:r>
      </w:ins>
      <w:ins w:id="116" w:author="Kenjiro Arai" w:date="2024-05-01T13:35:00Z">
        <w:r w:rsidR="00A72B76">
          <w:t xml:space="preserve">to </w:t>
        </w:r>
        <w:r w:rsidR="00A72B76" w:rsidRPr="002B41EB">
          <w:t>collaboration scenario</w:t>
        </w:r>
        <w:r w:rsidR="00A72B76" w:rsidRPr="002B41EB">
          <w:rPr>
            <w:lang w:val="en-US"/>
          </w:rPr>
          <w:t> </w:t>
        </w:r>
        <w:r w:rsidR="00A72B76" w:rsidRPr="002B41EB">
          <w:t>3</w:t>
        </w:r>
      </w:ins>
      <w:ins w:id="117" w:author="Kenjiro Arai" w:date="2024-05-01T13:37:00Z">
        <w:r w:rsidR="00A72B76">
          <w:t xml:space="preserve"> and </w:t>
        </w:r>
      </w:ins>
      <w:ins w:id="118" w:author="Kenjiro Arai" w:date="2024-05-01T13:38:00Z">
        <w:r w:rsidR="00A72B76">
          <w:t xml:space="preserve">has potential benefit in </w:t>
        </w:r>
      </w:ins>
      <w:ins w:id="119" w:author="Kenjiro Arai" w:date="2024-05-01T13:39:00Z">
        <w:r w:rsidR="00A72B76">
          <w:t xml:space="preserve">some use case (e.g., </w:t>
        </w:r>
      </w:ins>
      <w:ins w:id="120" w:author="Kenjiro Arai" w:date="2024-05-01T13:35:00Z">
        <w:r w:rsidR="00A72B76">
          <w:t>a UE</w:t>
        </w:r>
      </w:ins>
      <w:ins w:id="121" w:author="NTTr2" w:date="2024-04-30T10:16:00Z">
        <w:r w:rsidR="001E2E21" w:rsidRPr="002B41EB">
          <w:t xml:space="preserve"> </w:t>
        </w:r>
      </w:ins>
      <w:ins w:id="122" w:author="Kenjiro Arai" w:date="2024-05-01T13:39:00Z">
        <w:r w:rsidR="00A72B76">
          <w:t xml:space="preserve">can </w:t>
        </w:r>
      </w:ins>
      <w:ins w:id="123" w:author="NTTr2" w:date="2024-04-30T10:16:00Z">
        <w:r w:rsidR="001E2E21" w:rsidRPr="002B41EB">
          <w:t xml:space="preserve">find an appropriate WSF </w:t>
        </w:r>
      </w:ins>
      <w:ins w:id="124" w:author="Kenjiro Arai" w:date="2024-05-01T13:36:00Z">
        <w:r w:rsidR="00A72B76">
          <w:t>among</w:t>
        </w:r>
      </w:ins>
      <w:ins w:id="125" w:author="NTTr2" w:date="2024-04-30T10:16:00Z">
        <w:r w:rsidR="001E2E21" w:rsidRPr="002B41EB">
          <w:t xml:space="preserve"> multiple WSFs in a single operator domain</w:t>
        </w:r>
      </w:ins>
      <w:ins w:id="126" w:author="Kenjiro Arai" w:date="2024-05-01T13:39:00Z">
        <w:r w:rsidR="00A72B76">
          <w:t>)</w:t>
        </w:r>
      </w:ins>
      <w:ins w:id="127" w:author="Kenjiro Arai" w:date="2024-05-01T13:40:00Z">
        <w:r w:rsidR="00A72B76">
          <w:t xml:space="preserve">, but </w:t>
        </w:r>
      </w:ins>
      <w:ins w:id="128" w:author="Kenjiro Arai" w:date="2024-05-01T13:43:00Z">
        <w:r w:rsidR="00F451AD">
          <w:t xml:space="preserve">these </w:t>
        </w:r>
      </w:ins>
      <w:ins w:id="129" w:author="Kenjiro Arai" w:date="2024-05-01T13:40:00Z">
        <w:r w:rsidR="00A72B76">
          <w:t>use case</w:t>
        </w:r>
      </w:ins>
      <w:ins w:id="130" w:author="Kenjiro Arai" w:date="2024-05-01T13:43:00Z">
        <w:r w:rsidR="00F451AD">
          <w:t>(</w:t>
        </w:r>
      </w:ins>
      <w:ins w:id="131" w:author="Kenjiro Arai" w:date="2024-05-01T13:40:00Z">
        <w:r w:rsidR="00A72B76">
          <w:t>s</w:t>
        </w:r>
      </w:ins>
      <w:ins w:id="132" w:author="Kenjiro Arai" w:date="2024-05-01T13:43:00Z">
        <w:r w:rsidR="00F451AD">
          <w:t>)</w:t>
        </w:r>
      </w:ins>
      <w:ins w:id="133" w:author="Kenjiro Arai" w:date="2024-05-01T13:40:00Z">
        <w:r w:rsidR="00A72B76">
          <w:t xml:space="preserve"> </w:t>
        </w:r>
      </w:ins>
      <w:ins w:id="134" w:author="Kenjiro Arai" w:date="2024-05-01T13:43:00Z">
        <w:r w:rsidR="00F451AD">
          <w:t xml:space="preserve">has not been </w:t>
        </w:r>
      </w:ins>
      <w:ins w:id="135" w:author="Kenjiro Arai" w:date="2024-05-01T13:40:00Z">
        <w:r w:rsidR="00A72B76">
          <w:t>documented in TR</w:t>
        </w:r>
        <w:r w:rsidR="00A72B76">
          <w:rPr>
            <w:lang w:val="en-US"/>
          </w:rPr>
          <w:t> 26.930.</w:t>
        </w:r>
      </w:ins>
      <w:ins w:id="136" w:author="NTTr2" w:date="2024-04-30T10:16:00Z">
        <w:r w:rsidR="001E2E21" w:rsidRPr="002B41EB">
          <w:t xml:space="preserve"> </w:t>
        </w:r>
      </w:ins>
      <w:ins w:id="137" w:author="Kenjiro Arai" w:date="2024-05-01T13:41:00Z">
        <w:r w:rsidR="00A72B76">
          <w:t>Then it is encouraged to study and document the use case</w:t>
        </w:r>
      </w:ins>
      <w:ins w:id="138" w:author="Kenjiro Arai" w:date="2024-05-01T13:43:00Z">
        <w:r w:rsidR="00F451AD">
          <w:t>(s)</w:t>
        </w:r>
      </w:ins>
      <w:ins w:id="139" w:author="Kenjiro Arai" w:date="2024-05-01T13:41:00Z">
        <w:r w:rsidR="00A72B76">
          <w:t xml:space="preserve"> </w:t>
        </w:r>
      </w:ins>
      <w:ins w:id="140" w:author="Kenjiro Arai" w:date="2024-05-01T13:42:00Z">
        <w:r w:rsidR="00A72B76">
          <w:t>of this mechanism.</w:t>
        </w:r>
      </w:ins>
      <w:ins w:id="141" w:author="Hakju Ryan Lee" w:date="2024-04-25T17:35:00Z">
        <w:r w:rsidR="003F4139" w:rsidRPr="002B41EB">
          <w:t xml:space="preserve"> </w:t>
        </w:r>
      </w:ins>
    </w:p>
    <w:p w14:paraId="69B71028" w14:textId="3965AD84" w:rsidR="008D14C5" w:rsidRPr="008D14C5" w:rsidDel="00EE7116" w:rsidRDefault="008D14C5" w:rsidP="00EE7116">
      <w:pPr>
        <w:pStyle w:val="B2"/>
        <w:rPr>
          <w:del w:id="142" w:author="Kenjiro Arai" w:date="2024-05-01T13:47:00Z"/>
          <w:rFonts w:eastAsia="游明朝"/>
          <w:lang w:val="en-US" w:eastAsia="ja-JP"/>
        </w:rPr>
      </w:pPr>
      <w:ins w:id="143" w:author="NTT_SA4#128" w:date="2024-05-22T08:56:00Z" w16du:dateUtc="2024-05-21T23:56:00Z">
        <w:r>
          <w:t>-</w:t>
        </w:r>
        <w:r>
          <w:tab/>
        </w:r>
        <w:r>
          <w:rPr>
            <w:rFonts w:eastAsia="游明朝" w:hint="eastAsia"/>
            <w:lang w:eastAsia="ja-JP"/>
          </w:rPr>
          <w:t>The detailed API specification for RTC-3</w:t>
        </w:r>
      </w:ins>
      <w:ins w:id="144" w:author="NTT_SA4#128" w:date="2024-05-22T08:57:00Z" w16du:dateUtc="2024-05-21T23:57:00Z">
        <w:r>
          <w:rPr>
            <w:rFonts w:eastAsia="游明朝" w:hint="eastAsia"/>
            <w:lang w:eastAsia="ja-JP"/>
          </w:rPr>
          <w:t xml:space="preserve"> reference point had not specified in Rel-18. However, the API </w:t>
        </w:r>
        <w:r>
          <w:rPr>
            <w:rFonts w:eastAsia="游明朝"/>
            <w:lang w:eastAsia="ja-JP"/>
          </w:rPr>
          <w:t>specification</w:t>
        </w:r>
        <w:r>
          <w:rPr>
            <w:rFonts w:eastAsia="游明朝" w:hint="eastAsia"/>
            <w:lang w:eastAsia="ja-JP"/>
          </w:rPr>
          <w:t xml:space="preserve"> for RTC-3 is useful if the WebRTC Signalling Function and RTC</w:t>
        </w:r>
      </w:ins>
      <w:ins w:id="145" w:author="NTT_SA4#128" w:date="2024-05-22T08:58:00Z" w16du:dateUtc="2024-05-21T23:58:00Z">
        <w:r>
          <w:rPr>
            <w:rFonts w:eastAsia="游明朝"/>
            <w:lang w:val="en-US" w:eastAsia="ja-JP"/>
          </w:rPr>
          <w:t> </w:t>
        </w:r>
        <w:r>
          <w:rPr>
            <w:rFonts w:eastAsia="游明朝" w:hint="eastAsia"/>
            <w:lang w:val="en-US" w:eastAsia="ja-JP"/>
          </w:rPr>
          <w:t>AF are not co-located. Then it is encouraged to study and document the API specification for RTC-3</w:t>
        </w:r>
      </w:ins>
      <w:ins w:id="146" w:author="NTT_SA4#128" w:date="2024-05-24T08:56:00Z" w16du:dateUtc="2024-05-23T23:56:00Z">
        <w:r w:rsidR="001674EE">
          <w:rPr>
            <w:rFonts w:eastAsia="游明朝" w:hint="eastAsia"/>
            <w:lang w:val="en-US" w:eastAsia="ja-JP"/>
          </w:rPr>
          <w:t>.</w:t>
        </w:r>
      </w:ins>
    </w:p>
    <w:p w14:paraId="2764B57E" w14:textId="5300EED4" w:rsidR="001E2E21" w:rsidRDefault="005B1EDA" w:rsidP="00E454AD">
      <w:pPr>
        <w:pStyle w:val="B1"/>
        <w:rPr>
          <w:ins w:id="147" w:author="NTTr2" w:date="2024-04-30T10:20:00Z"/>
        </w:rPr>
      </w:pPr>
      <w:ins w:id="148" w:author="NTTr2" w:date="2024-05-01T16:00:00Z">
        <w:r>
          <w:rPr>
            <w:b/>
          </w:rPr>
          <w:t>4</w:t>
        </w:r>
      </w:ins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>While TS 26.506 identified four collaboration scenarios depending on the required functional entities in trusted DN, the 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the Release</w:t>
      </w:r>
      <w:r w:rsidR="008C686B">
        <w:t>-</w:t>
      </w:r>
      <w:r w:rsidR="00E6037F">
        <w:t xml:space="preserve">18. </w:t>
      </w:r>
      <w:r w:rsidR="00F72410">
        <w:t xml:space="preserve">TR 26.930 has provided the </w:t>
      </w:r>
      <w:ins w:id="149" w:author="Kenjiro Arai" w:date="2024-05-01T13:50:00Z">
        <w:r w:rsidR="00B85770">
          <w:t>potential</w:t>
        </w:r>
      </w:ins>
      <w:r w:rsidR="00F72410">
        <w:t xml:space="preserve"> </w:t>
      </w:r>
      <w:del w:id="150" w:author="NTTr2" w:date="2024-04-26T12:11:00Z">
        <w:r w:rsidR="00F72410" w:rsidDel="003F127A">
          <w:delText>extension</w:delText>
        </w:r>
      </w:del>
      <w:ins w:id="151" w:author="NTTr2" w:date="2024-04-26T12:12:00Z">
        <w:r w:rsidR="003F127A">
          <w:t>d</w:t>
        </w:r>
        <w:r w:rsidR="003F127A" w:rsidRPr="00434FD6">
          <w:t>erivative RTC architecture</w:t>
        </w:r>
      </w:ins>
      <w:r w:rsidR="00F72410">
        <w:t xml:space="preserve"> for collaboration scenario 4</w:t>
      </w:r>
      <w:ins w:id="152" w:author="NTTr2" w:date="2024-04-26T12:17:00Z">
        <w:r w:rsidR="00915E46">
          <w:t>.</w:t>
        </w:r>
      </w:ins>
      <w:del w:id="153" w:author="NTTr2" w:date="2024-04-26T12:17:00Z">
        <w:r w:rsidR="00F72410" w:rsidDel="00915E46">
          <w:delText>,</w:delText>
        </w:r>
      </w:del>
      <w:r w:rsidR="00F72410">
        <w:t xml:space="preserve"> </w:t>
      </w:r>
      <w:ins w:id="154" w:author="NTTr3" w:date="2024-05-01T17:11:00Z">
        <w:r w:rsidR="009F572D">
          <w:t xml:space="preserve">However, </w:t>
        </w:r>
      </w:ins>
      <w:ins w:id="155" w:author="Hakju Ryan Lee" w:date="2024-05-02T09:41:00Z">
        <w:r w:rsidR="00242023">
          <w:t>procedures and</w:t>
        </w:r>
      </w:ins>
      <w:ins w:id="156" w:author="NTTr3" w:date="2024-05-01T17:11:00Z">
        <w:r w:rsidR="009F572D">
          <w:t xml:space="preserve"> call f</w:t>
        </w:r>
      </w:ins>
      <w:ins w:id="157" w:author="NTTr3" w:date="2024-05-01T17:13:00Z">
        <w:r w:rsidR="009F572D">
          <w:t>l</w:t>
        </w:r>
      </w:ins>
      <w:ins w:id="158" w:author="NTTr3" w:date="2024-05-01T17:11:00Z">
        <w:r w:rsidR="009F572D">
          <w:t>o</w:t>
        </w:r>
      </w:ins>
      <w:ins w:id="159" w:author="NTTr3" w:date="2024-05-01T17:13:00Z">
        <w:r w:rsidR="009F572D">
          <w:t>w</w:t>
        </w:r>
      </w:ins>
      <w:ins w:id="160" w:author="Hakju Ryan Lee" w:date="2024-05-02T09:41:00Z">
        <w:r w:rsidR="00242023">
          <w:t>s</w:t>
        </w:r>
      </w:ins>
      <w:ins w:id="161" w:author="NTTr3" w:date="2024-05-01T17:11:00Z">
        <w:r w:rsidR="009F572D">
          <w:t xml:space="preserve"> for collaboration scenario</w:t>
        </w:r>
        <w:r w:rsidR="009F572D">
          <w:rPr>
            <w:lang w:val="en-US"/>
          </w:rPr>
          <w:t xml:space="preserve"> 4 was not </w:t>
        </w:r>
      </w:ins>
      <w:ins w:id="162" w:author="NTTr3" w:date="2024-05-01T17:16:00Z">
        <w:r w:rsidR="009F572D">
          <w:rPr>
            <w:lang w:val="en-US"/>
          </w:rPr>
          <w:t>studied and documented in TR 26</w:t>
        </w:r>
      </w:ins>
      <w:ins w:id="163" w:author="NTTr3" w:date="2024-05-01T17:17:00Z">
        <w:r w:rsidR="009F572D">
          <w:rPr>
            <w:lang w:val="en-US"/>
          </w:rPr>
          <w:t>.930</w:t>
        </w:r>
      </w:ins>
      <w:ins w:id="164" w:author="NTTr3" w:date="2024-05-01T17:11:00Z">
        <w:r w:rsidR="009F572D">
          <w:rPr>
            <w:lang w:val="en-US"/>
          </w:rPr>
          <w:t xml:space="preserve">. </w:t>
        </w:r>
      </w:ins>
      <w:ins w:id="165" w:author="NTTr2" w:date="2024-05-01T12:09:00Z">
        <w:r w:rsidR="00163A09">
          <w:rPr>
            <w:lang w:val="en-US"/>
          </w:rPr>
          <w:t>T</w:t>
        </w:r>
      </w:ins>
      <w:ins w:id="166" w:author="NTTr3" w:date="2024-05-01T17:12:00Z">
        <w:r w:rsidR="009F572D">
          <w:rPr>
            <w:lang w:val="en-US"/>
          </w:rPr>
          <w:t>hen, t</w:t>
        </w:r>
      </w:ins>
      <w:ins w:id="167" w:author="NTTr2" w:date="2024-05-01T12:09:00Z">
        <w:r w:rsidR="00163A09">
          <w:rPr>
            <w:lang w:val="en-US"/>
          </w:rPr>
          <w:t>o conclude the recommendation for normative work</w:t>
        </w:r>
      </w:ins>
      <w:ins w:id="168" w:author="NTTr2" w:date="2024-05-01T12:17:00Z">
        <w:r w:rsidR="00BB7326">
          <w:rPr>
            <w:lang w:val="en-US"/>
          </w:rPr>
          <w:t xml:space="preserve"> from </w:t>
        </w:r>
      </w:ins>
      <w:ins w:id="169" w:author="NTTr2" w:date="2024-05-01T12:30:00Z">
        <w:r w:rsidR="00264593">
          <w:rPr>
            <w:lang w:val="en-US"/>
          </w:rPr>
          <w:t xml:space="preserve">the </w:t>
        </w:r>
      </w:ins>
      <w:ins w:id="170" w:author="NTTr2" w:date="2024-05-01T12:19:00Z">
        <w:r w:rsidR="00BB7326">
          <w:rPr>
            <w:lang w:val="en-US"/>
          </w:rPr>
          <w:t>key findings of TR 26.930</w:t>
        </w:r>
      </w:ins>
      <w:ins w:id="171" w:author="NTTr2" w:date="2024-05-01T12:09:00Z">
        <w:r w:rsidR="00163A09">
          <w:rPr>
            <w:lang w:val="en-US"/>
          </w:rPr>
          <w:t>,</w:t>
        </w:r>
      </w:ins>
      <w:ins w:id="172" w:author="NTTr2" w:date="2024-04-26T12:17:00Z">
        <w:r w:rsidR="00915E46">
          <w:t xml:space="preserve"> </w:t>
        </w:r>
      </w:ins>
      <w:ins w:id="173" w:author="NTTr3" w:date="2024-05-01T17:12:00Z">
        <w:r w:rsidR="009F572D">
          <w:t xml:space="preserve">it is encouraged to specify </w:t>
        </w:r>
      </w:ins>
      <w:ins w:id="174" w:author="Hakju Ryan Lee" w:date="2024-05-02T09:41:00Z">
        <w:r w:rsidR="00242023">
          <w:t xml:space="preserve">procedures and </w:t>
        </w:r>
      </w:ins>
      <w:ins w:id="175" w:author="NTTr3" w:date="2024-05-01T16:59:00Z">
        <w:r w:rsidR="00CB4EE7">
          <w:t>call flow</w:t>
        </w:r>
      </w:ins>
      <w:ins w:id="176" w:author="Hakju Ryan Lee" w:date="2024-05-02T09:41:00Z">
        <w:r w:rsidR="00242023">
          <w:t>s</w:t>
        </w:r>
      </w:ins>
      <w:ins w:id="177" w:author="NTTr3" w:date="2024-05-01T16:59:00Z">
        <w:r w:rsidR="00CB4EE7">
          <w:t xml:space="preserve"> for collaboration scenario</w:t>
        </w:r>
        <w:r w:rsidR="00CB4EE7">
          <w:rPr>
            <w:lang w:val="en-US"/>
          </w:rPr>
          <w:t xml:space="preserve"> 4 </w:t>
        </w:r>
      </w:ins>
      <w:ins w:id="178" w:author="NTTr3" w:date="2024-05-01T17:12:00Z">
        <w:r w:rsidR="009F572D">
          <w:rPr>
            <w:lang w:val="en-US"/>
          </w:rPr>
          <w:t>and</w:t>
        </w:r>
      </w:ins>
      <w:ins w:id="179" w:author="NTTr3" w:date="2024-05-01T16:59:00Z">
        <w:r w:rsidR="00CB4EE7">
          <w:rPr>
            <w:lang w:val="en-US"/>
          </w:rPr>
          <w:t xml:space="preserve"> </w:t>
        </w:r>
      </w:ins>
      <w:ins w:id="180" w:author="NTTr3" w:date="2024-05-01T17:00:00Z">
        <w:r w:rsidR="00CB4EE7">
          <w:rPr>
            <w:lang w:val="en-US"/>
          </w:rPr>
          <w:t>confirm</w:t>
        </w:r>
      </w:ins>
      <w:ins w:id="181" w:author="NTTr3" w:date="2024-05-01T17:12:00Z">
        <w:r w:rsidR="009F572D">
          <w:rPr>
            <w:lang w:val="en-US"/>
          </w:rPr>
          <w:t xml:space="preserve"> the</w:t>
        </w:r>
      </w:ins>
      <w:ins w:id="182" w:author="NTTr3" w:date="2024-05-01T17:00:00Z">
        <w:r w:rsidR="00CB4EE7">
          <w:rPr>
            <w:lang w:val="en-US"/>
          </w:rPr>
          <w:t xml:space="preserve"> technical feasibility of the proposed derivative RTC architectur</w:t>
        </w:r>
      </w:ins>
      <w:ins w:id="183" w:author="NTTr3" w:date="2024-05-01T17:01:00Z">
        <w:r w:rsidR="00CB4EE7">
          <w:rPr>
            <w:lang w:val="en-US"/>
          </w:rPr>
          <w:t>e for collaboration scenario </w:t>
        </w:r>
      </w:ins>
      <w:ins w:id="184" w:author="NTTr3" w:date="2024-05-01T17:12:00Z">
        <w:r w:rsidR="009F572D">
          <w:rPr>
            <w:lang w:val="en-US"/>
          </w:rPr>
          <w:t>4</w:t>
        </w:r>
      </w:ins>
      <w:ins w:id="185" w:author="NTTr3" w:date="2024-05-01T17:13:00Z">
        <w:r w:rsidR="009F572D">
          <w:rPr>
            <w:lang w:val="en-US"/>
          </w:rPr>
          <w:t>.</w:t>
        </w:r>
      </w:ins>
      <w:ins w:id="186" w:author="NTTr3" w:date="2024-05-01T17:47:00Z">
        <w:r w:rsidR="002107AE">
          <w:rPr>
            <w:lang w:val="en-US"/>
          </w:rPr>
          <w:t xml:space="preserve"> </w:t>
        </w:r>
      </w:ins>
    </w:p>
    <w:p w14:paraId="3D508A7F" w14:textId="168AF136" w:rsidR="003C367F" w:rsidRDefault="005B1EDA" w:rsidP="00242023">
      <w:pPr>
        <w:pStyle w:val="B1"/>
        <w:rPr>
          <w:ins w:id="187" w:author="Hakju Ryan Lee" w:date="2024-05-02T09:48:00Z"/>
          <w:rFonts w:eastAsia="游明朝"/>
          <w:lang w:val="en-US" w:eastAsia="ja-JP"/>
        </w:rPr>
      </w:pPr>
      <w:ins w:id="188" w:author="NTTr2" w:date="2024-05-01T16:00:00Z">
        <w:r>
          <w:rPr>
            <w:b/>
          </w:rPr>
          <w:t>5</w:t>
        </w:r>
      </w:ins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8D1D84" w:rsidRPr="000E64E0">
        <w:rPr>
          <w:b/>
        </w:rPr>
        <w:t>WebRTC signalling protocol</w:t>
      </w:r>
      <w:r w:rsidR="00066C49" w:rsidRPr="000E64E0">
        <w:rPr>
          <w:b/>
        </w:rPr>
        <w:t xml:space="preserve"> </w:t>
      </w:r>
      <w:r w:rsidR="003518F9" w:rsidRPr="000E64E0">
        <w:rPr>
          <w:b/>
        </w:rPr>
        <w:t>supporting</w:t>
      </w:r>
      <w:r w:rsidR="00066C49" w:rsidRPr="000E64E0">
        <w:rPr>
          <w:b/>
        </w:rPr>
        <w:t xml:space="preserve"> 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 xml:space="preserve"> 26.930 provides the WebRTC </w:t>
      </w:r>
      <w:proofErr w:type="spellStart"/>
      <w:r w:rsidR="00066C49" w:rsidRPr="000E64E0">
        <w:rPr>
          <w:lang w:val="en-US"/>
        </w:rPr>
        <w:t>signalling</w:t>
      </w:r>
      <w:proofErr w:type="spellEnd"/>
      <w:r w:rsidR="00066C49" w:rsidRPr="000E64E0">
        <w:rPr>
          <w:lang w:val="en-US"/>
        </w:rPr>
        <w:t xml:space="preserve"> protocol, RESPECT</w:t>
      </w:r>
      <w:r w:rsidR="00066C49" w:rsidRPr="000E64E0">
        <w:t xml:space="preserve"> (</w:t>
      </w:r>
      <w:proofErr w:type="spellStart"/>
      <w:r w:rsidR="00066C49" w:rsidRPr="000E64E0">
        <w:rPr>
          <w:lang w:val="en-US"/>
        </w:rPr>
        <w:t>REaltime&amp;REality</w:t>
      </w:r>
      <w:proofErr w:type="spellEnd"/>
      <w:r w:rsidR="00066C49" w:rsidRPr="000E64E0">
        <w:rPr>
          <w:lang w:val="en-US"/>
        </w:rPr>
        <w:t xml:space="preserve"> media Setup Protocol, Extensible and </w:t>
      </w:r>
      <w:proofErr w:type="spellStart"/>
      <w:r w:rsidR="00066C49" w:rsidRPr="000E64E0">
        <w:rPr>
          <w:lang w:val="en-US"/>
        </w:rPr>
        <w:t>CompacT</w:t>
      </w:r>
      <w:proofErr w:type="spellEnd"/>
      <w:r w:rsidR="00066C49" w:rsidRPr="000E64E0">
        <w:rPr>
          <w:lang w:val="en-US"/>
        </w:rPr>
        <w:t xml:space="preserve">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ins w:id="189" w:author="Hakju Ryan Lee" w:date="2024-05-02T09:39:00Z">
        <w:r w:rsidR="00242023">
          <w:rPr>
            <w:lang w:val="en-US"/>
          </w:rPr>
          <w:t xml:space="preserve">Web-based </w:t>
        </w:r>
      </w:ins>
      <w:del w:id="190" w:author="Hakju Ryan Lee" w:date="2024-05-02T09:39:00Z">
        <w:r w:rsidR="0068408F" w:rsidRPr="000E64E0" w:rsidDel="00242023">
          <w:rPr>
            <w:lang w:val="en-US"/>
          </w:rPr>
          <w:delText xml:space="preserve">web familiar </w:delText>
        </w:r>
      </w:del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ins w:id="191" w:author="NTTr2" w:date="2024-04-26T17:00:00Z">
        <w:r w:rsidR="009B3ECE">
          <w:rPr>
            <w:lang w:val="en-US"/>
          </w:rPr>
          <w:t xml:space="preserve"> </w:t>
        </w:r>
      </w:ins>
      <w:ins w:id="192" w:author="NTTr2" w:date="2024-05-01T12:17:00Z">
        <w:r w:rsidR="00BB7326">
          <w:rPr>
            <w:lang w:val="en-US"/>
          </w:rPr>
          <w:t xml:space="preserve">To conclude the recommendation for normative work from </w:t>
        </w:r>
      </w:ins>
      <w:ins w:id="193" w:author="NTTr2" w:date="2024-05-01T12:30:00Z">
        <w:r w:rsidR="00264593">
          <w:rPr>
            <w:lang w:val="en-US"/>
          </w:rPr>
          <w:t xml:space="preserve">the </w:t>
        </w:r>
      </w:ins>
      <w:ins w:id="194" w:author="NTTr2" w:date="2024-05-01T12:17:00Z">
        <w:r w:rsidR="00BB7326">
          <w:rPr>
            <w:lang w:val="en-US"/>
          </w:rPr>
          <w:t>key findings</w:t>
        </w:r>
      </w:ins>
      <w:ins w:id="195" w:author="NTTr2" w:date="2024-05-01T12:19:00Z">
        <w:r w:rsidR="00BB7326">
          <w:rPr>
            <w:lang w:val="en-US"/>
          </w:rPr>
          <w:t xml:space="preserve"> of TR 26.930</w:t>
        </w:r>
      </w:ins>
      <w:ins w:id="196" w:author="NTTr2" w:date="2024-04-26T17:00:00Z">
        <w:r w:rsidR="009B3ECE">
          <w:rPr>
            <w:lang w:val="en-US"/>
          </w:rPr>
          <w:t>,</w:t>
        </w:r>
      </w:ins>
      <w:r w:rsidR="009F38EA" w:rsidRPr="000E64E0">
        <w:rPr>
          <w:lang w:val="en-US"/>
        </w:rPr>
        <w:t xml:space="preserve"> </w:t>
      </w:r>
      <w:ins w:id="197" w:author="NTTr2" w:date="2024-04-26T17:22:00Z">
        <w:r w:rsidR="007B7CD6">
          <w:rPr>
            <w:lang w:val="en-US"/>
          </w:rPr>
          <w:t>it is encourage</w:t>
        </w:r>
      </w:ins>
      <w:ins w:id="198" w:author="NTTr2" w:date="2024-04-26T17:23:00Z">
        <w:r w:rsidR="007B7CD6">
          <w:rPr>
            <w:lang w:val="en-US"/>
          </w:rPr>
          <w:t xml:space="preserve">d to study </w:t>
        </w:r>
      </w:ins>
      <w:ins w:id="199" w:author="Hakju Ryan Lee" w:date="2024-05-02T09:44:00Z">
        <w:r w:rsidR="00242023">
          <w:rPr>
            <w:lang w:val="en-US"/>
          </w:rPr>
          <w:t>the potential i</w:t>
        </w:r>
      </w:ins>
      <w:ins w:id="200" w:author="NTTr2" w:date="2024-04-30T14:46:00Z">
        <w:r w:rsidR="00B52C41">
          <w:rPr>
            <w:lang w:val="en-US"/>
          </w:rPr>
          <w:t xml:space="preserve">mprovement of the protocol for </w:t>
        </w:r>
      </w:ins>
      <w:ins w:id="201" w:author="Hakju Ryan Lee" w:date="2024-05-02T09:44:00Z">
        <w:r w:rsidR="00242023">
          <w:rPr>
            <w:lang w:val="en-US"/>
          </w:rPr>
          <w:t xml:space="preserve">efficient </w:t>
        </w:r>
      </w:ins>
      <w:ins w:id="202" w:author="NTTr2" w:date="2024-04-30T14:46:00Z">
        <w:r w:rsidR="00B52C41">
          <w:rPr>
            <w:lang w:val="en-US"/>
          </w:rPr>
          <w:t>a</w:t>
        </w:r>
      </w:ins>
      <w:ins w:id="203" w:author="NTTr2" w:date="2024-04-30T10:43:00Z">
        <w:r w:rsidR="003C367F">
          <w:rPr>
            <w:lang w:val="en-US"/>
          </w:rPr>
          <w:t xml:space="preserve">lignment with the </w:t>
        </w:r>
      </w:ins>
      <w:ins w:id="204" w:author="Hakju Ryan Lee" w:date="2024-05-02T09:44:00Z">
        <w:r w:rsidR="00242023">
          <w:t xml:space="preserve">procedures and </w:t>
        </w:r>
      </w:ins>
      <w:ins w:id="205" w:author="NTTr2" w:date="2024-04-30T10:43:00Z">
        <w:r w:rsidR="003C367F">
          <w:rPr>
            <w:lang w:val="en-US"/>
          </w:rPr>
          <w:t>call flows</w:t>
        </w:r>
        <w:r w:rsidR="003C367F">
          <w:rPr>
            <w:rFonts w:eastAsia="游明朝"/>
            <w:lang w:val="en-US" w:eastAsia="ja-JP"/>
          </w:rPr>
          <w:t>.</w:t>
        </w:r>
      </w:ins>
    </w:p>
    <w:p w14:paraId="14A29994" w14:textId="129AC0D5" w:rsidR="001058A1" w:rsidRDefault="001058A1" w:rsidP="001058A1">
      <w:pPr>
        <w:pStyle w:val="B1"/>
        <w:rPr>
          <w:ins w:id="206" w:author="Hakju Ryan Lee" w:date="2024-05-02T09:48:00Z"/>
        </w:rPr>
      </w:pPr>
      <w:ins w:id="207" w:author="Hakju Ryan Lee" w:date="2024-05-02T09:48:00Z">
        <w:r>
          <w:rPr>
            <w:b/>
          </w:rPr>
          <w:t>6</w:t>
        </w:r>
        <w:r w:rsidRPr="000E64E0">
          <w:rPr>
            <w:b/>
          </w:rPr>
          <w:t>.</w:t>
        </w:r>
        <w:r w:rsidRPr="000E64E0">
          <w:rPr>
            <w:b/>
          </w:rPr>
          <w:tab/>
        </w:r>
      </w:ins>
      <w:ins w:id="208" w:author="Hakju Ryan Lee" w:date="2024-05-02T09:50:00Z">
        <w:r>
          <w:rPr>
            <w:b/>
          </w:rPr>
          <w:t>Support of t</w:t>
        </w:r>
      </w:ins>
      <w:ins w:id="209" w:author="Hakju Ryan Lee" w:date="2024-05-02T09:48:00Z">
        <w:r>
          <w:rPr>
            <w:b/>
          </w:rPr>
          <w:t>ethered cases</w:t>
        </w:r>
      </w:ins>
      <w:ins w:id="210" w:author="Hakju Ryan Lee" w:date="2024-05-02T09:50:00Z">
        <w:r>
          <w:rPr>
            <w:b/>
          </w:rPr>
          <w:t xml:space="preserve"> in RTC system</w:t>
        </w:r>
      </w:ins>
      <w:ins w:id="211" w:author="Hakju Ryan Lee" w:date="2024-05-02T09:48:00Z">
        <w:r w:rsidRPr="000E64E0">
          <w:rPr>
            <w:b/>
          </w:rPr>
          <w:t>.</w:t>
        </w:r>
        <w:r w:rsidRPr="000E64E0">
          <w:br/>
        </w:r>
        <w:r>
          <w:t>How to support tethered cases on RTC architecture was studied and documented in TR</w:t>
        </w:r>
        <w:r>
          <w:rPr>
            <w:lang w:val="en-US"/>
          </w:rPr>
          <w:t> 26.930</w:t>
        </w:r>
        <w:r>
          <w:t>. Tethered case is one of the possible use cases of immersive RTC services</w:t>
        </w:r>
      </w:ins>
      <w:ins w:id="212" w:author="Hakju Ryan Lee" w:date="2024-05-02T09:51:00Z">
        <w:r>
          <w:t xml:space="preserve">, but the </w:t>
        </w:r>
        <w:r w:rsidRPr="008E4F26">
          <w:t xml:space="preserve">solutions </w:t>
        </w:r>
        <w:r>
          <w:t>were not completed during the Release-18 study, particularly for following aspects:</w:t>
        </w:r>
      </w:ins>
    </w:p>
    <w:p w14:paraId="3CEA9231" w14:textId="77777777" w:rsidR="001058A1" w:rsidRDefault="001058A1" w:rsidP="001058A1">
      <w:pPr>
        <w:pStyle w:val="B2"/>
        <w:rPr>
          <w:ins w:id="213" w:author="Hakju Ryan Lee" w:date="2024-05-02T09:48:00Z"/>
          <w:lang w:val="en-US"/>
        </w:rPr>
      </w:pPr>
      <w:ins w:id="214" w:author="Hakju Ryan Lee" w:date="2024-05-02T09:48:00Z">
        <w:r w:rsidRPr="00925F7C">
          <w:rPr>
            <w:lang w:val="en-US"/>
          </w:rPr>
          <w:t>1.</w:t>
        </w:r>
        <w:r w:rsidRPr="00925F7C">
          <w:rPr>
            <w:lang w:val="en-US"/>
          </w:rPr>
          <w:tab/>
        </w:r>
        <w:r>
          <w:rPr>
            <w:lang w:val="en-US"/>
          </w:rPr>
          <w:t>Identification of the supported scenario for tethered cases</w:t>
        </w:r>
        <w:r w:rsidRPr="00925F7C">
          <w:rPr>
            <w:lang w:val="en-US"/>
          </w:rPr>
          <w:t>.</w:t>
        </w:r>
        <w:r>
          <w:rPr>
            <w:lang w:val="en-US"/>
          </w:rPr>
          <w:t xml:space="preserve"> (e.g., </w:t>
        </w:r>
        <w:r>
          <w:rPr>
            <w:rFonts w:eastAsia="游明朝"/>
            <w:lang w:val="en-US" w:eastAsia="ja-JP"/>
          </w:rPr>
          <w:t>"Native WebRTC App/Web App" on the tethered device and "Native WebRTC App/Web App" on the UE.</w:t>
        </w:r>
        <w:r>
          <w:rPr>
            <w:lang w:val="en-US"/>
          </w:rPr>
          <w:t>)</w:t>
        </w:r>
      </w:ins>
    </w:p>
    <w:p w14:paraId="0DF729F6" w14:textId="23493262" w:rsidR="001058A1" w:rsidRDefault="001058A1" w:rsidP="001058A1">
      <w:pPr>
        <w:pStyle w:val="B2"/>
        <w:rPr>
          <w:ins w:id="215" w:author="Hakju Ryan Lee" w:date="2024-05-02T09:48:00Z"/>
          <w:rFonts w:eastAsia="游明朝"/>
          <w:lang w:val="en-US" w:eastAsia="ja-JP"/>
        </w:rPr>
      </w:pPr>
      <w:ins w:id="216" w:author="Hakju Ryan Lee" w:date="2024-05-02T09:48:00Z">
        <w:r>
          <w:rPr>
            <w:rFonts w:eastAsia="游明朝" w:hint="eastAsia"/>
            <w:lang w:val="en-US" w:eastAsia="ja-JP"/>
          </w:rPr>
          <w:t>2</w:t>
        </w:r>
        <w:r>
          <w:rPr>
            <w:rFonts w:eastAsia="游明朝"/>
            <w:lang w:val="en-US" w:eastAsia="ja-JP"/>
          </w:rPr>
          <w:t>.</w:t>
        </w:r>
        <w:r>
          <w:rPr>
            <w:rFonts w:eastAsia="游明朝"/>
            <w:lang w:val="en-US" w:eastAsia="ja-JP"/>
          </w:rPr>
          <w:tab/>
        </w:r>
      </w:ins>
      <w:ins w:id="217" w:author="NTT_SA4#128" w:date="2024-05-21T19:30:00Z" w16du:dateUtc="2024-05-21T10:30:00Z">
        <w:r w:rsidR="00E56DD9">
          <w:rPr>
            <w:rFonts w:eastAsia="游明朝" w:hint="eastAsia"/>
            <w:lang w:val="en-US" w:eastAsia="ja-JP"/>
          </w:rPr>
          <w:t xml:space="preserve">Media processing capabilities </w:t>
        </w:r>
      </w:ins>
      <w:ins w:id="218" w:author="NTT_SA4#128" w:date="2024-05-21T19:31:00Z" w16du:dateUtc="2024-05-21T10:31:00Z">
        <w:r w:rsidR="00E56DD9">
          <w:rPr>
            <w:rFonts w:eastAsia="游明朝" w:hint="eastAsia"/>
            <w:lang w:val="en-US" w:eastAsia="ja-JP"/>
          </w:rPr>
          <w:t xml:space="preserve">of the </w:t>
        </w:r>
      </w:ins>
      <w:ins w:id="219" w:author="Hakju Ryan Lee" w:date="2024-05-02T09:48:00Z">
        <w:r>
          <w:rPr>
            <w:rFonts w:eastAsia="游明朝"/>
            <w:lang w:val="en-US" w:eastAsia="ja-JP"/>
          </w:rPr>
          <w:t>tethered devices</w:t>
        </w:r>
      </w:ins>
      <w:ins w:id="220" w:author="NTT_SA4#128" w:date="2024-05-21T19:32:00Z" w16du:dateUtc="2024-05-21T10:32:00Z">
        <w:r w:rsidR="00E56DD9">
          <w:rPr>
            <w:rFonts w:eastAsia="游明朝" w:hint="eastAsia"/>
            <w:lang w:val="en-US" w:eastAsia="ja-JP"/>
          </w:rPr>
          <w:t xml:space="preserve"> and the impact </w:t>
        </w:r>
        <w:r w:rsidR="00E56DD9">
          <w:rPr>
            <w:rFonts w:eastAsia="游明朝"/>
            <w:lang w:val="en-US" w:eastAsia="ja-JP"/>
          </w:rPr>
          <w:t>on the</w:t>
        </w:r>
        <w:r w:rsidR="00E56DD9">
          <w:rPr>
            <w:rFonts w:eastAsia="游明朝" w:hint="eastAsia"/>
            <w:lang w:val="en-US" w:eastAsia="ja-JP"/>
          </w:rPr>
          <w:t xml:space="preserve"> RTC architecture</w:t>
        </w:r>
      </w:ins>
      <w:ins w:id="221" w:author="Hakju Ryan Lee" w:date="2024-05-02T09:48:00Z">
        <w:r>
          <w:rPr>
            <w:rFonts w:eastAsia="游明朝"/>
            <w:lang w:val="en-US" w:eastAsia="ja-JP"/>
          </w:rPr>
          <w:t>.</w:t>
        </w:r>
      </w:ins>
    </w:p>
    <w:p w14:paraId="2F35E6D6" w14:textId="3AB8DD48" w:rsidR="00823335" w:rsidRDefault="001058A1" w:rsidP="001058A1">
      <w:pPr>
        <w:pStyle w:val="B2"/>
        <w:rPr>
          <w:ins w:id="222" w:author="NTT_SA4#128" w:date="2024-05-21T20:38:00Z" w16du:dateUtc="2024-05-21T11:38:00Z"/>
          <w:rFonts w:eastAsia="游明朝"/>
          <w:lang w:eastAsia="ja-JP"/>
        </w:rPr>
      </w:pPr>
      <w:ins w:id="223" w:author="Hakju Ryan Lee" w:date="2024-05-02T09:48:00Z">
        <w:r>
          <w:rPr>
            <w:rFonts w:eastAsia="游明朝"/>
            <w:lang w:val="en-US" w:eastAsia="ja-JP"/>
          </w:rPr>
          <w:t>3.</w:t>
        </w:r>
        <w:r>
          <w:rPr>
            <w:rFonts w:eastAsia="游明朝"/>
            <w:lang w:val="en-US" w:eastAsia="ja-JP"/>
          </w:rPr>
          <w:tab/>
        </w:r>
      </w:ins>
      <w:ins w:id="224" w:author="samsung" w:date="2024-05-21T13:56:00Z">
        <w:r w:rsidR="003B2FC6" w:rsidRPr="003B2FC6">
          <w:rPr>
            <w:rFonts w:eastAsia="游明朝"/>
            <w:lang w:val="en-US" w:eastAsia="ja-JP"/>
          </w:rPr>
          <w:t xml:space="preserve">Evaluate the SA2 solution in TS 23.501 </w:t>
        </w:r>
      </w:ins>
      <w:ins w:id="225" w:author="NTT_SA4#128" w:date="2024-05-21T20:38:00Z" w16du:dateUtc="2024-05-21T11:38:00Z">
        <w:r w:rsidR="00823335">
          <w:rPr>
            <w:rFonts w:eastAsia="游明朝" w:hint="eastAsia"/>
            <w:lang w:val="en-US" w:eastAsia="ja-JP"/>
          </w:rPr>
          <w:t>and XRM_Ph2 in Rel</w:t>
        </w:r>
      </w:ins>
      <w:ins w:id="226" w:author="NTT_SA4#128" w:date="2024-05-21T20:39:00Z" w16du:dateUtc="2024-05-21T11:39:00Z">
        <w:r w:rsidR="00823335">
          <w:rPr>
            <w:rFonts w:eastAsia="游明朝" w:hint="eastAsia"/>
            <w:lang w:val="en-US" w:eastAsia="ja-JP"/>
          </w:rPr>
          <w:t xml:space="preserve">-19 </w:t>
        </w:r>
      </w:ins>
      <w:ins w:id="227" w:author="samsung" w:date="2024-05-21T13:56:00Z">
        <w:r w:rsidR="003B2FC6" w:rsidRPr="003B2FC6">
          <w:rPr>
            <w:rFonts w:eastAsia="游明朝"/>
            <w:lang w:val="en-US" w:eastAsia="ja-JP"/>
          </w:rPr>
          <w:t>on E2E QoS when there are non-3GPP networks also involved for the use cases considered under SA4 and identify potential gaps and coordinate with SA2 if needed</w:t>
        </w:r>
      </w:ins>
      <w:ins w:id="228" w:author="NTT_SA4#128" w:date="2024-05-24T08:56:00Z" w16du:dateUtc="2024-05-23T23:56:00Z">
        <w:r w:rsidR="001674EE">
          <w:rPr>
            <w:rFonts w:eastAsia="游明朝" w:hint="eastAsia"/>
            <w:lang w:val="en-US" w:eastAsia="ja-JP"/>
          </w:rPr>
          <w:t>.</w:t>
        </w:r>
      </w:ins>
    </w:p>
    <w:p w14:paraId="4A2BDC03" w14:textId="77777777" w:rsidR="001E489F" w:rsidRPr="007D2187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 xml:space="preserve">Document the following key issues in detail, and </w:t>
      </w:r>
      <w:proofErr w:type="gramStart"/>
      <w:r>
        <w:t>in particular how</w:t>
      </w:r>
      <w:proofErr w:type="gramEnd"/>
      <w:r>
        <w:t xml:space="preserve">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lastRenderedPageBreak/>
        <w:t>1</w:t>
      </w:r>
      <w:r w:rsidR="00D82EFD">
        <w:t>.</w:t>
      </w:r>
      <w:r w:rsidR="00D82EFD">
        <w:tab/>
      </w:r>
      <w:r w:rsidRPr="001B22BF">
        <w:t xml:space="preserve">Media capabilities, </w:t>
      </w:r>
      <w:proofErr w:type="gramStart"/>
      <w:r w:rsidRPr="001B22BF">
        <w:t>profiles</w:t>
      </w:r>
      <w:proofErr w:type="gramEnd"/>
      <w:r w:rsidRPr="001B22BF">
        <w:t xml:space="preserve"> and codecs for RTC</w:t>
      </w:r>
    </w:p>
    <w:p w14:paraId="1712BFBB" w14:textId="0A647082" w:rsidR="005B1EDA" w:rsidRPr="00544592" w:rsidRDefault="005B1EDA" w:rsidP="005B1EDA">
      <w:pPr>
        <w:pStyle w:val="B2"/>
        <w:rPr>
          <w:ins w:id="229" w:author="NTTr2" w:date="2024-05-01T15:59:00Z"/>
        </w:rPr>
      </w:pPr>
      <w:ins w:id="230" w:author="NTTr2" w:date="2024-05-01T15:59:00Z">
        <w:r>
          <w:t>2.</w:t>
        </w:r>
        <w:r>
          <w:tab/>
        </w:r>
      </w:ins>
      <w:ins w:id="231" w:author="Hakju Ryan Lee" w:date="2024-05-02T09:50:00Z">
        <w:r w:rsidR="001058A1" w:rsidRPr="00C603FA">
          <w:t>Signalling and metadata to support immersive media capabilities</w:t>
        </w:r>
      </w:ins>
    </w:p>
    <w:p w14:paraId="389E6C41" w14:textId="623DB117" w:rsidR="00544592" w:rsidRPr="00544592" w:rsidRDefault="005B1EDA" w:rsidP="00544592">
      <w:pPr>
        <w:pStyle w:val="B2"/>
      </w:pPr>
      <w:ins w:id="232" w:author="NTTr2" w:date="2024-05-01T15:59:00Z">
        <w:r>
          <w:t>3</w:t>
        </w:r>
      </w:ins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ins w:id="233" w:author="NTTr2" w:date="2024-05-01T15:59:00Z">
        <w:r>
          <w:t>4</w:t>
        </w:r>
      </w:ins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AABC0F7" w:rsidR="001B22BF" w:rsidRDefault="005B1EDA" w:rsidP="00D82EFD">
      <w:pPr>
        <w:pStyle w:val="B2"/>
      </w:pPr>
      <w:ins w:id="234" w:author="NTTr2" w:date="2024-05-01T15:59:00Z">
        <w:r>
          <w:t>5</w:t>
        </w:r>
      </w:ins>
      <w:r w:rsidR="001B22BF">
        <w:t>.</w:t>
      </w:r>
      <w:r w:rsidR="001B22BF">
        <w:tab/>
      </w:r>
      <w:r w:rsidR="001B22BF" w:rsidRPr="001B22BF">
        <w:t>WebRTC signalling protocol</w:t>
      </w:r>
      <w:r w:rsidR="003518F9">
        <w:t xml:space="preserve"> supporting collaboration scenario 4</w:t>
      </w:r>
    </w:p>
    <w:p w14:paraId="299545C9" w14:textId="51DF91B7" w:rsidR="00D20F1C" w:rsidRDefault="005B1EDA" w:rsidP="00D20F1C">
      <w:pPr>
        <w:pStyle w:val="B2"/>
        <w:rPr>
          <w:ins w:id="235" w:author="NTT" w:date="2024-04-22T10:08:00Z"/>
        </w:rPr>
      </w:pPr>
      <w:ins w:id="236" w:author="NTTr2" w:date="2024-05-01T15:59:00Z">
        <w:r>
          <w:t>6</w:t>
        </w:r>
      </w:ins>
      <w:ins w:id="237" w:author="NTT" w:date="2024-04-22T10:08:00Z">
        <w:r w:rsidR="00D20F1C">
          <w:t>.</w:t>
        </w:r>
        <w:r w:rsidR="00D20F1C">
          <w:tab/>
        </w:r>
      </w:ins>
      <w:ins w:id="238" w:author="Hakju Ryan Lee" w:date="2024-05-02T09:51:00Z">
        <w:r w:rsidR="001058A1" w:rsidRPr="00C603FA">
          <w:t>Support of tethered cases in RTC system</w:t>
        </w:r>
      </w:ins>
    </w:p>
    <w:p w14:paraId="0206F9CC" w14:textId="07BED948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游明朝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0723F596" w:rsidR="00F90B80" w:rsidRDefault="001B22BF" w:rsidP="00587E23">
      <w:pPr>
        <w:pStyle w:val="B1"/>
        <w:rPr>
          <w:ins w:id="239" w:author="Hakju Ryan Lee" w:date="2024-04-25T17:59:00Z"/>
        </w:rPr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normative work to relevant specifications.</w:t>
      </w:r>
    </w:p>
    <w:bookmarkEnd w:id="26"/>
    <w:p w14:paraId="45BD6CAB" w14:textId="429AD4BA" w:rsidR="007861B8" w:rsidRPr="007D2187" w:rsidRDefault="001E489F" w:rsidP="00432493">
      <w:pPr>
        <w:pStyle w:val="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373F399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Sept.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729461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6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Dec.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9B1067" w:rsidRPr="00FC253C">
              <w:rPr>
                <w:sz w:val="16"/>
                <w:szCs w:val="16"/>
              </w:rPr>
              <w:t>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游明朝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proofErr w:type="spellStart"/>
      <w:r>
        <w:t>Hakju</w:t>
      </w:r>
      <w:proofErr w:type="spellEnd"/>
      <w:r>
        <w:t xml:space="preserve"> Ryan Lee, Samsung Electronics, CO., LTD, hakju00.lee@samsung.com</w:t>
      </w:r>
    </w:p>
    <w:p w14:paraId="72743E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F224DA1" w14:textId="20EA6F8A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游明朝"/>
          <w:iCs/>
          <w:lang w:eastAsia="ja-JP"/>
        </w:rPr>
      </w:pPr>
      <w:r w:rsidRPr="008B2825">
        <w:rPr>
          <w:iCs/>
        </w:rPr>
        <w:t xml:space="preserve">Coordination with </w:t>
      </w:r>
      <w:ins w:id="240" w:author="NTT_SA4#128" w:date="2024-05-23T14:28:00Z" w16du:dateUtc="2024-05-23T05:28:00Z">
        <w:r>
          <w:rPr>
            <w:rFonts w:eastAsia="游明朝" w:hint="eastAsia"/>
            <w:iCs/>
            <w:lang w:eastAsia="ja-JP"/>
          </w:rPr>
          <w:t>foll</w:t>
        </w:r>
      </w:ins>
      <w:ins w:id="241" w:author="NTT_SA4#128" w:date="2024-05-23T14:37:00Z" w16du:dateUtc="2024-05-23T05:37:00Z">
        <w:r w:rsidR="00782EA9">
          <w:rPr>
            <w:rFonts w:eastAsia="游明朝" w:hint="eastAsia"/>
            <w:iCs/>
            <w:lang w:eastAsia="ja-JP"/>
          </w:rPr>
          <w:t>ow</w:t>
        </w:r>
      </w:ins>
      <w:ins w:id="242" w:author="NTT_SA4#128" w:date="2024-05-23T14:28:00Z" w16du:dateUtc="2024-05-23T05:28:00Z">
        <w:r>
          <w:rPr>
            <w:rFonts w:eastAsia="游明朝" w:hint="eastAsia"/>
            <w:iCs/>
            <w:lang w:eastAsia="ja-JP"/>
          </w:rPr>
          <w:t>ing</w:t>
        </w:r>
      </w:ins>
      <w:del w:id="243" w:author="NTT_SA4#128" w:date="2024-05-23T14:28:00Z" w16du:dateUtc="2024-05-23T05:28:00Z">
        <w:r w:rsidRPr="008B2825" w:rsidDel="00EE0E42">
          <w:rPr>
            <w:iCs/>
          </w:rPr>
          <w:delText>other</w:delText>
        </w:r>
      </w:del>
      <w:r w:rsidRPr="008B2825">
        <w:rPr>
          <w:iCs/>
        </w:rPr>
        <w:t xml:space="preserve"> WGs</w:t>
      </w:r>
      <w:del w:id="244" w:author="NTT_SA4#128" w:date="2024-05-23T14:29:00Z" w16du:dateUtc="2024-05-23T05:29:00Z">
        <w:r w:rsidDel="00EE0E42">
          <w:rPr>
            <w:iCs/>
          </w:rPr>
          <w:delText xml:space="preserve">, e.g., </w:delText>
        </w:r>
        <w:r w:rsidRPr="008B2825" w:rsidDel="00EE0E42">
          <w:rPr>
            <w:iCs/>
          </w:rPr>
          <w:delText xml:space="preserve">SA2, </w:delText>
        </w:r>
        <w:r w:rsidDel="00EE0E42">
          <w:rPr>
            <w:iCs/>
          </w:rPr>
          <w:delText>CT1 and CT3,</w:delText>
        </w:r>
        <w:r w:rsidRPr="008B2825" w:rsidDel="00EE0E42">
          <w:rPr>
            <w:iCs/>
          </w:rPr>
          <w:delText xml:space="preserve"> may be</w:delText>
        </w:r>
      </w:del>
      <w:ins w:id="245" w:author="NTT_SA4#128" w:date="2024-05-23T14:29:00Z" w16du:dateUtc="2024-05-23T05:29:00Z">
        <w:r>
          <w:rPr>
            <w:rFonts w:eastAsia="游明朝" w:hint="eastAsia"/>
            <w:iCs/>
            <w:lang w:eastAsia="ja-JP"/>
          </w:rPr>
          <w:t xml:space="preserve"> is</w:t>
        </w:r>
      </w:ins>
      <w:r w:rsidRPr="008B2825">
        <w:rPr>
          <w:iCs/>
        </w:rPr>
        <w:t xml:space="preserve"> necessary</w:t>
      </w:r>
      <w:del w:id="246" w:author="NTT_SA4#128" w:date="2024-05-23T14:29:00Z" w16du:dateUtc="2024-05-23T05:29:00Z">
        <w:r w:rsidRPr="008B2825" w:rsidDel="00EE0E42">
          <w:rPr>
            <w:iCs/>
          </w:rPr>
          <w:delText xml:space="preserve"> for the </w:delText>
        </w:r>
        <w:r w:rsidDel="00EE0E42">
          <w:rPr>
            <w:iCs/>
          </w:rPr>
          <w:delText>architectural and protocol discussions</w:delText>
        </w:r>
      </w:del>
      <w:r w:rsidRPr="008B2825">
        <w:rPr>
          <w:iCs/>
        </w:rPr>
        <w:t>.</w:t>
      </w:r>
    </w:p>
    <w:p w14:paraId="5FA3140C" w14:textId="17E4FFC4" w:rsidR="001B4F4D" w:rsidRDefault="001B4F4D" w:rsidP="001B4F4D">
      <w:pPr>
        <w:pStyle w:val="B1"/>
        <w:rPr>
          <w:ins w:id="247" w:author="NTT_SA4#128" w:date="2024-05-23T14:23:00Z" w16du:dateUtc="2024-05-23T05:23:00Z"/>
          <w:lang w:eastAsia="ja-JP"/>
        </w:rPr>
      </w:pPr>
      <w:ins w:id="248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49" w:author="NTT_SA4#128" w:date="2024-05-23T14:23:00Z" w16du:dateUtc="2024-05-23T05:23:00Z">
        <w:r w:rsidRPr="008B2825">
          <w:t>SA2</w:t>
        </w:r>
        <w:r>
          <w:rPr>
            <w:rFonts w:hint="eastAsia"/>
            <w:lang w:eastAsia="ja-JP"/>
          </w:rPr>
          <w:t xml:space="preserve">: </w:t>
        </w:r>
      </w:ins>
      <w:ins w:id="250" w:author="NTT_SA4#128" w:date="2024-05-23T14:26:00Z" w16du:dateUtc="2024-05-23T05:26:00Z">
        <w:r w:rsidR="00EE0E42">
          <w:rPr>
            <w:rFonts w:eastAsia="游明朝" w:hint="eastAsia"/>
            <w:lang w:eastAsia="ja-JP"/>
          </w:rPr>
          <w:t>Architectural aspects relat</w:t>
        </w:r>
      </w:ins>
      <w:ins w:id="251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ed to i</w:t>
        </w:r>
      </w:ins>
      <w:ins w:id="252" w:author="NTT_SA4#128" w:date="2024-05-23T14:23:00Z" w16du:dateUtc="2024-05-23T05:23:00Z">
        <w:r>
          <w:rPr>
            <w:rFonts w:hint="eastAsia"/>
            <w:lang w:eastAsia="ja-JP"/>
          </w:rPr>
          <w:t>n</w:t>
        </w:r>
      </w:ins>
      <w:ins w:id="253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t</w:t>
        </w:r>
      </w:ins>
      <w:ins w:id="254" w:author="NTT_SA4#128" w:date="2024-05-23T14:23:00Z" w16du:dateUtc="2024-05-23T05:23:00Z">
        <w:r>
          <w:rPr>
            <w:rFonts w:hint="eastAsia"/>
            <w:lang w:eastAsia="ja-JP"/>
          </w:rPr>
          <w:t>er-operator aspects.</w:t>
        </w:r>
      </w:ins>
    </w:p>
    <w:p w14:paraId="0E450088" w14:textId="1A49CA73" w:rsidR="001B4F4D" w:rsidRDefault="001B4F4D" w:rsidP="001B4F4D">
      <w:pPr>
        <w:pStyle w:val="B1"/>
        <w:rPr>
          <w:ins w:id="255" w:author="NTT_SA4#128" w:date="2024-05-23T14:23:00Z" w16du:dateUtc="2024-05-23T05:23:00Z"/>
          <w:lang w:eastAsia="ja-JP"/>
        </w:rPr>
      </w:pPr>
      <w:ins w:id="256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57" w:author="NTT_SA4#128" w:date="2024-05-23T14:23:00Z" w16du:dateUtc="2024-05-23T05:23:00Z">
        <w:r>
          <w:t>CT1 and CT3</w:t>
        </w:r>
        <w:r>
          <w:rPr>
            <w:rFonts w:hint="eastAsia"/>
            <w:lang w:eastAsia="ja-JP"/>
          </w:rPr>
          <w:t>: Signalling protocol aspects</w:t>
        </w:r>
      </w:ins>
      <w:ins w:id="258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, NNI aspects</w:t>
        </w:r>
      </w:ins>
      <w:ins w:id="259" w:author="NTT_SA4#128" w:date="2024-05-23T14:23:00Z" w16du:dateUtc="2024-05-23T05:23:00Z">
        <w:r w:rsidRPr="008B2825">
          <w:t>.</w:t>
        </w:r>
      </w:ins>
    </w:p>
    <w:p w14:paraId="083211AA" w14:textId="44DF079F" w:rsidR="001B4F4D" w:rsidRPr="001B4F4D" w:rsidRDefault="001B4F4D" w:rsidP="001B4F4D">
      <w:pPr>
        <w:pStyle w:val="B1"/>
        <w:rPr>
          <w:ins w:id="260" w:author="NTT_SA4#128" w:date="2024-05-23T14:23:00Z" w16du:dateUtc="2024-05-23T05:23:00Z"/>
          <w:lang w:eastAsia="ja-JP"/>
        </w:rPr>
      </w:pPr>
      <w:ins w:id="261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62" w:author="NTT_SA4#128" w:date="2024-05-23T14:23:00Z" w16du:dateUtc="2024-05-23T05:23:00Z"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ossibly SA3-LI: Lawful interception aspects.</w:t>
        </w:r>
      </w:ins>
    </w:p>
    <w:p w14:paraId="28E68586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S</w:t>
            </w:r>
            <w:r>
              <w:rPr>
                <w:rFonts w:eastAsia="游明朝"/>
                <w:lang w:eastAsia="ja-JP"/>
              </w:rPr>
              <w:t>amsung</w:t>
            </w:r>
            <w:r w:rsidR="00425B74">
              <w:rPr>
                <w:rFonts w:eastAsia="游明朝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7672461F" w:rsidR="00460868" w:rsidRPr="003B2FC6" w:rsidRDefault="003B2FC6" w:rsidP="00432493">
            <w:pPr>
              <w:pStyle w:val="TAL"/>
              <w:tabs>
                <w:tab w:val="left" w:pos="1841"/>
              </w:tabs>
              <w:rPr>
                <w:rFonts w:eastAsia="Malgun Gothic"/>
                <w:lang w:eastAsia="ko-KR"/>
              </w:rPr>
            </w:pPr>
            <w:ins w:id="263" w:author="samsung" w:date="2024-05-21T13:54:00Z">
              <w:r>
                <w:rPr>
                  <w:rFonts w:eastAsia="Malgun Gothic" w:hint="eastAsia"/>
                  <w:lang w:eastAsia="ko-KR"/>
                </w:rPr>
                <w:t>Vodafone</w:t>
              </w:r>
            </w:ins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10284AF7" w:rsidR="00460868" w:rsidRPr="00402FD8" w:rsidRDefault="00402FD8" w:rsidP="00460868">
            <w:pPr>
              <w:pStyle w:val="TAL"/>
              <w:rPr>
                <w:rFonts w:eastAsia="游明朝"/>
                <w:lang w:eastAsia="ja-JP"/>
              </w:rPr>
            </w:pPr>
            <w:ins w:id="264" w:author="NTT_SA4#128" w:date="2024-05-22T17:33:00Z" w16du:dateUtc="2024-05-22T08:33:00Z">
              <w:r>
                <w:rPr>
                  <w:rFonts w:eastAsia="游明朝" w:hint="eastAsia"/>
                  <w:lang w:eastAsia="ja-JP"/>
                </w:rPr>
                <w:t>Qualco</w:t>
              </w:r>
            </w:ins>
            <w:ins w:id="265" w:author="NTT_SA4#128" w:date="2024-05-22T17:34:00Z" w16du:dateUtc="2024-05-22T08:34:00Z">
              <w:r>
                <w:rPr>
                  <w:rFonts w:eastAsia="游明朝" w:hint="eastAsia"/>
                  <w:lang w:eastAsia="ja-JP"/>
                </w:rPr>
                <w:t>mm</w:t>
              </w:r>
            </w:ins>
            <w:ins w:id="266" w:author="NTT_SA4#128" w:date="2024-05-22T18:03:00Z" w16du:dateUtc="2024-05-22T09:03:00Z">
              <w:r w:rsidR="005653AF">
                <w:rPr>
                  <w:rFonts w:eastAsia="游明朝" w:hint="eastAsia"/>
                  <w:lang w:eastAsia="ja-JP"/>
                </w:rPr>
                <w:t xml:space="preserve"> </w:t>
              </w:r>
            </w:ins>
            <w:ins w:id="267" w:author="NTT_SA4#128" w:date="2024-05-22T18:04:00Z" w16du:dateUtc="2024-05-22T09:04:00Z">
              <w:r w:rsidR="005653AF">
                <w:rPr>
                  <w:rFonts w:eastAsia="游明朝" w:hint="eastAsia"/>
                  <w:lang w:eastAsia="ja-JP"/>
                </w:rPr>
                <w:t>Incorporated</w:t>
              </w:r>
            </w:ins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2C0456D" w:rsidR="00460868" w:rsidRDefault="00460868" w:rsidP="00460868">
            <w:pPr>
              <w:pStyle w:val="TAL"/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A7813" w14:textId="77777777" w:rsidR="002E36D4" w:rsidRDefault="002E36D4">
      <w:r>
        <w:separator/>
      </w:r>
    </w:p>
  </w:endnote>
  <w:endnote w:type="continuationSeparator" w:id="0">
    <w:p w14:paraId="6D03AD44" w14:textId="77777777" w:rsidR="002E36D4" w:rsidRDefault="002E36D4">
      <w:r>
        <w:continuationSeparator/>
      </w:r>
    </w:p>
  </w:endnote>
  <w:endnote w:type="continuationNotice" w:id="1">
    <w:p w14:paraId="44AE4295" w14:textId="77777777" w:rsidR="002E36D4" w:rsidRDefault="002E36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52DE9" w14:textId="77777777" w:rsidR="002E36D4" w:rsidRDefault="002E36D4">
      <w:r>
        <w:separator/>
      </w:r>
    </w:p>
  </w:footnote>
  <w:footnote w:type="continuationSeparator" w:id="0">
    <w:p w14:paraId="16C1CF7B" w14:textId="77777777" w:rsidR="002E36D4" w:rsidRDefault="002E36D4">
      <w:r>
        <w:continuationSeparator/>
      </w:r>
    </w:p>
  </w:footnote>
  <w:footnote w:type="continuationNotice" w:id="1">
    <w:p w14:paraId="791F3B0E" w14:textId="77777777" w:rsidR="002E36D4" w:rsidRDefault="002E36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791259">
    <w:abstractNumId w:val="8"/>
  </w:num>
  <w:num w:numId="2" w16cid:durableId="256713626">
    <w:abstractNumId w:val="5"/>
  </w:num>
  <w:num w:numId="3" w16cid:durableId="1198852375">
    <w:abstractNumId w:val="4"/>
  </w:num>
  <w:num w:numId="4" w16cid:durableId="1152714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7877922">
    <w:abstractNumId w:val="2"/>
  </w:num>
  <w:num w:numId="6" w16cid:durableId="672807202">
    <w:abstractNumId w:val="3"/>
  </w:num>
  <w:num w:numId="7" w16cid:durableId="335037397">
    <w:abstractNumId w:val="6"/>
  </w:num>
  <w:num w:numId="8" w16cid:durableId="531000437">
    <w:abstractNumId w:val="7"/>
  </w:num>
  <w:num w:numId="9" w16cid:durableId="951210076">
    <w:abstractNumId w:val="1"/>
  </w:num>
  <w:num w:numId="10" w16cid:durableId="157044618">
    <w:abstractNumId w:val="12"/>
  </w:num>
  <w:num w:numId="11" w16cid:durableId="862208465">
    <w:abstractNumId w:val="14"/>
  </w:num>
  <w:num w:numId="12" w16cid:durableId="1389495767">
    <w:abstractNumId w:val="13"/>
  </w:num>
  <w:num w:numId="13" w16cid:durableId="448397462">
    <w:abstractNumId w:val="11"/>
  </w:num>
  <w:num w:numId="14" w16cid:durableId="1302033147">
    <w:abstractNumId w:val="9"/>
  </w:num>
  <w:num w:numId="15" w16cid:durableId="264192299">
    <w:abstractNumId w:val="0"/>
  </w:num>
  <w:num w:numId="16" w16cid:durableId="18455838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NTT_SA4#128">
    <w15:presenceInfo w15:providerId="None" w15:userId="NTT_SA4#128"/>
  </w15:person>
  <w15:person w15:author="Hakju Ryan Lee">
    <w15:presenceInfo w15:providerId="None" w15:userId="Hakju Ryan Lee"/>
  </w15:person>
  <w15:person w15:author="NTTr2">
    <w15:presenceInfo w15:providerId="None" w15:userId="NTTr2"/>
  </w15:person>
  <w15:person w15:author="Kenjiro Arai">
    <w15:presenceInfo w15:providerId="None" w15:userId="Kenjiro Arai"/>
  </w15:person>
  <w15:person w15:author="NTTr1">
    <w15:presenceInfo w15:providerId="None" w15:userId="NTTr1"/>
  </w15:person>
  <w15:person w15:author="NTTr3">
    <w15:presenceInfo w15:providerId="None" w15:userId="NTTr3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87C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100B1"/>
    <w:rsid w:val="001137D0"/>
    <w:rsid w:val="001207CB"/>
    <w:rsid w:val="001244C2"/>
    <w:rsid w:val="00124E3C"/>
    <w:rsid w:val="0012518E"/>
    <w:rsid w:val="00125DBB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3B3B"/>
    <w:rsid w:val="004C4C9B"/>
    <w:rsid w:val="004C5AC9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6562"/>
    <w:rsid w:val="00587E23"/>
    <w:rsid w:val="00590673"/>
    <w:rsid w:val="00590B24"/>
    <w:rsid w:val="005915CE"/>
    <w:rsid w:val="00593DC4"/>
    <w:rsid w:val="0059529B"/>
    <w:rsid w:val="005954DD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4738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17DE4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1B51"/>
    <w:rsid w:val="007931FD"/>
    <w:rsid w:val="00795AD1"/>
    <w:rsid w:val="00796D79"/>
    <w:rsid w:val="007A4FC7"/>
    <w:rsid w:val="007B5456"/>
    <w:rsid w:val="007B5F65"/>
    <w:rsid w:val="007B7B16"/>
    <w:rsid w:val="007B7CD6"/>
    <w:rsid w:val="007C595A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7425"/>
    <w:rsid w:val="007E766C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6BD5"/>
    <w:rsid w:val="00881F37"/>
    <w:rsid w:val="008822C5"/>
    <w:rsid w:val="00883D39"/>
    <w:rsid w:val="00891919"/>
    <w:rsid w:val="008919D6"/>
    <w:rsid w:val="00895A28"/>
    <w:rsid w:val="00895A96"/>
    <w:rsid w:val="0089678A"/>
    <w:rsid w:val="00896F25"/>
    <w:rsid w:val="00897C84"/>
    <w:rsid w:val="008A06BE"/>
    <w:rsid w:val="008A56FD"/>
    <w:rsid w:val="008B3033"/>
    <w:rsid w:val="008B5702"/>
    <w:rsid w:val="008C686B"/>
    <w:rsid w:val="008D14C5"/>
    <w:rsid w:val="008D1D84"/>
    <w:rsid w:val="008D3DA6"/>
    <w:rsid w:val="008D4B55"/>
    <w:rsid w:val="008D5DA3"/>
    <w:rsid w:val="008D689F"/>
    <w:rsid w:val="008D6D69"/>
    <w:rsid w:val="008E4F26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2BAC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514F"/>
    <w:rsid w:val="009C6946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72D"/>
    <w:rsid w:val="009F6047"/>
    <w:rsid w:val="009F75BF"/>
    <w:rsid w:val="00A00FC4"/>
    <w:rsid w:val="00A03D2A"/>
    <w:rsid w:val="00A10ADB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7F80"/>
    <w:rsid w:val="00A405ED"/>
    <w:rsid w:val="00A41CE4"/>
    <w:rsid w:val="00A449CD"/>
    <w:rsid w:val="00A44DAC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C084E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797F"/>
    <w:rsid w:val="00D20F1C"/>
    <w:rsid w:val="00D223FC"/>
    <w:rsid w:val="00D22653"/>
    <w:rsid w:val="00D309DC"/>
    <w:rsid w:val="00D355FB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13D8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32EF"/>
    <w:rsid w:val="00F26C56"/>
    <w:rsid w:val="00F26D74"/>
    <w:rsid w:val="00F273CB"/>
    <w:rsid w:val="00F313DD"/>
    <w:rsid w:val="00F33331"/>
    <w:rsid w:val="00F36B16"/>
    <w:rsid w:val="00F36DB1"/>
    <w:rsid w:val="00F378BE"/>
    <w:rsid w:val="00F401DA"/>
    <w:rsid w:val="00F43120"/>
    <w:rsid w:val="00F44FF2"/>
    <w:rsid w:val="00F451AD"/>
    <w:rsid w:val="00F473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FA5"/>
    <w:rsid w:val="00FA6721"/>
    <w:rsid w:val="00FA7365"/>
    <w:rsid w:val="00FA79A7"/>
    <w:rsid w:val="00FC253C"/>
    <w:rsid w:val="00FC3233"/>
    <w:rsid w:val="00FC43CE"/>
    <w:rsid w:val="00FC643D"/>
    <w:rsid w:val="00FC6E63"/>
    <w:rsid w:val="00FC74F2"/>
    <w:rsid w:val="00FC7A19"/>
    <w:rsid w:val="00FC7E00"/>
    <w:rsid w:val="00FD1926"/>
    <w:rsid w:val="00FD1DAF"/>
    <w:rsid w:val="00FE1165"/>
    <w:rsid w:val="00FE2601"/>
    <w:rsid w:val="00FE3DCC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字列 (文字)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0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c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0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Web">
    <w:name w:val="Normal (Web)"/>
    <w:basedOn w:val="a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1">
    <w:name w:val="annotation reference"/>
    <w:basedOn w:val="a0"/>
    <w:uiPriority w:val="99"/>
    <w:rsid w:val="00937AAF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937AAF"/>
    <w:rPr>
      <w:rFonts w:ascii="Arial" w:hAnsi="Arial"/>
    </w:rPr>
  </w:style>
  <w:style w:type="character" w:customStyle="1" w:styleId="af3">
    <w:name w:val="コメント内容 (文字)"/>
    <w:basedOn w:val="a6"/>
    <w:link w:val="af2"/>
    <w:rsid w:val="00937AAF"/>
    <w:rPr>
      <w:rFonts w:ascii="Arial" w:hAnsi="Arial"/>
      <w:b/>
      <w:bCs/>
    </w:rPr>
  </w:style>
  <w:style w:type="character" w:styleId="af4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customStyle="1" w:styleId="12">
    <w:name w:val="メンション1"/>
    <w:basedOn w:val="a0"/>
    <w:uiPriority w:val="99"/>
    <w:unhideWhenUsed/>
    <w:rsid w:val="00C95F64"/>
    <w:rPr>
      <w:color w:val="2B579A"/>
      <w:shd w:val="clear" w:color="auto" w:fill="E1DFDD"/>
    </w:rPr>
  </w:style>
  <w:style w:type="character" w:styleId="af5">
    <w:name w:val="FollowedHyperlink"/>
    <w:basedOn w:val="a0"/>
    <w:rsid w:val="00C95F64"/>
    <w:rPr>
      <w:color w:val="954F72" w:themeColor="followedHyperlink"/>
      <w:u w:val="single"/>
    </w:rPr>
  </w:style>
  <w:style w:type="character" w:styleId="af6">
    <w:name w:val="Emphasis"/>
    <w:basedOn w:val="a0"/>
    <w:uiPriority w:val="20"/>
    <w:qFormat/>
    <w:rsid w:val="00C95F64"/>
    <w:rPr>
      <w:i/>
      <w:iCs/>
    </w:rPr>
  </w:style>
  <w:style w:type="character" w:customStyle="1" w:styleId="13">
    <w:name w:val="未解決のメンション1"/>
    <w:basedOn w:val="a0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C95F64"/>
  </w:style>
  <w:style w:type="paragraph" w:customStyle="1" w:styleId="paragraph">
    <w:name w:val="paragraph"/>
    <w:basedOn w:val="a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a0"/>
    <w:rsid w:val="00125DBB"/>
  </w:style>
  <w:style w:type="character" w:customStyle="1" w:styleId="aa">
    <w:name w:val="リスト段落 (文字)"/>
    <w:aliases w:val="Task Body (文字),List1 (文字),Viñetas (Inicio Parrafo) (文字),3 Txt tabla (文字),Zerrenda-paragrafoa (文字),Lista multicolor - Énfasis 11 (文字),List11 (文字),Vi–etas (Inicio Parrafo) (文字),Lista multicolor - ƒnfasis 11 (文字),Lista 1 (文字),body 2 (文字)"/>
    <w:link w:val="a9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af7">
    <w:name w:val="Balloon Text"/>
    <w:basedOn w:val="a"/>
    <w:link w:val="af8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吹き出し (文字)"/>
    <w:basedOn w:val="a0"/>
    <w:link w:val="af7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F75AF-2134-4452-AC54-D25ACD347D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1695</Words>
  <Characters>9666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NTT_SA4#128</cp:lastModifiedBy>
  <cp:revision>4</cp:revision>
  <cp:lastPrinted>2001-04-23T09:30:00Z</cp:lastPrinted>
  <dcterms:created xsi:type="dcterms:W3CDTF">2024-05-24T02:06:00Z</dcterms:created>
  <dcterms:modified xsi:type="dcterms:W3CDTF">2024-05-24T02:12:00Z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