
<file path=[Content_Types].xml><?xml version="1.0" encoding="utf-8"?>
<Types xmlns="http://schemas.openxmlformats.org/package/2006/content-types">
  <Default Extension="glb" ContentType="model/gltf.binary"/>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07CA941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9.1</w:t>
      </w:r>
      <w:r w:rsidR="0033324B">
        <w:rPr>
          <w:rFonts w:ascii="Arial" w:hAnsi="Arial" w:cs="Arial"/>
          <w:szCs w:val="24"/>
          <w:lang w:val="en-US" w:eastAsia="ja-JP"/>
        </w:rPr>
        <w:t>0</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12CBAA1" w:rsidR="00610027" w:rsidRPr="00F1381D" w:rsidRDefault="00610027" w:rsidP="00610027">
      <w:pPr>
        <w:tabs>
          <w:tab w:val="left" w:pos="2268"/>
        </w:tabs>
        <w:ind w:left="2268" w:hanging="2268"/>
        <w:rPr>
          <w:rFonts w:ascii="Arial" w:hAnsi="Arial" w:cs="Arial"/>
          <w:b/>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FS_AVATAR</w:t>
      </w:r>
      <w:r w:rsidR="00DF7631">
        <w:rPr>
          <w:rFonts w:ascii="Arial" w:hAnsi="Arial" w:cs="Arial"/>
          <w:b/>
          <w:szCs w:val="24"/>
          <w:lang w:val="en-US" w:eastAsia="ja-JP"/>
        </w:rPr>
        <w:t>]</w:t>
      </w:r>
      <w:r w:rsidR="00BE6034">
        <w:rPr>
          <w:rFonts w:ascii="Arial" w:hAnsi="Arial" w:cs="Arial"/>
          <w:b/>
          <w:szCs w:val="24"/>
          <w:lang w:val="en-US" w:eastAsia="ja-JP"/>
        </w:rPr>
        <w:t xml:space="preserve"> </w:t>
      </w:r>
      <w:r w:rsidR="00F1381D" w:rsidRPr="00F1381D">
        <w:rPr>
          <w:rFonts w:ascii="Arial" w:hAnsi="Arial" w:cs="Arial"/>
          <w:b/>
          <w:szCs w:val="24"/>
          <w:lang w:val="en-US" w:eastAsia="ja-JP"/>
        </w:rPr>
        <w:t xml:space="preserve">AVATAR-related features in </w:t>
      </w:r>
      <w:proofErr w:type="spellStart"/>
      <w:r w:rsidR="00F1381D" w:rsidRPr="00F1381D">
        <w:rPr>
          <w:rFonts w:ascii="Arial" w:hAnsi="Arial" w:cs="Arial"/>
          <w:b/>
          <w:szCs w:val="24"/>
          <w:lang w:val="en-US" w:eastAsia="ja-JP"/>
        </w:rPr>
        <w:t>glTF</w:t>
      </w:r>
      <w:proofErr w:type="spellEnd"/>
      <w:r w:rsidR="00F1381D" w:rsidRPr="00F1381D">
        <w:rPr>
          <w:rFonts w:ascii="Arial" w:hAnsi="Arial" w:cs="Arial"/>
          <w:b/>
          <w:szCs w:val="24"/>
          <w:lang w:val="en-US" w:eastAsia="ja-JP"/>
        </w:rPr>
        <w:t xml:space="preserve"> 2.0 and MPEG-I Scene Description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12C649C9" w:rsidR="00B20D7B" w:rsidRPr="00AB234E" w:rsidRDefault="0083671E" w:rsidP="00AB234E">
      <w:pPr>
        <w:rPr>
          <w:lang w:val="en-US"/>
        </w:rPr>
      </w:pPr>
      <w:r>
        <w:rPr>
          <w:lang w:val="en-US"/>
        </w:rPr>
        <w:t xml:space="preserve">In this contribution, we </w:t>
      </w:r>
      <w:r w:rsidR="00F1381D">
        <w:rPr>
          <w:lang w:val="en-US"/>
        </w:rPr>
        <w:t xml:space="preserve">describe the features in </w:t>
      </w:r>
      <w:proofErr w:type="spellStart"/>
      <w:r w:rsidR="00F1381D">
        <w:rPr>
          <w:lang w:val="en-US"/>
        </w:rPr>
        <w:t>glTF</w:t>
      </w:r>
      <w:proofErr w:type="spellEnd"/>
      <w:r w:rsidR="00F1381D">
        <w:rPr>
          <w:lang w:val="en-US"/>
        </w:rPr>
        <w:t xml:space="preserve"> 2.0 and MPEG-I Scene Description</w:t>
      </w:r>
      <w:r w:rsidR="0005306D">
        <w:rPr>
          <w:lang w:val="en-US"/>
        </w:rPr>
        <w:t xml:space="preserve"> that relate to Avatars and their animation</w:t>
      </w:r>
      <w:r w:rsidR="00B20D7B">
        <w:rPr>
          <w:lang w:val="en-US"/>
        </w:rPr>
        <w:t>.</w:t>
      </w:r>
    </w:p>
    <w:p w14:paraId="3551B604" w14:textId="6680EE20" w:rsidR="00F108B7" w:rsidRDefault="0005306D" w:rsidP="00F108B7">
      <w:pPr>
        <w:pStyle w:val="Heading1"/>
        <w:numPr>
          <w:ilvl w:val="0"/>
          <w:numId w:val="3"/>
        </w:numPr>
      </w:pPr>
      <w:r>
        <w:t xml:space="preserve">Skinning and Animation in </w:t>
      </w:r>
      <w:proofErr w:type="spellStart"/>
      <w:r>
        <w:t>glTF</w:t>
      </w:r>
      <w:proofErr w:type="spellEnd"/>
      <w:r>
        <w:t xml:space="preserve"> 2.0</w:t>
      </w:r>
    </w:p>
    <w:p w14:paraId="16585789" w14:textId="58DBFABD" w:rsidR="007740CD" w:rsidRDefault="00CB339E" w:rsidP="0005306D">
      <w:r>
        <w:t xml:space="preserve">Skinning is a technique that is widely used </w:t>
      </w:r>
      <w:r w:rsidR="005042FD">
        <w:t>to animate a 3D model by deforming its mesh based on the movements of an underlying skeleton. This allows for realistic animations of characters and other complex models.</w:t>
      </w:r>
    </w:p>
    <w:p w14:paraId="438681FE" w14:textId="58399FDB" w:rsidR="005042FD" w:rsidRDefault="005042FD" w:rsidP="0005306D">
      <w:r>
        <w:t xml:space="preserve">To enable skinning, a skeleton is required. The skeleton </w:t>
      </w:r>
      <w:r w:rsidR="00A012FD">
        <w:t xml:space="preserve">consists of a root node and </w:t>
      </w:r>
      <w:r>
        <w:t xml:space="preserve">a hierarchical set of joints that define the structure and movement of the model. Each joint influences one or more vertices of the mesh. In </w:t>
      </w:r>
      <w:proofErr w:type="spellStart"/>
      <w:r>
        <w:t>glTF</w:t>
      </w:r>
      <w:proofErr w:type="spellEnd"/>
      <w:r>
        <w:t xml:space="preserve"> 2.0, the joints are represented as nodes </w:t>
      </w:r>
      <w:r w:rsidR="00A012FD">
        <w:t xml:space="preserve">which are associated with their inverse bind matrices. The inverse bind matrix of a joint defines the transform that is applied to each vertex of the associated mesh to bring the vertices to the joint’s space. This is in preparation of applying the world transform on the joint and its vertices. </w:t>
      </w:r>
    </w:p>
    <w:p w14:paraId="472F2A31" w14:textId="02B4DE56" w:rsidR="00A012FD" w:rsidRDefault="00A012FD" w:rsidP="0005306D">
      <w:r>
        <w:t>The information about skeleton, joints, and their inverse bind matrices is provided as part of the skin object.</w:t>
      </w:r>
    </w:p>
    <w:p w14:paraId="3653E609" w14:textId="54DB97E3" w:rsidR="004612C3" w:rsidRDefault="00B67FAE" w:rsidP="0005306D">
      <w:r>
        <w:t xml:space="preserve">The mesh itself may provide a set of joints that may influence the position of each vertex. A maximum of 4 joints are allowed for any single vertex. The amount of influence is determined by weight associated with each of these 4 joints. The joints and weights are referenced through the attributes </w:t>
      </w:r>
      <w:proofErr w:type="spellStart"/>
      <w:r>
        <w:t>JOINTS_i</w:t>
      </w:r>
      <w:proofErr w:type="spellEnd"/>
      <w:r>
        <w:t xml:space="preserve"> and WEIGHTS_i, where is </w:t>
      </w:r>
      <w:proofErr w:type="spellStart"/>
      <w:r>
        <w:t>i</w:t>
      </w:r>
      <w:proofErr w:type="spellEnd"/>
      <w:r>
        <w:t xml:space="preserve"> can range from 0 to 3.</w:t>
      </w:r>
    </w:p>
    <w:p w14:paraId="24406312" w14:textId="1AEDE27A" w:rsidR="00B67FAE" w:rsidRDefault="00B67FAE" w:rsidP="0005306D">
      <w:r>
        <w:t xml:space="preserve">Animation in </w:t>
      </w:r>
      <w:proofErr w:type="spellStart"/>
      <w:r>
        <w:t>glTF</w:t>
      </w:r>
      <w:proofErr w:type="spellEnd"/>
      <w:r>
        <w:t xml:space="preserve"> 2.0 may be used to animate or retarget the skinned character. Animations in </w:t>
      </w:r>
      <w:proofErr w:type="spellStart"/>
      <w:r>
        <w:t>glTF</w:t>
      </w:r>
      <w:proofErr w:type="spellEnd"/>
      <w:r>
        <w:t xml:space="preserve"> 2.0 are keyframe based and allow for modification of the properties of a node in the graph, such as its transformation or rotation. </w:t>
      </w:r>
      <w:r w:rsidR="00FB1272">
        <w:t xml:space="preserve">The modification follows an interpolation method and allows the values to transition from their initial to their target values over time. Animation may be used to animate the skeleton of the character by transforming the joint’s positions over time to deform the mesh. </w:t>
      </w:r>
    </w:p>
    <w:p w14:paraId="16DA5F0A" w14:textId="6FB10FE7" w:rsidR="00FB1272" w:rsidRDefault="00FB1272" w:rsidP="0005306D">
      <w:r>
        <w:t>The following is an example asset that is released by Khronos to demonstrate the capabilities of skinning and animation.</w:t>
      </w:r>
    </w:p>
    <w:p w14:paraId="318BC25F" w14:textId="77777777" w:rsidR="00FB1272" w:rsidRDefault="00FB1272" w:rsidP="0005306D"/>
    <w:p w14:paraId="3164258B" w14:textId="77777777" w:rsidR="00FB1272" w:rsidRDefault="00FB1272" w:rsidP="0005306D"/>
    <w:p w14:paraId="56536B21" w14:textId="77777777" w:rsidR="00FB1272" w:rsidRDefault="00FB1272" w:rsidP="0005306D"/>
    <w:p w14:paraId="2B044058" w14:textId="5D924936" w:rsidR="00FB1272" w:rsidRDefault="00FB1272" w:rsidP="0005306D">
      <w:r w:rsidRPr="00FB1272">
        <w:lastRenderedPageBreak/>
        <mc:AlternateContent>
          <mc:Choice Requires="am3d">
            <w:drawing>
              <wp:anchor distT="0" distB="0" distL="114300" distR="114300" simplePos="0" relativeHeight="251659264" behindDoc="0" locked="0" layoutInCell="1" allowOverlap="1" wp14:anchorId="3E50A5A8" wp14:editId="0011F40E">
                <wp:simplePos x="0" y="0"/>
                <wp:positionH relativeFrom="column">
                  <wp:posOffset>1803498</wp:posOffset>
                </wp:positionH>
                <wp:positionV relativeFrom="paragraph">
                  <wp:posOffset>-46934</wp:posOffset>
                </wp:positionV>
                <wp:extent cx="1960307" cy="2455011"/>
                <wp:effectExtent l="0" t="0" r="0" b="2540"/>
                <wp:wrapNone/>
                <wp:docPr id="1232774854" name="3D Model 1"/>
                <wp:cNvGraphicFramePr/>
                <a:graphic xmlns:a="http://schemas.openxmlformats.org/drawingml/2006/main">
                  <a:graphicData uri="http://schemas.microsoft.com/office/drawing/2017/model3d">
                    <am3d:model3d r:embed="rId11">
                      <am3d:spPr>
                        <a:xfrm>
                          <a:off x="0" y="0"/>
                          <a:ext cx="1960307" cy="2455011"/>
                        </a:xfrm>
                        <a:prstGeom prst="rect">
                          <a:avLst/>
                        </a:prstGeom>
                      </am3d:spPr>
                      <am3d:camera>
                        <am3d:pos x="0" y="0" z="61524759"/>
                        <am3d:up dx="0" dy="36000000" dz="0"/>
                        <am3d:lookAt x="0" y="0" z="0"/>
                        <am3d:perspective fov="2700000"/>
                      </am3d:camera>
                      <am3d:trans>
                        <am3d:meterPerModelUnit n="677305" d="1000000"/>
                        <am3d:preTrans dx="-14" dy="-17999996" dz="-1052961"/>
                        <am3d:scale>
                          <am3d:sx n="1000000" d="1000000"/>
                          <am3d:sy n="1000000" d="1000000"/>
                          <am3d:sz n="1000000" d="1000000"/>
                        </am3d:scale>
                        <am3d:rot/>
                        <am3d:postTrans dx="0" dy="0" dz="0"/>
                      </am3d:trans>
                      <am3d:raster rName="Office3DRenderer" rVer="16.0.8326">
                        <am3d:blip r:embed="rId12"/>
                      </am3d:raster>
                      <am3d:extLst>
                        <a:ext uri="{9A65AA19-BECB-4387-8358-8AD5134E1D82}">
                          <a3danim:embedAnim xmlns:a3danim="http://schemas.microsoft.com/office/drawing/2018/animation/model3d" animId="0">
                            <a3danim:animPr length="1250" count="indefinite"/>
                          </a3danim:embedAnim>
                        </a:ext>
                        <a:ext uri="{E9DE012E-A134-456F-84FE-255F9AAD75C6}">
                          <a3danim:posterFrame xmlns:a3danim="http://schemas.microsoft.com/office/drawing/2018/animation/model3d" animId="0"/>
                        </a:ext>
                      </am3d:extLst>
                      <am3d:objViewport viewportSz="3200268"/>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59264" behindDoc="0" locked="0" layoutInCell="1" allowOverlap="1" wp14:anchorId="3E50A5A8" wp14:editId="0011F40E">
                <wp:simplePos x="0" y="0"/>
                <wp:positionH relativeFrom="column">
                  <wp:posOffset>1803498</wp:posOffset>
                </wp:positionH>
                <wp:positionV relativeFrom="paragraph">
                  <wp:posOffset>-46934</wp:posOffset>
                </wp:positionV>
                <wp:extent cx="1960307" cy="2455011"/>
                <wp:effectExtent l="0" t="0" r="0" b="2540"/>
                <wp:wrapNone/>
                <wp:docPr id="1232774854" name="3D Model 1"/>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232774854" name="3D Model 1"/>
                        <pic:cNvPicPr>
                          <a:picLocks noGrp="1" noRot="1" noChangeAspect="1" noMove="1" noResize="1" noEditPoints="1" noAdjustHandles="1" noChangeArrowheads="1" noChangeShapeType="1" noCrop="1"/>
                        </pic:cNvPicPr>
                      </pic:nvPicPr>
                      <pic:blipFill>
                        <a:blip r:embed="rId12"/>
                        <a:stretch>
                          <a:fillRect/>
                        </a:stretch>
                      </pic:blipFill>
                      <pic:spPr>
                        <a:xfrm>
                          <a:off x="0" y="0"/>
                          <a:ext cx="1960245" cy="2454910"/>
                        </a:xfrm>
                        <a:prstGeom prst="rect">
                          <a:avLst/>
                        </a:prstGeom>
                      </pic:spPr>
                    </pic:pic>
                  </a:graphicData>
                </a:graphic>
                <wp14:sizeRelH relativeFrom="margin">
                  <wp14:pctWidth>0</wp14:pctWidth>
                </wp14:sizeRelH>
                <wp14:sizeRelV relativeFrom="margin">
                  <wp14:pctHeight>0</wp14:pctHeight>
                </wp14:sizeRelV>
              </wp:anchor>
            </w:drawing>
          </mc:Fallback>
        </mc:AlternateContent>
      </w:r>
    </w:p>
    <w:p w14:paraId="5E56C91A" w14:textId="44E9EF68" w:rsidR="00FB1272" w:rsidRDefault="00FB1272" w:rsidP="0005306D"/>
    <w:p w14:paraId="481CF458" w14:textId="77777777" w:rsidR="00FB1272" w:rsidRDefault="00FB1272" w:rsidP="0005306D"/>
    <w:p w14:paraId="257EFEFE" w14:textId="77777777" w:rsidR="00FB1272" w:rsidRDefault="00FB1272" w:rsidP="0005306D"/>
    <w:p w14:paraId="67ABEC03" w14:textId="77777777" w:rsidR="00FB1272" w:rsidRDefault="00FB1272" w:rsidP="0005306D"/>
    <w:p w14:paraId="7DB44058" w14:textId="77777777" w:rsidR="00FB1272" w:rsidRDefault="00FB1272" w:rsidP="0005306D"/>
    <w:p w14:paraId="6BD75550" w14:textId="77777777" w:rsidR="00FB1272" w:rsidRDefault="00FB1272" w:rsidP="0005306D"/>
    <w:p w14:paraId="589A5EB9" w14:textId="77777777" w:rsidR="00FB1272" w:rsidRDefault="00FB1272" w:rsidP="0005306D"/>
    <w:p w14:paraId="7DE05314" w14:textId="77777777" w:rsidR="00FB1272" w:rsidRDefault="00FB1272" w:rsidP="0005306D"/>
    <w:p w14:paraId="3DD66991" w14:textId="7DD7AB04" w:rsidR="00FB1272" w:rsidRDefault="00FB1272" w:rsidP="0005306D">
      <w:r>
        <w:t>Retargeting can be performed by converting the detected body pose into an animation stream for the skeleton of the character.</w:t>
      </w:r>
    </w:p>
    <w:p w14:paraId="64F9C369" w14:textId="5D573872" w:rsidR="00FB1272" w:rsidRDefault="00FB1272" w:rsidP="00090904">
      <w:pPr>
        <w:pStyle w:val="Heading1"/>
        <w:numPr>
          <w:ilvl w:val="0"/>
          <w:numId w:val="3"/>
        </w:numPr>
      </w:pPr>
      <w:r>
        <w:t>Avatar Support in MPEG-I Scene Description</w:t>
      </w:r>
    </w:p>
    <w:p w14:paraId="2F7657F1" w14:textId="77777777" w:rsidR="00C62D2D" w:rsidRDefault="00DE19A0" w:rsidP="00FB1272">
      <w:pPr>
        <w:rPr>
          <w:lang w:val="en-US"/>
        </w:rPr>
      </w:pPr>
      <w:r>
        <w:rPr>
          <w:lang w:val="en-US"/>
        </w:rPr>
        <w:t xml:space="preserve">MPEG-I Scene Description has introduced a new extension to </w:t>
      </w:r>
      <w:proofErr w:type="spellStart"/>
      <w:r>
        <w:rPr>
          <w:lang w:val="en-US"/>
        </w:rPr>
        <w:t>glTF</w:t>
      </w:r>
      <w:proofErr w:type="spellEnd"/>
      <w:r>
        <w:rPr>
          <w:lang w:val="en-US"/>
        </w:rPr>
        <w:t xml:space="preserve"> 2.0, the </w:t>
      </w:r>
      <w:proofErr w:type="spellStart"/>
      <w:r>
        <w:rPr>
          <w:lang w:val="en-US"/>
        </w:rPr>
        <w:t>MPEG_node_avatar</w:t>
      </w:r>
      <w:proofErr w:type="spellEnd"/>
      <w:r>
        <w:rPr>
          <w:lang w:val="en-US"/>
        </w:rPr>
        <w:t xml:space="preserve">, to indicate that a particular node is the root/skeleton node for a humanoid Avatar character. The extension allows for the node content to be filled at runtime after a 3D reconstruction step is performed. The extension allows for signaling the Avatar representation format and associating the different joints of the Avatar with their joint identifier and hierarchy. The skeleton node is assumed to contain a mesh reference, that points into a dynamic source, which provides the animation data for the 3D reconstruction of the animated Avatar. </w:t>
      </w:r>
    </w:p>
    <w:p w14:paraId="1B0E9EDF" w14:textId="1CFE0BB2" w:rsidR="00C62D2D" w:rsidRDefault="00C62D2D" w:rsidP="00FB1272">
      <w:pPr>
        <w:rPr>
          <w:lang w:val="en-US"/>
        </w:rPr>
      </w:pPr>
      <w:r>
        <w:rPr>
          <w:lang w:val="en-US"/>
        </w:rPr>
        <w:t xml:space="preserve">The following is a description of the properties of the </w:t>
      </w:r>
      <w:proofErr w:type="spellStart"/>
      <w:r>
        <w:rPr>
          <w:lang w:val="en-US"/>
        </w:rPr>
        <w:t>MPEG_node_avatar</w:t>
      </w:r>
      <w:proofErr w:type="spellEnd"/>
      <w:r>
        <w:rPr>
          <w:lang w:val="en-US"/>
        </w:rPr>
        <w:t xml:space="preserve"> extension:</w:t>
      </w:r>
    </w:p>
    <w:tbl>
      <w:tblPr>
        <w:tblStyle w:val="TableGrid"/>
        <w:tblW w:w="9010" w:type="dxa"/>
        <w:tblLook w:val="04A0" w:firstRow="1" w:lastRow="0" w:firstColumn="1" w:lastColumn="0" w:noHBand="0" w:noVBand="1"/>
      </w:tblPr>
      <w:tblGrid>
        <w:gridCol w:w="1171"/>
        <w:gridCol w:w="1733"/>
        <w:gridCol w:w="1113"/>
        <w:gridCol w:w="1349"/>
        <w:gridCol w:w="3644"/>
      </w:tblGrid>
      <w:tr w:rsidR="00C62D2D" w:rsidRPr="004C11F7" w14:paraId="1E69EF29" w14:textId="77777777" w:rsidTr="00010182">
        <w:trPr>
          <w:trHeight w:val="300"/>
        </w:trPr>
        <w:tc>
          <w:tcPr>
            <w:tcW w:w="1171" w:type="dxa"/>
          </w:tcPr>
          <w:p w14:paraId="60E486A4" w14:textId="77777777" w:rsidR="00C62D2D" w:rsidRPr="00C04E31" w:rsidRDefault="00C62D2D" w:rsidP="00010182">
            <w:pPr>
              <w:pStyle w:val="Tableheader"/>
              <w:jc w:val="center"/>
              <w:rPr>
                <w:b/>
              </w:rPr>
            </w:pPr>
            <w:r w:rsidRPr="00C04E31">
              <w:rPr>
                <w:b/>
              </w:rPr>
              <w:t>Name</w:t>
            </w:r>
          </w:p>
        </w:tc>
        <w:tc>
          <w:tcPr>
            <w:tcW w:w="1733" w:type="dxa"/>
          </w:tcPr>
          <w:p w14:paraId="3A0E21F0" w14:textId="77777777" w:rsidR="00C62D2D" w:rsidRPr="00C04E31" w:rsidRDefault="00C62D2D" w:rsidP="00010182">
            <w:pPr>
              <w:pStyle w:val="Tableheader"/>
              <w:jc w:val="center"/>
              <w:rPr>
                <w:b/>
              </w:rPr>
            </w:pPr>
            <w:r w:rsidRPr="00C04E31">
              <w:rPr>
                <w:b/>
              </w:rPr>
              <w:t>Type</w:t>
            </w:r>
          </w:p>
        </w:tc>
        <w:tc>
          <w:tcPr>
            <w:tcW w:w="1113" w:type="dxa"/>
          </w:tcPr>
          <w:p w14:paraId="4B38BE4B" w14:textId="77777777" w:rsidR="00C62D2D" w:rsidRPr="00C04E31" w:rsidRDefault="00C62D2D" w:rsidP="00010182">
            <w:pPr>
              <w:pStyle w:val="Tableheader"/>
              <w:jc w:val="center"/>
              <w:rPr>
                <w:b/>
              </w:rPr>
            </w:pPr>
            <w:r w:rsidRPr="00C04E31">
              <w:rPr>
                <w:b/>
              </w:rPr>
              <w:t>Usage</w:t>
            </w:r>
          </w:p>
        </w:tc>
        <w:tc>
          <w:tcPr>
            <w:tcW w:w="1349" w:type="dxa"/>
          </w:tcPr>
          <w:p w14:paraId="5AE90F5F" w14:textId="77777777" w:rsidR="00C62D2D" w:rsidRPr="00C04E31" w:rsidRDefault="00C62D2D" w:rsidP="00010182">
            <w:pPr>
              <w:pStyle w:val="Tableheader"/>
              <w:jc w:val="center"/>
              <w:rPr>
                <w:b/>
              </w:rPr>
            </w:pPr>
            <w:r w:rsidRPr="00C04E31">
              <w:rPr>
                <w:b/>
              </w:rPr>
              <w:t>Default</w:t>
            </w:r>
          </w:p>
        </w:tc>
        <w:tc>
          <w:tcPr>
            <w:tcW w:w="3644" w:type="dxa"/>
          </w:tcPr>
          <w:p w14:paraId="39FF9E55" w14:textId="77777777" w:rsidR="00C62D2D" w:rsidRPr="00C04E31" w:rsidRDefault="00C62D2D" w:rsidP="00010182">
            <w:pPr>
              <w:pStyle w:val="Tableheader"/>
              <w:jc w:val="center"/>
              <w:rPr>
                <w:b/>
              </w:rPr>
            </w:pPr>
            <w:r w:rsidRPr="00C04E31">
              <w:rPr>
                <w:b/>
              </w:rPr>
              <w:t>Description</w:t>
            </w:r>
          </w:p>
        </w:tc>
      </w:tr>
      <w:tr w:rsidR="00C62D2D" w:rsidRPr="004C11F7" w14:paraId="276E5A42" w14:textId="77777777" w:rsidTr="00010182">
        <w:trPr>
          <w:trHeight w:val="300"/>
        </w:trPr>
        <w:tc>
          <w:tcPr>
            <w:tcW w:w="1171" w:type="dxa"/>
          </w:tcPr>
          <w:p w14:paraId="6108A7EC" w14:textId="77777777" w:rsidR="00C62D2D" w:rsidRPr="00C04E31" w:rsidRDefault="00C62D2D" w:rsidP="00010182">
            <w:pPr>
              <w:spacing w:after="0"/>
              <w:rPr>
                <w:rFonts w:cs="Arial"/>
                <w:sz w:val="20"/>
              </w:rPr>
            </w:pPr>
            <w:r w:rsidRPr="00C04E31">
              <w:rPr>
                <w:rFonts w:cs="Arial"/>
                <w:sz w:val="20"/>
              </w:rPr>
              <w:t>type</w:t>
            </w:r>
          </w:p>
        </w:tc>
        <w:tc>
          <w:tcPr>
            <w:tcW w:w="1733" w:type="dxa"/>
          </w:tcPr>
          <w:p w14:paraId="241EF322" w14:textId="77777777" w:rsidR="00C62D2D" w:rsidRPr="00C04E31" w:rsidRDefault="00C62D2D" w:rsidP="00010182">
            <w:pPr>
              <w:spacing w:after="0"/>
              <w:rPr>
                <w:rFonts w:cs="Arial"/>
                <w:sz w:val="20"/>
              </w:rPr>
            </w:pPr>
            <w:r w:rsidRPr="00C04E31">
              <w:rPr>
                <w:rFonts w:cs="Arial"/>
                <w:sz w:val="20"/>
              </w:rPr>
              <w:t>string</w:t>
            </w:r>
          </w:p>
        </w:tc>
        <w:tc>
          <w:tcPr>
            <w:tcW w:w="1113" w:type="dxa"/>
          </w:tcPr>
          <w:p w14:paraId="5262367E" w14:textId="77777777" w:rsidR="00C62D2D" w:rsidRPr="00C04E31" w:rsidRDefault="00C62D2D" w:rsidP="00010182">
            <w:pPr>
              <w:spacing w:after="0"/>
              <w:rPr>
                <w:rFonts w:cs="Arial"/>
                <w:sz w:val="20"/>
              </w:rPr>
            </w:pPr>
            <w:r w:rsidRPr="00C04E31">
              <w:rPr>
                <w:rFonts w:cs="Arial"/>
                <w:sz w:val="20"/>
              </w:rPr>
              <w:t>M</w:t>
            </w:r>
          </w:p>
        </w:tc>
        <w:tc>
          <w:tcPr>
            <w:tcW w:w="1349" w:type="dxa"/>
          </w:tcPr>
          <w:p w14:paraId="1CD16321" w14:textId="77777777" w:rsidR="00C62D2D" w:rsidRPr="00C04E31" w:rsidRDefault="00C62D2D" w:rsidP="00010182">
            <w:pPr>
              <w:spacing w:after="0"/>
              <w:rPr>
                <w:rFonts w:cs="Arial"/>
                <w:sz w:val="20"/>
              </w:rPr>
            </w:pPr>
          </w:p>
        </w:tc>
        <w:tc>
          <w:tcPr>
            <w:tcW w:w="3644" w:type="dxa"/>
          </w:tcPr>
          <w:p w14:paraId="27D4BD49" w14:textId="77777777" w:rsidR="00C62D2D" w:rsidRPr="00C04E31" w:rsidRDefault="00C62D2D" w:rsidP="00010182">
            <w:pPr>
              <w:spacing w:after="0"/>
              <w:rPr>
                <w:rFonts w:cs="Arial"/>
                <w:sz w:val="20"/>
              </w:rPr>
            </w:pPr>
            <w:r w:rsidRPr="00C04E31">
              <w:rPr>
                <w:rFonts w:cs="Arial"/>
                <w:sz w:val="20"/>
              </w:rPr>
              <w:t xml:space="preserve">The type of the </w:t>
            </w:r>
            <w:r>
              <w:rPr>
                <w:rFonts w:cs="Arial"/>
                <w:sz w:val="20"/>
              </w:rPr>
              <w:t>a</w:t>
            </w:r>
            <w:r w:rsidRPr="00C04E31">
              <w:rPr>
                <w:rFonts w:cs="Arial"/>
                <w:sz w:val="20"/>
              </w:rPr>
              <w:t xml:space="preserve">vatar representation is provided as a URN that uniquely identified the </w:t>
            </w:r>
            <w:r>
              <w:rPr>
                <w:rFonts w:cs="Arial"/>
                <w:sz w:val="20"/>
              </w:rPr>
              <w:t>a</w:t>
            </w:r>
            <w:r w:rsidRPr="00C04E31">
              <w:rPr>
                <w:rFonts w:cs="Arial"/>
                <w:sz w:val="20"/>
              </w:rPr>
              <w:t xml:space="preserve">vatar representation scheme. The </w:t>
            </w:r>
            <w:r>
              <w:rPr>
                <w:rFonts w:cs="Arial"/>
                <w:sz w:val="20"/>
              </w:rPr>
              <w:t>a</w:t>
            </w:r>
            <w:r w:rsidRPr="00C04E31">
              <w:rPr>
                <w:rFonts w:cs="Arial"/>
                <w:sz w:val="20"/>
              </w:rPr>
              <w:t xml:space="preserve">vatar representation scheme defines the format of all components that are used to reconstruct and animate the </w:t>
            </w:r>
            <w:r>
              <w:rPr>
                <w:rFonts w:cs="Arial"/>
                <w:sz w:val="20"/>
              </w:rPr>
              <w:t>a</w:t>
            </w:r>
            <w:r w:rsidRPr="00C04E31">
              <w:rPr>
                <w:rFonts w:cs="Arial"/>
                <w:sz w:val="20"/>
              </w:rPr>
              <w:t>vatar. The reference MPEG avatar URN is defined in section 8.3.3.</w:t>
            </w:r>
          </w:p>
        </w:tc>
      </w:tr>
      <w:tr w:rsidR="00C62D2D" w:rsidRPr="004C11F7" w14:paraId="71FB987C" w14:textId="77777777" w:rsidTr="00010182">
        <w:trPr>
          <w:trHeight w:val="300"/>
        </w:trPr>
        <w:tc>
          <w:tcPr>
            <w:tcW w:w="1171" w:type="dxa"/>
          </w:tcPr>
          <w:p w14:paraId="4F896D6B" w14:textId="77777777" w:rsidR="00C62D2D" w:rsidRPr="00C04E31" w:rsidRDefault="00C62D2D" w:rsidP="00010182">
            <w:pPr>
              <w:spacing w:after="0"/>
              <w:rPr>
                <w:rFonts w:cs="Arial"/>
                <w:sz w:val="20"/>
              </w:rPr>
            </w:pPr>
            <w:r w:rsidRPr="00C04E31">
              <w:rPr>
                <w:rFonts w:cs="Arial"/>
                <w:sz w:val="20"/>
              </w:rPr>
              <w:t>mappings</w:t>
            </w:r>
          </w:p>
        </w:tc>
        <w:tc>
          <w:tcPr>
            <w:tcW w:w="1733" w:type="dxa"/>
          </w:tcPr>
          <w:p w14:paraId="66377ABC" w14:textId="77777777" w:rsidR="00C62D2D" w:rsidRPr="00C04E31" w:rsidRDefault="00C62D2D" w:rsidP="00010182">
            <w:pPr>
              <w:spacing w:after="0"/>
              <w:rPr>
                <w:rFonts w:cs="Arial"/>
                <w:sz w:val="20"/>
              </w:rPr>
            </w:pPr>
            <w:r w:rsidRPr="00C04E31">
              <w:rPr>
                <w:rFonts w:cs="Arial"/>
                <w:sz w:val="20"/>
              </w:rPr>
              <w:t>array(Mapping)</w:t>
            </w:r>
          </w:p>
        </w:tc>
        <w:tc>
          <w:tcPr>
            <w:tcW w:w="1113" w:type="dxa"/>
          </w:tcPr>
          <w:p w14:paraId="796C6878" w14:textId="77777777" w:rsidR="00C62D2D" w:rsidRPr="00C04E31" w:rsidRDefault="00C62D2D" w:rsidP="00010182">
            <w:pPr>
              <w:spacing w:after="0"/>
              <w:rPr>
                <w:rFonts w:cs="Arial"/>
                <w:sz w:val="20"/>
              </w:rPr>
            </w:pPr>
            <w:r w:rsidRPr="00C04E31">
              <w:rPr>
                <w:rFonts w:cs="Arial"/>
                <w:sz w:val="20"/>
              </w:rPr>
              <w:t>M</w:t>
            </w:r>
          </w:p>
        </w:tc>
        <w:tc>
          <w:tcPr>
            <w:tcW w:w="1349" w:type="dxa"/>
          </w:tcPr>
          <w:p w14:paraId="4EF0AC31" w14:textId="77777777" w:rsidR="00C62D2D" w:rsidRPr="00C04E31" w:rsidRDefault="00C62D2D" w:rsidP="00010182">
            <w:pPr>
              <w:spacing w:after="0"/>
              <w:rPr>
                <w:rFonts w:cs="Arial"/>
                <w:sz w:val="20"/>
              </w:rPr>
            </w:pPr>
          </w:p>
        </w:tc>
        <w:tc>
          <w:tcPr>
            <w:tcW w:w="3644" w:type="dxa"/>
          </w:tcPr>
          <w:p w14:paraId="020AC386" w14:textId="77777777" w:rsidR="00C62D2D" w:rsidRPr="00C04E31" w:rsidRDefault="00C62D2D" w:rsidP="00010182">
            <w:pPr>
              <w:spacing w:after="0"/>
              <w:rPr>
                <w:rFonts w:cs="Arial"/>
                <w:sz w:val="20"/>
              </w:rPr>
            </w:pPr>
            <w:r w:rsidRPr="00C04E31">
              <w:rPr>
                <w:rFonts w:cs="Arial"/>
                <w:sz w:val="20"/>
              </w:rPr>
              <w:t>The mapping between child nodes and their associated avatar path. Note that the corresponding path for a parent node shall be a prefix of the path of its child nodes.</w:t>
            </w:r>
          </w:p>
        </w:tc>
      </w:tr>
    </w:tbl>
    <w:p w14:paraId="4B7C1B57" w14:textId="77777777" w:rsidR="00C62D2D" w:rsidRPr="00C62D2D" w:rsidRDefault="00C62D2D" w:rsidP="00FB1272"/>
    <w:p w14:paraId="729B6E53" w14:textId="6311C12E" w:rsidR="00C62D2D" w:rsidRPr="00FB1272" w:rsidRDefault="00C62D2D" w:rsidP="00FB1272">
      <w:pPr>
        <w:rPr>
          <w:lang w:val="en-US"/>
        </w:rPr>
      </w:pPr>
      <w:r>
        <w:rPr>
          <w:lang w:val="en-US"/>
        </w:rPr>
        <w:t>As mentioned earlier, the type is a URN identifier that uniquely identifies the Avatar representation format. The mappings element is crucial for enabling interactivity applications by correctly segmenting the 3D reconstructed avatar.</w:t>
      </w:r>
    </w:p>
    <w:p w14:paraId="613FE5E7" w14:textId="5BBC619E" w:rsidR="00090904" w:rsidRDefault="00090904" w:rsidP="00090904">
      <w:pPr>
        <w:pStyle w:val="Heading1"/>
        <w:numPr>
          <w:ilvl w:val="0"/>
          <w:numId w:val="3"/>
        </w:numPr>
      </w:pPr>
      <w:r>
        <w:lastRenderedPageBreak/>
        <w:t>Proposal</w:t>
      </w:r>
    </w:p>
    <w:p w14:paraId="43F2D1A6" w14:textId="40E3A4AA" w:rsidR="00090904" w:rsidRDefault="00090904" w:rsidP="007F6DA5">
      <w:pPr>
        <w:rPr>
          <w:lang w:val="en-US"/>
        </w:rPr>
      </w:pPr>
      <w:r>
        <w:rPr>
          <w:lang w:val="en-US"/>
        </w:rPr>
        <w:t>We propose</w:t>
      </w:r>
      <w:bookmarkEnd w:id="0"/>
      <w:r w:rsidR="00B03ACC">
        <w:rPr>
          <w:lang w:val="en-US"/>
        </w:rPr>
        <w:t xml:space="preserve"> to </w:t>
      </w:r>
      <w:r w:rsidR="00E770E8">
        <w:rPr>
          <w:lang w:val="en-US"/>
        </w:rPr>
        <w:t>document the content of sections 2 and 3 in</w:t>
      </w:r>
      <w:r w:rsidR="00B03ACC">
        <w:rPr>
          <w:lang w:val="en-US"/>
        </w:rPr>
        <w:t xml:space="preserve"> the</w:t>
      </w:r>
      <w:r w:rsidR="00E770E8">
        <w:rPr>
          <w:lang w:val="en-US"/>
        </w:rPr>
        <w:t xml:space="preserve"> TR as part of the existing formats</w:t>
      </w:r>
      <w:r w:rsidR="00B03ACC">
        <w:rPr>
          <w:lang w:val="en-US"/>
        </w:rPr>
        <w:t>.</w:t>
      </w:r>
    </w:p>
    <w:sectPr w:rsidR="00090904"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2EC588" w14:textId="77777777" w:rsidR="00303328" w:rsidRDefault="00303328">
      <w:r>
        <w:separator/>
      </w:r>
    </w:p>
  </w:endnote>
  <w:endnote w:type="continuationSeparator" w:id="0">
    <w:p w14:paraId="753CF3C4" w14:textId="77777777" w:rsidR="00303328" w:rsidRDefault="0030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73C699" w14:textId="77777777" w:rsidR="00303328" w:rsidRDefault="00303328">
      <w:r>
        <w:separator/>
      </w:r>
    </w:p>
  </w:footnote>
  <w:footnote w:type="continuationSeparator" w:id="0">
    <w:p w14:paraId="296FAE40" w14:textId="77777777" w:rsidR="00303328" w:rsidRDefault="0030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7CBBC6DF"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2D4668">
      <w:rPr>
        <w:b/>
        <w:noProof/>
        <w:sz w:val="24"/>
      </w:rPr>
      <w:t>8</w:t>
    </w:r>
    <w:r w:rsidRPr="007C550E">
      <w:rPr>
        <w:b/>
        <w:noProof/>
        <w:sz w:val="24"/>
      </w:rPr>
      <w:tab/>
    </w:r>
    <w:r>
      <w:rPr>
        <w:b/>
        <w:noProof/>
        <w:sz w:val="24"/>
      </w:rPr>
      <w:t>S4-240</w:t>
    </w:r>
    <w:r w:rsidR="00F1381D">
      <w:rPr>
        <w:b/>
        <w:noProof/>
        <w:sz w:val="24"/>
      </w:rPr>
      <w:t>928</w:t>
    </w:r>
  </w:p>
  <w:p w14:paraId="3B56539F" w14:textId="1BFED2AB" w:rsidR="008075BF" w:rsidRPr="002D4668" w:rsidRDefault="002D4668" w:rsidP="002C0216">
    <w:pPr>
      <w:pStyle w:val="Header"/>
      <w:rPr>
        <w:sz w:val="24"/>
      </w:rPr>
    </w:pPr>
    <w:r w:rsidRPr="002D4668">
      <w:rPr>
        <w:sz w:val="24"/>
      </w:rPr>
      <w:t>Jeju, Korea</w:t>
    </w:r>
    <w:r w:rsidR="002C0216">
      <w:rPr>
        <w:sz w:val="24"/>
      </w:rPr>
      <w:t xml:space="preserve">, </w:t>
    </w:r>
    <w:r w:rsidR="002C0216" w:rsidRPr="002D4668">
      <w:rPr>
        <w:sz w:val="24"/>
      </w:rPr>
      <w:fldChar w:fldCharType="begin"/>
    </w:r>
    <w:r w:rsidR="002C0216" w:rsidRPr="007C550E">
      <w:rPr>
        <w:sz w:val="24"/>
      </w:rPr>
      <w:instrText xml:space="preserve"> DOCPROPERTY  StartDate  \* MERGEFORMAT </w:instrText>
    </w:r>
    <w:r w:rsidR="002C0216" w:rsidRPr="002D4668">
      <w:rPr>
        <w:sz w:val="24"/>
      </w:rPr>
      <w:fldChar w:fldCharType="separate"/>
    </w:r>
    <w:r w:rsidR="002C0216" w:rsidRPr="00BA51D9">
      <w:rPr>
        <w:sz w:val="24"/>
      </w:rPr>
      <w:t xml:space="preserve"> </w:t>
    </w:r>
    <w:r w:rsidRPr="002D4668">
      <w:rPr>
        <w:sz w:val="24"/>
      </w:rPr>
      <w:t>May</w:t>
    </w:r>
    <w:r w:rsidR="002C0216" w:rsidRPr="002D4668">
      <w:rPr>
        <w:sz w:val="24"/>
      </w:rPr>
      <w:t xml:space="preserve"> </w:t>
    </w:r>
    <w:r w:rsidRPr="002D4668">
      <w:rPr>
        <w:sz w:val="24"/>
      </w:rPr>
      <w:t>20</w:t>
    </w:r>
    <w:r w:rsidR="002C0216" w:rsidRPr="002D4668">
      <w:rPr>
        <w:sz w:val="24"/>
      </w:rPr>
      <w:t>th - 2</w:t>
    </w:r>
    <w:r w:rsidRPr="002D4668">
      <w:rPr>
        <w:sz w:val="24"/>
      </w:rPr>
      <w:t>4</w:t>
    </w:r>
    <w:r w:rsidR="002C0216" w:rsidRPr="002D4668">
      <w:rPr>
        <w:sz w:val="24"/>
      </w:rPr>
      <w:t xml:space="preserve">th, </w:t>
    </w:r>
    <w:r w:rsidR="002C0216">
      <w:rPr>
        <w:sz w:val="24"/>
      </w:rPr>
      <w:t>202</w:t>
    </w:r>
    <w:r w:rsidR="002C0216" w:rsidRPr="002D4668">
      <w:rPr>
        <w:sz w:val="24"/>
      </w:rPr>
      <w:fldChar w:fldCharType="end"/>
    </w:r>
    <w:r w:rsidR="002C0216">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306D"/>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328"/>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2C3"/>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42FD"/>
    <w:rsid w:val="005051A4"/>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2FD"/>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67FAE"/>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2D2D"/>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339E"/>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9A0"/>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770E8"/>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381D"/>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272"/>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customStyle="1" w:styleId="Tableheader">
    <w:name w:val="Table header"/>
    <w:basedOn w:val="Normal"/>
    <w:rsid w:val="00C62D2D"/>
    <w:pPr>
      <w:overflowPunct/>
      <w:autoSpaceDE/>
      <w:autoSpaceDN/>
      <w:adjustRightInd/>
      <w:spacing w:before="60" w:after="60" w:line="210" w:lineRule="atLeast"/>
      <w:textAlignment w:val="auto"/>
    </w:pPr>
    <w:rPr>
      <w:rFonts w:ascii="Cambria" w:eastAsia="Calibri" w:hAnsi="Cambria"/>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7/06/relationships/model3d" Target="media/model3d1.glb"/><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598</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2024-05-14T20:41:00Z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