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00367BCE">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w:t>
      </w:r>
      <w:r w:rsidR="004E1AFD">
        <w:rPr>
          <w:rFonts w:eastAsia="宋体" w:cs="Arial"/>
          <w:sz w:val="24"/>
          <w:szCs w:val="24"/>
          <w:lang w:eastAsia="zh-CN"/>
        </w:rPr>
        <w:t>16056</w:t>
      </w:r>
      <w:bookmarkStart w:id="4" w:name="_GoBack"/>
      <w:bookmarkEnd w:id="4"/>
    </w:p>
    <w:p w:rsidR="00384317" w:rsidRPr="00376830" w:rsidRDefault="00367BCE" w:rsidP="00384317">
      <w:pPr>
        <w:pStyle w:val="a5"/>
        <w:tabs>
          <w:tab w:val="right" w:pos="9781"/>
          <w:tab w:val="right" w:pos="13323"/>
        </w:tabs>
        <w:spacing w:before="60" w:after="60"/>
        <w:outlineLvl w:val="0"/>
        <w:rPr>
          <w:rFonts w:eastAsia="宋体" w:cs="Arial"/>
          <w:b w:val="0"/>
          <w:sz w:val="24"/>
          <w:szCs w:val="24"/>
          <w:lang w:eastAsia="zh-CN"/>
        </w:rPr>
      </w:pPr>
      <w:r w:rsidRPr="00367BCE">
        <w:rPr>
          <w:rFonts w:eastAsia="宋体" w:cs="Arial"/>
          <w:sz w:val="24"/>
          <w:szCs w:val="24"/>
          <w:lang w:eastAsia="zh-CN"/>
        </w:rPr>
        <w:t>Hefei, China, October 14 – 18,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14737" w:rsidRPr="00A14737">
        <w:rPr>
          <w:rFonts w:ascii="Arial" w:hAnsi="Arial" w:cs="Arial"/>
          <w:sz w:val="22"/>
        </w:rPr>
        <w:t>Discussion on Tx requirements for NR NTN HPUE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91699" w:rsidRPr="00091699">
        <w:rPr>
          <w:rFonts w:ascii="Arial" w:eastAsia="宋体" w:hAnsi="Arial" w:cs="Arial"/>
          <w:sz w:val="22"/>
          <w:lang w:eastAsia="zh-CN"/>
        </w:rPr>
        <w:t>6</w:t>
      </w:r>
      <w:r w:rsidR="009528F4" w:rsidRPr="00091699">
        <w:rPr>
          <w:rFonts w:ascii="Arial" w:eastAsia="宋体" w:hAnsi="Arial" w:cs="Arial"/>
          <w:sz w:val="22"/>
          <w:lang w:eastAsia="zh-CN"/>
        </w:rPr>
        <w:t>.8.2.2</w:t>
      </w:r>
      <w:r w:rsidR="00091699" w:rsidRPr="00091699">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883878">
        <w:rPr>
          <w:rFonts w:eastAsia="宋体"/>
          <w:lang w:val="en-US" w:eastAsia="zh-CN"/>
        </w:rPr>
        <w:t>#10</w:t>
      </w:r>
      <w:r w:rsidR="00317DFA">
        <w:rPr>
          <w:rFonts w:eastAsia="宋体"/>
          <w:lang w:val="en-US" w:eastAsia="zh-CN"/>
        </w:rPr>
        <w:t>3</w:t>
      </w:r>
      <w:r w:rsidR="00883878">
        <w:rPr>
          <w:rFonts w:eastAsia="宋体"/>
          <w:lang w:val="en-US" w:eastAsia="zh-CN"/>
        </w:rPr>
        <w:t xml:space="preserve"> meeting, </w:t>
      </w:r>
      <w:r w:rsidR="00192B2A">
        <w:rPr>
          <w:rFonts w:eastAsia="宋体"/>
          <w:lang w:val="en-US" w:eastAsia="zh-CN"/>
        </w:rPr>
        <w:t xml:space="preserve">the WI [1] for </w:t>
      </w:r>
      <w:r w:rsidR="00317DFA" w:rsidRPr="00317DFA">
        <w:rPr>
          <w:rFonts w:eastAsia="宋体"/>
          <w:lang w:val="en-US" w:eastAsia="zh-CN"/>
        </w:rPr>
        <w:t>Enhanced requirements and test methodology for NR and IoT NTN</w:t>
      </w:r>
      <w:r w:rsidR="00192B2A">
        <w:rPr>
          <w:rFonts w:eastAsia="宋体"/>
          <w:lang w:val="en-US" w:eastAsia="zh-CN"/>
        </w:rPr>
        <w:t xml:space="preserve"> was established</w:t>
      </w:r>
      <w:r w:rsidR="00337B89">
        <w:rPr>
          <w:rFonts w:eastAsia="宋体"/>
          <w:lang w:val="en-US" w:eastAsia="zh-CN"/>
        </w:rPr>
        <w:t xml:space="preserve"> to </w:t>
      </w:r>
      <w:r w:rsidR="00317DFA">
        <w:rPr>
          <w:rFonts w:eastAsia="宋体"/>
          <w:lang w:val="en-US" w:eastAsia="zh-CN"/>
        </w:rPr>
        <w:t>introduce</w:t>
      </w:r>
      <w:r w:rsidR="00051C86">
        <w:rPr>
          <w:rFonts w:eastAsia="宋体"/>
          <w:lang w:val="en-US" w:eastAsia="zh-CN"/>
        </w:rPr>
        <w:t xml:space="preserve"> for </w:t>
      </w:r>
      <w:r w:rsidR="00317DFA">
        <w:rPr>
          <w:rFonts w:eastAsia="宋体"/>
          <w:lang w:val="en-US" w:eastAsia="zh-CN"/>
        </w:rPr>
        <w:t>HPUE feature</w:t>
      </w:r>
      <w:r w:rsidR="00337B89">
        <w:rPr>
          <w:rFonts w:eastAsia="宋体"/>
          <w:lang w:val="en-US" w:eastAsia="zh-CN"/>
        </w:rPr>
        <w:t>.</w:t>
      </w:r>
      <w:r w:rsidR="001254BE">
        <w:rPr>
          <w:rFonts w:eastAsia="宋体"/>
          <w:lang w:val="en-US" w:eastAsia="zh-CN"/>
        </w:rPr>
        <w:t xml:space="preserve"> The</w:t>
      </w:r>
      <w:r w:rsidR="00317DFA">
        <w:rPr>
          <w:rFonts w:eastAsia="宋体"/>
          <w:lang w:val="en-US" w:eastAsia="zh-CN"/>
        </w:rPr>
        <w:t xml:space="preserve"> objectives for HPUE Tx requirements are listed below</w:t>
      </w:r>
      <w:r w:rsidR="001254BE">
        <w:rPr>
          <w:rFonts w:eastAsia="宋体"/>
          <w:lang w:val="en-US" w:eastAsia="zh-CN"/>
        </w:rPr>
        <w:t xml:space="preserve">. </w:t>
      </w: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782E66" w:rsidTr="00782E66">
        <w:tc>
          <w:tcPr>
            <w:tcW w:w="9631" w:type="dxa"/>
          </w:tcPr>
          <w:p w:rsidR="00317DFA" w:rsidRPr="00D9611F" w:rsidRDefault="00317DFA" w:rsidP="00317DFA">
            <w:pPr>
              <w:pStyle w:val="afc"/>
              <w:widowControl w:val="0"/>
              <w:numPr>
                <w:ilvl w:val="0"/>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 xml:space="preserve">Specify high power UE (HPUE) for NR-NTN (Non-Terrestrial Networks) and </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-NTN (NB-</w:t>
            </w:r>
            <w:proofErr w:type="spellStart"/>
            <w:r w:rsidRPr="00D9611F">
              <w:rPr>
                <w:rFonts w:ascii="Times New Roman" w:hAnsi="Times New Roman" w:cs="Times New Roman"/>
                <w:sz w:val="20"/>
                <w:szCs w:val="20"/>
              </w:rPr>
              <w:t>IoT</w:t>
            </w:r>
            <w:proofErr w:type="spellEnd"/>
            <w:r w:rsidRPr="00D9611F">
              <w:rPr>
                <w:rFonts w:ascii="Times New Roman" w:hAnsi="Times New Roman" w:cs="Times New Roman"/>
                <w:sz w:val="20"/>
                <w:szCs w:val="20"/>
              </w:rPr>
              <w:t xml:space="preserve"> and </w:t>
            </w:r>
            <w:proofErr w:type="spellStart"/>
            <w:r w:rsidRPr="00D9611F">
              <w:rPr>
                <w:rFonts w:ascii="Times New Roman" w:hAnsi="Times New Roman" w:cs="Times New Roman"/>
                <w:sz w:val="20"/>
                <w:szCs w:val="20"/>
              </w:rPr>
              <w:t>eMTC</w:t>
            </w:r>
            <w:proofErr w:type="spellEnd"/>
            <w:r w:rsidRPr="00D9611F">
              <w:rPr>
                <w:rFonts w:ascii="Times New Roman" w:hAnsi="Times New Roman" w:cs="Times New Roman"/>
                <w:sz w:val="20"/>
                <w:szCs w:val="20"/>
              </w:rPr>
              <w:t xml:space="preserve"> based NTN) in FR1-NTN bands and the corresponding LTE NTN bands for the single uplink (UL) carrier scenario</w:t>
            </w:r>
          </w:p>
          <w:p w:rsidR="00317DFA" w:rsidRPr="00317DFA" w:rsidRDefault="00317DFA" w:rsidP="00317DFA">
            <w:pPr>
              <w:pStyle w:val="afc"/>
              <w:widowControl w:val="0"/>
              <w:numPr>
                <w:ilvl w:val="1"/>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Support UE with power class 2 (PC2, 26 dBm) that applies to both handheld and non-handheld based on the co-existence study.</w:t>
            </w:r>
          </w:p>
          <w:p w:rsidR="00317DFA" w:rsidRPr="00317DFA" w:rsidRDefault="00317DFA" w:rsidP="00317DFA">
            <w:pPr>
              <w:pStyle w:val="afc"/>
              <w:widowControl w:val="0"/>
              <w:numPr>
                <w:ilvl w:val="1"/>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Support other power classes based on the co-existence and feasibility study</w:t>
            </w:r>
          </w:p>
          <w:p w:rsidR="00317DFA" w:rsidRPr="00317DFA" w:rsidRDefault="00317DFA" w:rsidP="00317DFA">
            <w:pPr>
              <w:pStyle w:val="afc"/>
              <w:widowControl w:val="0"/>
              <w:numPr>
                <w:ilvl w:val="2"/>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Non-hand held UE is prioritized</w:t>
            </w:r>
          </w:p>
          <w:p w:rsidR="00317DFA" w:rsidRPr="00317DFA" w:rsidRDefault="00317DFA" w:rsidP="00317DFA">
            <w:pPr>
              <w:pStyle w:val="afc"/>
              <w:widowControl w:val="0"/>
              <w:numPr>
                <w:ilvl w:val="1"/>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Specify RF requirements for all considered power classes for NR-NTN and IoT-NTN in FR1-NTN bands and the corresponding LTE NTN bands</w:t>
            </w:r>
          </w:p>
          <w:p w:rsidR="00317DFA" w:rsidRPr="00317DFA" w:rsidRDefault="00317DFA" w:rsidP="00317DFA">
            <w:pPr>
              <w:pStyle w:val="afc"/>
              <w:widowControl w:val="0"/>
              <w:numPr>
                <w:ilvl w:val="2"/>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Necessary Tx requirements, at least including</w:t>
            </w:r>
          </w:p>
          <w:p w:rsidR="00317DFA" w:rsidRPr="00317DFA" w:rsidRDefault="00317DFA" w:rsidP="00317DFA">
            <w:pPr>
              <w:pStyle w:val="afc"/>
              <w:widowControl w:val="0"/>
              <w:numPr>
                <w:ilvl w:val="3"/>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Investigate and if necessary, specify the solution to address potential SAR (Specific Absorption Rate restriction) requirements for handheld UE</w:t>
            </w:r>
          </w:p>
          <w:p w:rsidR="00317DFA" w:rsidRPr="00317DFA" w:rsidRDefault="00317DFA" w:rsidP="00317DFA">
            <w:pPr>
              <w:pStyle w:val="afc"/>
              <w:widowControl w:val="0"/>
              <w:numPr>
                <w:ilvl w:val="3"/>
                <w:numId w:val="36"/>
              </w:numPr>
              <w:ind w:firstLineChars="0"/>
              <w:rPr>
                <w:rFonts w:ascii="Times New Roman" w:hAnsi="Times New Roman" w:cs="Times New Roman"/>
                <w:sz w:val="20"/>
                <w:szCs w:val="20"/>
                <w:shd w:val="pct15" w:color="auto" w:fill="FFFFFF"/>
              </w:rPr>
            </w:pPr>
            <w:r w:rsidRPr="00317DFA">
              <w:rPr>
                <w:rFonts w:ascii="Times New Roman" w:hAnsi="Times New Roman" w:cs="Times New Roman"/>
                <w:sz w:val="20"/>
                <w:szCs w:val="20"/>
                <w:shd w:val="pct15" w:color="auto" w:fill="FFFFFF"/>
              </w:rPr>
              <w:t>Specify MPR and A-MPR for the example bands considering the regulation for the corresponding bands, if necessary</w:t>
            </w:r>
          </w:p>
          <w:p w:rsidR="00317DFA" w:rsidRPr="00D9611F" w:rsidRDefault="00317DFA" w:rsidP="00317DFA">
            <w:pPr>
              <w:pStyle w:val="afc"/>
              <w:widowControl w:val="0"/>
              <w:numPr>
                <w:ilvl w:val="2"/>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Necessary Rx requirements, at least including</w:t>
            </w:r>
          </w:p>
          <w:p w:rsidR="00317DFA" w:rsidRPr="00D9611F" w:rsidRDefault="00317DFA" w:rsidP="00317DFA">
            <w:pPr>
              <w:pStyle w:val="afc"/>
              <w:widowControl w:val="0"/>
              <w:numPr>
                <w:ilvl w:val="3"/>
                <w:numId w:val="36"/>
              </w:numPr>
              <w:ind w:firstLineChars="0"/>
              <w:rPr>
                <w:rFonts w:ascii="Times New Roman" w:hAnsi="Times New Roman" w:cs="Times New Roman"/>
                <w:sz w:val="20"/>
                <w:szCs w:val="20"/>
              </w:rPr>
            </w:pPr>
            <w:r w:rsidRPr="00D9611F">
              <w:rPr>
                <w:rFonts w:ascii="Times New Roman" w:hAnsi="Times New Roman" w:cs="Times New Roman"/>
                <w:sz w:val="20"/>
                <w:szCs w:val="20"/>
              </w:rPr>
              <w:t>Specify the RSD requirements on the example bands, if necessary</w:t>
            </w:r>
          </w:p>
          <w:p w:rsidR="00317DFA" w:rsidRPr="00D9611F" w:rsidRDefault="00317DFA" w:rsidP="00317DFA">
            <w:pPr>
              <w:pStyle w:val="afc"/>
              <w:widowControl w:val="0"/>
              <w:numPr>
                <w:ilvl w:val="0"/>
                <w:numId w:val="36"/>
              </w:numPr>
              <w:spacing w:after="180"/>
              <w:ind w:firstLineChars="0"/>
              <w:jc w:val="both"/>
              <w:rPr>
                <w:rFonts w:ascii="Times New Roman" w:hAnsi="Times New Roman" w:cs="Times New Roman"/>
                <w:sz w:val="20"/>
                <w:szCs w:val="20"/>
              </w:rPr>
            </w:pPr>
            <w:r w:rsidRPr="00D9611F">
              <w:rPr>
                <w:rFonts w:ascii="Times New Roman" w:hAnsi="Times New Roman" w:cs="Times New Roman"/>
                <w:sz w:val="20"/>
                <w:szCs w:val="20"/>
              </w:rPr>
              <w:t>Specify the necessary signaling to support the above objectives</w:t>
            </w:r>
          </w:p>
          <w:p w:rsidR="00782E66" w:rsidRPr="00317DFA" w:rsidRDefault="00782E66" w:rsidP="00317DFA">
            <w:pPr>
              <w:spacing w:after="0"/>
              <w:jc w:val="both"/>
              <w:rPr>
                <w:rFonts w:eastAsia="宋体"/>
                <w:lang w:val="en-US" w:eastAsia="zh-CN"/>
              </w:rPr>
            </w:pPr>
          </w:p>
        </w:tc>
      </w:tr>
    </w:tbl>
    <w:p w:rsidR="00782E66" w:rsidRDefault="00782E66" w:rsidP="00A779C9">
      <w:pPr>
        <w:widowControl w:val="0"/>
        <w:overflowPunct/>
        <w:autoSpaceDE/>
        <w:autoSpaceDN/>
        <w:adjustRightInd/>
        <w:spacing w:after="0"/>
        <w:textAlignment w:val="auto"/>
        <w:rPr>
          <w:rFonts w:eastAsia="宋体"/>
          <w:lang w:val="en-US" w:eastAsia="zh-CN"/>
        </w:rPr>
      </w:pPr>
    </w:p>
    <w:p w:rsidR="008D473E" w:rsidRDefault="008D473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the WF [2] on </w:t>
      </w:r>
      <w:r w:rsidRPr="008D473E">
        <w:rPr>
          <w:rFonts w:eastAsia="宋体"/>
          <w:lang w:val="en-US" w:eastAsia="zh-CN"/>
        </w:rPr>
        <w:t>UE RF requirements for NTN HPUE</w:t>
      </w:r>
      <w:r>
        <w:rPr>
          <w:rFonts w:eastAsia="宋体"/>
          <w:lang w:val="en-US" w:eastAsia="zh-CN"/>
        </w:rPr>
        <w:t xml:space="preserve"> was approved with the following agreements.</w:t>
      </w:r>
    </w:p>
    <w:p w:rsidR="008D473E" w:rsidRDefault="008D473E" w:rsidP="00A779C9">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8D473E" w:rsidRPr="008D473E" w:rsidTr="008D473E">
        <w:tc>
          <w:tcPr>
            <w:tcW w:w="9631" w:type="dxa"/>
          </w:tcPr>
          <w:p w:rsidR="008D473E" w:rsidRPr="008D473E" w:rsidRDefault="008D473E" w:rsidP="008D473E">
            <w:pPr>
              <w:rPr>
                <w:b/>
                <w:u w:val="single"/>
                <w:lang w:eastAsia="ko-KR"/>
              </w:rPr>
            </w:pPr>
            <w:r w:rsidRPr="008D473E">
              <w:rPr>
                <w:b/>
                <w:u w:val="single"/>
                <w:lang w:eastAsia="ko-KR"/>
              </w:rPr>
              <w:t>Issue 3-1-1: General considerations</w:t>
            </w:r>
          </w:p>
          <w:p w:rsidR="008D473E" w:rsidRPr="008D473E" w:rsidRDefault="008D473E" w:rsidP="008D473E">
            <w:pPr>
              <w:pStyle w:val="afc"/>
              <w:numPr>
                <w:ilvl w:val="0"/>
                <w:numId w:val="11"/>
              </w:numPr>
              <w:spacing w:after="120"/>
              <w:ind w:left="720" w:firstLineChars="0"/>
              <w:rPr>
                <w:rFonts w:ascii="Times New Roman" w:hAnsi="Times New Roman" w:cs="Times New Roman"/>
                <w:b/>
                <w:sz w:val="20"/>
                <w:szCs w:val="20"/>
              </w:rPr>
            </w:pPr>
            <w:r w:rsidRPr="008D473E">
              <w:rPr>
                <w:rFonts w:ascii="Times New Roman" w:hAnsi="Times New Roman" w:cs="Times New Roman"/>
                <w:b/>
                <w:sz w:val="20"/>
                <w:szCs w:val="20"/>
              </w:rPr>
              <w:t>Agreement</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The study of NTN HPUE Tx requirements generally would have to consider co-existence results, UE implementation feasibility, and existing HPUE requirements.</w:t>
            </w:r>
          </w:p>
          <w:p w:rsidR="008D473E" w:rsidRPr="008D473E" w:rsidRDefault="008D473E" w:rsidP="008D473E">
            <w:pPr>
              <w:rPr>
                <w:rFonts w:eastAsiaTheme="minorEastAsia"/>
                <w:b/>
                <w:lang w:eastAsia="zh-CN"/>
              </w:rPr>
            </w:pPr>
          </w:p>
          <w:p w:rsidR="008D473E" w:rsidRPr="008D473E" w:rsidRDefault="008D473E" w:rsidP="008D473E">
            <w:pPr>
              <w:rPr>
                <w:rFonts w:eastAsia="Malgun Gothic"/>
                <w:b/>
                <w:u w:val="single"/>
                <w:lang w:eastAsia="ko-KR"/>
              </w:rPr>
            </w:pPr>
            <w:r w:rsidRPr="008D473E">
              <w:rPr>
                <w:b/>
                <w:u w:val="single"/>
                <w:lang w:eastAsia="ko-KR"/>
              </w:rPr>
              <w:t>Issue 3-1-5: Consideration of HPUE Architecture</w:t>
            </w:r>
          </w:p>
          <w:p w:rsidR="008D473E" w:rsidRPr="008D473E" w:rsidRDefault="008D473E" w:rsidP="008D473E">
            <w:pPr>
              <w:pStyle w:val="afc"/>
              <w:numPr>
                <w:ilvl w:val="0"/>
                <w:numId w:val="11"/>
              </w:numPr>
              <w:spacing w:after="120"/>
              <w:ind w:left="720" w:firstLineChars="0"/>
              <w:rPr>
                <w:rFonts w:ascii="Times New Roman" w:hAnsi="Times New Roman" w:cs="Times New Roman"/>
                <w:b/>
                <w:sz w:val="20"/>
                <w:szCs w:val="20"/>
              </w:rPr>
            </w:pPr>
            <w:r w:rsidRPr="008D473E">
              <w:rPr>
                <w:rFonts w:ascii="Times New Roman" w:hAnsi="Times New Roman" w:cs="Times New Roman"/>
                <w:b/>
                <w:sz w:val="20"/>
                <w:szCs w:val="20"/>
              </w:rPr>
              <w:t>Agreement:</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For PC2 (NR NTN), 1 Tx and 2 Tx, are to be considered for requirements.</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 xml:space="preserve">For PC2 IoT NTN, at least 1Tx shall be considered </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For other PCs (both IoT NTN and NR NTN), FFS</w:t>
            </w:r>
          </w:p>
          <w:p w:rsidR="008D473E" w:rsidRPr="008D473E" w:rsidRDefault="008D473E" w:rsidP="008D473E">
            <w:pPr>
              <w:overflowPunct/>
              <w:autoSpaceDE/>
              <w:autoSpaceDN/>
              <w:adjustRightInd/>
              <w:spacing w:after="120"/>
              <w:textAlignment w:val="auto"/>
              <w:rPr>
                <w:rFonts w:eastAsia="宋体"/>
                <w:lang w:eastAsia="zh-CN"/>
              </w:rPr>
            </w:pPr>
          </w:p>
          <w:p w:rsidR="008D473E" w:rsidRPr="008D473E" w:rsidRDefault="008D473E" w:rsidP="008D473E">
            <w:pPr>
              <w:rPr>
                <w:b/>
                <w:u w:val="single"/>
                <w:lang w:eastAsia="ko-KR"/>
              </w:rPr>
            </w:pPr>
            <w:r w:rsidRPr="008D473E">
              <w:rPr>
                <w:b/>
                <w:u w:val="single"/>
                <w:lang w:eastAsia="ko-KR"/>
              </w:rPr>
              <w:lastRenderedPageBreak/>
              <w:t>Issue 3-2-1: NR-NTN HPUE feasibility for different power classes</w:t>
            </w:r>
          </w:p>
          <w:p w:rsidR="008D473E" w:rsidRPr="008D473E" w:rsidRDefault="008D473E" w:rsidP="008D473E">
            <w:pPr>
              <w:rPr>
                <w:b/>
                <w:u w:val="single"/>
                <w:lang w:eastAsia="ko-KR"/>
              </w:rPr>
            </w:pPr>
            <w:r w:rsidRPr="008D473E">
              <w:rPr>
                <w:b/>
                <w:u w:val="single"/>
                <w:lang w:eastAsia="ko-KR"/>
              </w:rPr>
              <w:t>Issue 3-2-2: NB-IoT based IoT-NTN HPUE feasibility for different power classes</w:t>
            </w:r>
          </w:p>
          <w:p w:rsidR="008D473E" w:rsidRPr="008D473E" w:rsidRDefault="008D473E" w:rsidP="008D473E">
            <w:pPr>
              <w:rPr>
                <w:b/>
                <w:u w:val="single"/>
                <w:lang w:eastAsia="ko-KR"/>
              </w:rPr>
            </w:pPr>
            <w:r w:rsidRPr="008D473E">
              <w:rPr>
                <w:b/>
                <w:u w:val="single"/>
                <w:lang w:eastAsia="ko-KR"/>
              </w:rPr>
              <w:t xml:space="preserve">Issue 3-2-3: </w:t>
            </w:r>
            <w:proofErr w:type="spellStart"/>
            <w:r w:rsidRPr="008D473E">
              <w:rPr>
                <w:b/>
                <w:u w:val="single"/>
                <w:lang w:eastAsia="ko-KR"/>
              </w:rPr>
              <w:t>eMTC</w:t>
            </w:r>
            <w:proofErr w:type="spellEnd"/>
            <w:r w:rsidRPr="008D473E">
              <w:rPr>
                <w:b/>
                <w:u w:val="single"/>
                <w:lang w:eastAsia="ko-KR"/>
              </w:rPr>
              <w:t xml:space="preserve"> based </w:t>
            </w:r>
            <w:proofErr w:type="spellStart"/>
            <w:r w:rsidRPr="008D473E">
              <w:rPr>
                <w:b/>
                <w:u w:val="single"/>
                <w:lang w:eastAsia="ko-KR"/>
              </w:rPr>
              <w:t>IoT</w:t>
            </w:r>
            <w:proofErr w:type="spellEnd"/>
            <w:r w:rsidRPr="008D473E">
              <w:rPr>
                <w:b/>
                <w:u w:val="single"/>
                <w:lang w:eastAsia="ko-KR"/>
              </w:rPr>
              <w:t>-NTN HPUE feasibility for different power classes</w:t>
            </w:r>
          </w:p>
          <w:p w:rsidR="008D473E" w:rsidRPr="008D473E" w:rsidRDefault="008D473E" w:rsidP="008D473E">
            <w:pPr>
              <w:pStyle w:val="afc"/>
              <w:numPr>
                <w:ilvl w:val="0"/>
                <w:numId w:val="11"/>
              </w:numPr>
              <w:spacing w:after="120"/>
              <w:ind w:left="720" w:firstLineChars="0"/>
              <w:rPr>
                <w:rFonts w:ascii="Times New Roman" w:hAnsi="Times New Roman" w:cs="Times New Roman"/>
                <w:b/>
                <w:sz w:val="20"/>
                <w:szCs w:val="20"/>
              </w:rPr>
            </w:pPr>
            <w:r w:rsidRPr="008D473E">
              <w:rPr>
                <w:rFonts w:ascii="Times New Roman" w:hAnsi="Times New Roman" w:cs="Times New Roman"/>
                <w:b/>
                <w:sz w:val="20"/>
                <w:szCs w:val="20"/>
              </w:rPr>
              <w:t>Agreement of Issue 3-2-1 to Issue 3-2-3:</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For PC2, it is feasible to support both handheld and non-handheld devices.</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FFS other power classes for applicable device type.</w:t>
            </w:r>
          </w:p>
          <w:p w:rsidR="008D473E" w:rsidRPr="008D473E" w:rsidRDefault="008D473E" w:rsidP="008D473E">
            <w:pPr>
              <w:overflowPunct/>
              <w:autoSpaceDE/>
              <w:autoSpaceDN/>
              <w:adjustRightInd/>
              <w:spacing w:after="120"/>
              <w:textAlignment w:val="auto"/>
              <w:rPr>
                <w:rFonts w:eastAsia="宋体"/>
                <w:lang w:eastAsia="zh-CN"/>
              </w:rPr>
            </w:pPr>
          </w:p>
          <w:p w:rsidR="008D473E" w:rsidRPr="008D473E" w:rsidRDefault="008D473E" w:rsidP="008D473E">
            <w:pPr>
              <w:rPr>
                <w:b/>
                <w:u w:val="single"/>
                <w:lang w:eastAsia="ko-KR"/>
              </w:rPr>
            </w:pPr>
            <w:r w:rsidRPr="008D473E">
              <w:rPr>
                <w:b/>
                <w:u w:val="single"/>
                <w:lang w:eastAsia="ko-KR"/>
              </w:rPr>
              <w:t xml:space="preserve">Issue 3-3-1: </w:t>
            </w:r>
            <w:r w:rsidRPr="008D473E">
              <w:rPr>
                <w:b/>
                <w:u w:val="single"/>
                <w:lang w:eastAsia="zh-CN"/>
              </w:rPr>
              <w:t>Maximum output power</w:t>
            </w:r>
          </w:p>
          <w:p w:rsidR="008D473E" w:rsidRPr="008D473E" w:rsidRDefault="008D473E" w:rsidP="008D473E">
            <w:pPr>
              <w:pStyle w:val="afc"/>
              <w:numPr>
                <w:ilvl w:val="0"/>
                <w:numId w:val="11"/>
              </w:numPr>
              <w:spacing w:after="120"/>
              <w:ind w:left="720" w:firstLineChars="0"/>
              <w:rPr>
                <w:rFonts w:ascii="Times New Roman" w:hAnsi="Times New Roman" w:cs="Times New Roman"/>
                <w:b/>
                <w:sz w:val="20"/>
                <w:szCs w:val="20"/>
              </w:rPr>
            </w:pPr>
            <w:r w:rsidRPr="008D473E">
              <w:rPr>
                <w:rFonts w:ascii="Times New Roman" w:hAnsi="Times New Roman" w:cs="Times New Roman"/>
                <w:b/>
                <w:sz w:val="20"/>
                <w:szCs w:val="20"/>
              </w:rPr>
              <w:t>Agreement</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Re-use NR TN TS 38.101-1 nominal MOP and +2/-3 tolerance can be considered as starting point for PC2/1.5/1 for NTN HPUE including NR-NTN and IoT-NTN.</w:t>
            </w:r>
          </w:p>
          <w:p w:rsidR="008D473E" w:rsidRPr="008D473E" w:rsidRDefault="008D473E" w:rsidP="008D473E">
            <w:pPr>
              <w:rPr>
                <w:rFonts w:eastAsiaTheme="minorEastAsia"/>
                <w:b/>
                <w:lang w:eastAsia="zh-CN"/>
              </w:rPr>
            </w:pPr>
          </w:p>
          <w:p w:rsidR="008D473E" w:rsidRPr="008D473E" w:rsidRDefault="008D473E" w:rsidP="008D473E">
            <w:pPr>
              <w:rPr>
                <w:b/>
                <w:u w:val="single"/>
                <w:lang w:eastAsia="ko-KR"/>
              </w:rPr>
            </w:pPr>
            <w:r w:rsidRPr="008D473E">
              <w:rPr>
                <w:b/>
                <w:u w:val="single"/>
                <w:lang w:eastAsia="ko-KR"/>
              </w:rPr>
              <w:t xml:space="preserve">Issue 3-3-2: </w:t>
            </w:r>
            <w:r w:rsidRPr="008D473E">
              <w:rPr>
                <w:b/>
                <w:u w:val="single"/>
                <w:lang w:eastAsia="zh-CN"/>
              </w:rPr>
              <w:t>MPR</w:t>
            </w:r>
          </w:p>
          <w:p w:rsidR="008D473E" w:rsidRPr="008D473E" w:rsidRDefault="008D473E" w:rsidP="008D473E">
            <w:pPr>
              <w:pStyle w:val="afc"/>
              <w:numPr>
                <w:ilvl w:val="0"/>
                <w:numId w:val="11"/>
              </w:numPr>
              <w:spacing w:after="120"/>
              <w:ind w:left="720" w:firstLineChars="0"/>
              <w:rPr>
                <w:rFonts w:ascii="Times New Roman" w:hAnsi="Times New Roman" w:cs="Times New Roman"/>
                <w:b/>
                <w:sz w:val="20"/>
                <w:szCs w:val="20"/>
              </w:rPr>
            </w:pPr>
            <w:r w:rsidRPr="008D473E">
              <w:rPr>
                <w:rFonts w:ascii="Times New Roman" w:hAnsi="Times New Roman" w:cs="Times New Roman"/>
                <w:b/>
                <w:sz w:val="20"/>
                <w:szCs w:val="20"/>
              </w:rPr>
              <w:t>Agreement:</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FFS the MPR requirements. Following potential factors to be further discussed:</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ACLR from co-existence study</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Current TN MPR requirements</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 xml:space="preserve">MPR simulation assumptions </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Other factors not precluded if identified.</w:t>
            </w:r>
          </w:p>
          <w:p w:rsidR="008D473E" w:rsidRPr="008D473E" w:rsidRDefault="008D473E" w:rsidP="008D473E">
            <w:pPr>
              <w:rPr>
                <w:rFonts w:eastAsiaTheme="minorEastAsia"/>
                <w:b/>
                <w:lang w:eastAsia="zh-CN"/>
              </w:rPr>
            </w:pPr>
          </w:p>
          <w:p w:rsidR="008D473E" w:rsidRPr="008D473E" w:rsidRDefault="008D473E" w:rsidP="008D473E">
            <w:pPr>
              <w:rPr>
                <w:b/>
                <w:u w:val="single"/>
                <w:lang w:eastAsia="ko-KR"/>
              </w:rPr>
            </w:pPr>
            <w:r w:rsidRPr="008D473E">
              <w:rPr>
                <w:b/>
                <w:u w:val="single"/>
                <w:lang w:eastAsia="ko-KR"/>
              </w:rPr>
              <w:t xml:space="preserve">Issue 3-3-3: </w:t>
            </w:r>
            <w:r w:rsidRPr="008D473E">
              <w:rPr>
                <w:b/>
                <w:u w:val="single"/>
                <w:lang w:eastAsia="zh-CN"/>
              </w:rPr>
              <w:t>A-MPR</w:t>
            </w:r>
          </w:p>
          <w:p w:rsidR="008D473E" w:rsidRPr="008D473E" w:rsidRDefault="008D473E" w:rsidP="008D473E">
            <w:pPr>
              <w:pStyle w:val="afc"/>
              <w:numPr>
                <w:ilvl w:val="0"/>
                <w:numId w:val="11"/>
              </w:numPr>
              <w:spacing w:after="120"/>
              <w:ind w:left="720" w:firstLineChars="0"/>
              <w:rPr>
                <w:rFonts w:ascii="Times New Roman" w:hAnsi="Times New Roman" w:cs="Times New Roman"/>
                <w:b/>
                <w:sz w:val="20"/>
                <w:szCs w:val="20"/>
              </w:rPr>
            </w:pPr>
            <w:r w:rsidRPr="008D473E">
              <w:rPr>
                <w:rFonts w:ascii="Times New Roman" w:hAnsi="Times New Roman" w:cs="Times New Roman"/>
                <w:b/>
                <w:sz w:val="20"/>
                <w:szCs w:val="20"/>
              </w:rPr>
              <w:t>Agreement</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FFS A-MPR requirements. Following potential factors to be further discussed:</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Simulation reduction by not considering large RB allocations, CP-OFDM, higher-order modulations</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A-MPR simulation assumption including ACLR from co-existence study</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Applicable bands</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Regional requirements for A-MPR</w:t>
            </w:r>
          </w:p>
          <w:p w:rsidR="008D473E" w:rsidRPr="008D473E" w:rsidRDefault="008D473E" w:rsidP="008D473E">
            <w:pPr>
              <w:pStyle w:val="afc"/>
              <w:numPr>
                <w:ilvl w:val="2"/>
                <w:numId w:val="11"/>
              </w:numPr>
              <w:spacing w:after="120"/>
              <w:ind w:firstLineChars="0"/>
              <w:rPr>
                <w:rFonts w:ascii="Times New Roman" w:hAnsi="Times New Roman" w:cs="Times New Roman"/>
                <w:sz w:val="20"/>
                <w:szCs w:val="20"/>
              </w:rPr>
            </w:pPr>
            <w:r w:rsidRPr="008D473E">
              <w:rPr>
                <w:rFonts w:ascii="Times New Roman" w:hAnsi="Times New Roman" w:cs="Times New Roman"/>
                <w:sz w:val="20"/>
                <w:szCs w:val="20"/>
              </w:rPr>
              <w:t>Other factors</w:t>
            </w:r>
          </w:p>
          <w:p w:rsidR="008D473E" w:rsidRPr="008D473E" w:rsidRDefault="008D473E" w:rsidP="008D473E">
            <w:pPr>
              <w:rPr>
                <w:rFonts w:eastAsiaTheme="minorEastAsia"/>
                <w:b/>
                <w:lang w:eastAsia="zh-CN"/>
              </w:rPr>
            </w:pPr>
          </w:p>
          <w:p w:rsidR="008D473E" w:rsidRPr="008D473E" w:rsidRDefault="008D473E" w:rsidP="008D473E">
            <w:pPr>
              <w:rPr>
                <w:b/>
                <w:u w:val="single"/>
              </w:rPr>
            </w:pPr>
            <w:r w:rsidRPr="008D473E">
              <w:rPr>
                <w:b/>
                <w:u w:val="single"/>
              </w:rPr>
              <w:t>Issue 3-3-4: SAR for handheld</w:t>
            </w:r>
          </w:p>
          <w:p w:rsidR="008D473E" w:rsidRPr="008D473E" w:rsidRDefault="008D473E" w:rsidP="008D473E">
            <w:pPr>
              <w:rPr>
                <w:b/>
                <w:bCs/>
                <w:iCs/>
                <w:lang w:eastAsia="zh-CN"/>
              </w:rPr>
            </w:pPr>
            <w:r w:rsidRPr="008D473E">
              <w:rPr>
                <w:b/>
                <w:bCs/>
                <w:iCs/>
                <w:lang w:eastAsia="zh-CN"/>
              </w:rPr>
              <w:t xml:space="preserve">Agreement: </w:t>
            </w:r>
          </w:p>
          <w:p w:rsidR="008D473E" w:rsidRPr="008D473E" w:rsidRDefault="008D473E" w:rsidP="008D473E">
            <w:pPr>
              <w:pStyle w:val="afc"/>
              <w:numPr>
                <w:ilvl w:val="0"/>
                <w:numId w:val="40"/>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D473E">
              <w:rPr>
                <w:rFonts w:ascii="Times New Roman" w:hAnsi="Times New Roman" w:cs="Times New Roman"/>
                <w:sz w:val="20"/>
                <w:szCs w:val="20"/>
              </w:rPr>
              <w:t xml:space="preserve">Using P-MPR as the starting point </w:t>
            </w:r>
          </w:p>
          <w:p w:rsidR="008D473E" w:rsidRPr="008D473E" w:rsidRDefault="008D473E" w:rsidP="008D473E">
            <w:pPr>
              <w:pStyle w:val="afc"/>
              <w:numPr>
                <w:ilvl w:val="0"/>
                <w:numId w:val="40"/>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D473E">
              <w:rPr>
                <w:rFonts w:ascii="Times New Roman" w:hAnsi="Times New Roman" w:cs="Times New Roman"/>
                <w:sz w:val="20"/>
                <w:szCs w:val="20"/>
              </w:rPr>
              <w:t>The other solutions are not precluded</w:t>
            </w:r>
          </w:p>
          <w:p w:rsidR="008D473E" w:rsidRPr="008D473E" w:rsidRDefault="008D473E" w:rsidP="008D473E">
            <w:pPr>
              <w:pStyle w:val="afc"/>
              <w:numPr>
                <w:ilvl w:val="1"/>
                <w:numId w:val="40"/>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D473E">
              <w:rPr>
                <w:rFonts w:ascii="Times New Roman" w:hAnsi="Times New Roman" w:cs="Times New Roman"/>
                <w:sz w:val="20"/>
                <w:szCs w:val="20"/>
              </w:rPr>
              <w:t>E.g., the solution similar to TN duty cycle based on UE capability and network scheduling</w:t>
            </w:r>
          </w:p>
          <w:p w:rsidR="008D473E" w:rsidRPr="008D473E" w:rsidRDefault="008D473E" w:rsidP="008D473E">
            <w:pPr>
              <w:rPr>
                <w:rFonts w:eastAsiaTheme="minorEastAsia"/>
                <w:b/>
                <w:lang w:eastAsia="zh-CN"/>
              </w:rPr>
            </w:pPr>
          </w:p>
          <w:p w:rsidR="008D473E" w:rsidRPr="008D473E" w:rsidRDefault="008D473E" w:rsidP="008D473E">
            <w:pPr>
              <w:rPr>
                <w:b/>
                <w:u w:val="single"/>
                <w:lang w:eastAsia="ko-KR"/>
              </w:rPr>
            </w:pPr>
            <w:r w:rsidRPr="008D473E">
              <w:rPr>
                <w:b/>
                <w:u w:val="single"/>
                <w:lang w:eastAsia="ko-KR"/>
              </w:rPr>
              <w:t xml:space="preserve">Issue 3-3-5: </w:t>
            </w:r>
            <w:r w:rsidRPr="008D473E">
              <w:rPr>
                <w:b/>
                <w:u w:val="single"/>
                <w:lang w:eastAsia="zh-CN"/>
              </w:rPr>
              <w:t>SEM</w:t>
            </w:r>
          </w:p>
          <w:p w:rsidR="008D473E" w:rsidRPr="008D473E" w:rsidRDefault="008D473E" w:rsidP="008D473E">
            <w:pPr>
              <w:pStyle w:val="afc"/>
              <w:numPr>
                <w:ilvl w:val="0"/>
                <w:numId w:val="11"/>
              </w:numPr>
              <w:spacing w:after="120"/>
              <w:ind w:left="720" w:firstLineChars="0"/>
              <w:rPr>
                <w:rFonts w:ascii="Times New Roman" w:hAnsi="Times New Roman" w:cs="Times New Roman"/>
                <w:b/>
                <w:sz w:val="20"/>
                <w:szCs w:val="20"/>
              </w:rPr>
            </w:pPr>
            <w:r w:rsidRPr="008D473E">
              <w:rPr>
                <w:rFonts w:ascii="Times New Roman" w:hAnsi="Times New Roman" w:cs="Times New Roman"/>
                <w:b/>
                <w:sz w:val="20"/>
                <w:szCs w:val="20"/>
              </w:rPr>
              <w:t>Agreement:</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lastRenderedPageBreak/>
              <w:t>For NR-NTN: further discuss whether to reuse existing SEM requirements from PC3 to other PCs</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For IoT-NTN: further discuss whether to reuse existing SEM requirements from PC3 to other PCs</w:t>
            </w:r>
          </w:p>
          <w:p w:rsidR="008D473E" w:rsidRPr="008D473E" w:rsidRDefault="008D473E" w:rsidP="008D473E">
            <w:pPr>
              <w:rPr>
                <w:rFonts w:eastAsiaTheme="minorEastAsia"/>
                <w:b/>
                <w:lang w:eastAsia="zh-CN"/>
              </w:rPr>
            </w:pPr>
          </w:p>
          <w:p w:rsidR="008D473E" w:rsidRPr="008D473E" w:rsidRDefault="008D473E" w:rsidP="008D473E">
            <w:pPr>
              <w:rPr>
                <w:b/>
                <w:u w:val="single"/>
                <w:lang w:eastAsia="ko-KR"/>
              </w:rPr>
            </w:pPr>
            <w:r w:rsidRPr="008D473E">
              <w:rPr>
                <w:b/>
                <w:u w:val="single"/>
                <w:lang w:eastAsia="ko-KR"/>
              </w:rPr>
              <w:t xml:space="preserve">Issue 3-3-6: </w:t>
            </w:r>
            <w:r w:rsidRPr="008D473E">
              <w:rPr>
                <w:b/>
                <w:u w:val="single"/>
                <w:lang w:eastAsia="zh-CN"/>
              </w:rPr>
              <w:t>ACLR</w:t>
            </w:r>
          </w:p>
          <w:p w:rsidR="008D473E" w:rsidRPr="008D473E" w:rsidRDefault="008D473E" w:rsidP="008D473E">
            <w:pPr>
              <w:pStyle w:val="afc"/>
              <w:numPr>
                <w:ilvl w:val="0"/>
                <w:numId w:val="11"/>
              </w:numPr>
              <w:spacing w:after="120"/>
              <w:ind w:left="720" w:firstLineChars="0"/>
              <w:rPr>
                <w:rFonts w:ascii="Times New Roman" w:hAnsi="Times New Roman" w:cs="Times New Roman"/>
                <w:b/>
                <w:sz w:val="20"/>
                <w:szCs w:val="20"/>
              </w:rPr>
            </w:pPr>
            <w:r w:rsidRPr="008D473E">
              <w:rPr>
                <w:rFonts w:ascii="Times New Roman" w:hAnsi="Times New Roman" w:cs="Times New Roman"/>
                <w:b/>
                <w:sz w:val="20"/>
                <w:szCs w:val="20"/>
              </w:rPr>
              <w:t>Agreement:</w:t>
            </w:r>
          </w:p>
          <w:p w:rsidR="008D473E" w:rsidRPr="008D473E" w:rsidRDefault="008D473E" w:rsidP="008D473E">
            <w:pPr>
              <w:pStyle w:val="afc"/>
              <w:numPr>
                <w:ilvl w:val="1"/>
                <w:numId w:val="11"/>
              </w:numPr>
              <w:spacing w:after="120"/>
              <w:ind w:left="1440" w:firstLineChars="0"/>
              <w:rPr>
                <w:rFonts w:ascii="Times New Roman" w:hAnsi="Times New Roman" w:cs="Times New Roman"/>
                <w:sz w:val="20"/>
                <w:szCs w:val="20"/>
              </w:rPr>
            </w:pPr>
            <w:r w:rsidRPr="008D473E">
              <w:rPr>
                <w:rFonts w:ascii="Times New Roman" w:hAnsi="Times New Roman" w:cs="Times New Roman"/>
                <w:sz w:val="20"/>
                <w:szCs w:val="20"/>
              </w:rPr>
              <w:t>The ACLR requirements will depend on co-existence study outcomes.</w:t>
            </w:r>
          </w:p>
          <w:p w:rsidR="008D473E" w:rsidRPr="008D473E" w:rsidRDefault="008D473E" w:rsidP="008D473E">
            <w:pPr>
              <w:widowControl w:val="0"/>
              <w:overflowPunct/>
              <w:autoSpaceDE/>
              <w:autoSpaceDN/>
              <w:adjustRightInd/>
              <w:spacing w:after="0"/>
              <w:textAlignment w:val="auto"/>
              <w:rPr>
                <w:rFonts w:eastAsia="宋体"/>
                <w:lang w:val="en-US" w:eastAsia="zh-CN"/>
              </w:rPr>
            </w:pPr>
          </w:p>
        </w:tc>
      </w:tr>
    </w:tbl>
    <w:p w:rsidR="008D473E" w:rsidRDefault="008D473E" w:rsidP="00A779C9">
      <w:pPr>
        <w:widowControl w:val="0"/>
        <w:overflowPunct/>
        <w:autoSpaceDE/>
        <w:autoSpaceDN/>
        <w:adjustRightInd/>
        <w:spacing w:after="0"/>
        <w:textAlignment w:val="auto"/>
        <w:rPr>
          <w:rFonts w:eastAsia="宋体"/>
          <w:lang w:val="en-US" w:eastAsia="zh-CN"/>
        </w:rPr>
      </w:pPr>
    </w:p>
    <w:p w:rsidR="00782E66" w:rsidRDefault="00782E66" w:rsidP="00A779C9">
      <w:pPr>
        <w:widowControl w:val="0"/>
        <w:overflowPunct/>
        <w:autoSpaceDE/>
        <w:autoSpaceDN/>
        <w:adjustRightInd/>
        <w:spacing w:after="0"/>
        <w:textAlignment w:val="auto"/>
        <w:rPr>
          <w:rFonts w:eastAsia="宋体"/>
          <w:lang w:val="en-US" w:eastAsia="zh-CN"/>
        </w:rPr>
      </w:pPr>
    </w:p>
    <w:p w:rsidR="00782E66"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 xml:space="preserve">share our views </w:t>
      </w:r>
      <w:r w:rsidR="00A8100D">
        <w:rPr>
          <w:rFonts w:eastAsia="宋体"/>
          <w:lang w:val="en-US" w:eastAsia="zh-CN"/>
        </w:rPr>
        <w:t xml:space="preserve">on </w:t>
      </w:r>
      <w:r w:rsidR="00F92136">
        <w:rPr>
          <w:rFonts w:eastAsia="宋体"/>
          <w:lang w:val="en-US" w:eastAsia="zh-CN"/>
        </w:rPr>
        <w:t>parts of Tx RF requirements, feasibility and RF architecture</w:t>
      </w:r>
      <w:r w:rsidR="00BA4651">
        <w:rPr>
          <w:rFonts w:eastAsia="宋体"/>
          <w:lang w:val="en-US" w:eastAsia="zh-CN"/>
        </w:rPr>
        <w:t>.</w:t>
      </w:r>
    </w:p>
    <w:p w:rsidR="00883878" w:rsidRPr="00317DFA" w:rsidRDefault="00883878" w:rsidP="00A779C9">
      <w:pPr>
        <w:widowControl w:val="0"/>
        <w:overflowPunct/>
        <w:autoSpaceDE/>
        <w:autoSpaceDN/>
        <w:adjustRightInd/>
        <w:spacing w:after="0"/>
        <w:textAlignment w:val="auto"/>
        <w:rPr>
          <w:rFonts w:eastAsia="宋体"/>
          <w:lang w:val="en-US" w:eastAsia="zh-CN"/>
        </w:rPr>
      </w:pPr>
    </w:p>
    <w:p w:rsidR="00117499" w:rsidRDefault="00121D94" w:rsidP="00DE5740">
      <w:pPr>
        <w:pStyle w:val="1"/>
        <w:rPr>
          <w:lang w:eastAsia="zh-CN"/>
        </w:rPr>
      </w:pPr>
      <w:r>
        <w:rPr>
          <w:lang w:eastAsia="zh-CN"/>
        </w:rPr>
        <w:t>Feasibility and RF architecture</w:t>
      </w:r>
      <w:r w:rsidR="00CE0F45">
        <w:rPr>
          <w:lang w:eastAsia="zh-CN"/>
        </w:rPr>
        <w:t xml:space="preserve"> for different power classes</w:t>
      </w:r>
    </w:p>
    <w:p w:rsidR="00CE71DC" w:rsidRDefault="00CB67C8"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last meeting, RAN4 reached the consensus that both </w:t>
      </w:r>
      <w:r w:rsidRPr="00CB67C8">
        <w:rPr>
          <w:rFonts w:eastAsia="宋体"/>
          <w:lang w:val="en-US" w:eastAsia="zh-CN"/>
        </w:rPr>
        <w:t>handheld and non-handheld devices</w:t>
      </w:r>
      <w:r>
        <w:rPr>
          <w:rFonts w:eastAsia="宋体"/>
          <w:lang w:val="en-US" w:eastAsia="zh-CN"/>
        </w:rPr>
        <w:t xml:space="preserve"> can support PC2. However, there is no consensus on whether the other power classes can be applicable for handheld device.</w:t>
      </w:r>
      <w:r w:rsidR="00330851">
        <w:rPr>
          <w:rFonts w:eastAsia="宋体"/>
          <w:lang w:val="en-US" w:eastAsia="zh-CN"/>
        </w:rPr>
        <w:t xml:space="preserve"> </w:t>
      </w:r>
      <w:r w:rsidR="00A03087">
        <w:rPr>
          <w:rFonts w:eastAsia="宋体"/>
          <w:lang w:val="en-US" w:eastAsia="zh-CN"/>
        </w:rPr>
        <w:t>We’d like to share the following aspects to discuss the feasibility for different UE power classes.</w:t>
      </w:r>
    </w:p>
    <w:p w:rsidR="00CB67C8" w:rsidRDefault="00CB67C8" w:rsidP="00F00487">
      <w:pPr>
        <w:widowControl w:val="0"/>
        <w:overflowPunct/>
        <w:autoSpaceDE/>
        <w:autoSpaceDN/>
        <w:adjustRightInd/>
        <w:spacing w:after="0"/>
        <w:textAlignment w:val="auto"/>
        <w:rPr>
          <w:rFonts w:eastAsia="宋体"/>
          <w:lang w:val="en-US" w:eastAsia="zh-CN"/>
        </w:rPr>
      </w:pPr>
    </w:p>
    <w:p w:rsidR="00CB67C8" w:rsidRDefault="00530312" w:rsidP="00F00487">
      <w:pPr>
        <w:widowControl w:val="0"/>
        <w:overflowPunct/>
        <w:autoSpaceDE/>
        <w:autoSpaceDN/>
        <w:adjustRightInd/>
        <w:spacing w:after="0"/>
        <w:textAlignment w:val="auto"/>
        <w:rPr>
          <w:rFonts w:eastAsia="宋体"/>
          <w:lang w:val="en-US" w:eastAsia="zh-CN"/>
        </w:rPr>
      </w:pPr>
      <w:r w:rsidRPr="00B619D0">
        <w:rPr>
          <w:rFonts w:eastAsia="宋体" w:hint="eastAsia"/>
          <w:b/>
          <w:lang w:val="en-US" w:eastAsia="zh-CN"/>
        </w:rPr>
        <w:t>D</w:t>
      </w:r>
      <w:r w:rsidRPr="00B619D0">
        <w:rPr>
          <w:rFonts w:eastAsia="宋体"/>
          <w:b/>
          <w:lang w:val="en-US" w:eastAsia="zh-CN"/>
        </w:rPr>
        <w:t>emands</w:t>
      </w:r>
      <w:r>
        <w:rPr>
          <w:rFonts w:eastAsia="宋体"/>
          <w:lang w:val="en-US" w:eastAsia="zh-CN"/>
        </w:rPr>
        <w:t>:</w:t>
      </w:r>
      <w:r w:rsidR="00B619D0">
        <w:rPr>
          <w:rFonts w:eastAsia="宋体"/>
          <w:lang w:val="en-US" w:eastAsia="zh-CN"/>
        </w:rPr>
        <w:t xml:space="preserve"> </w:t>
      </w:r>
      <w:r w:rsidR="00860929">
        <w:rPr>
          <w:rFonts w:eastAsia="宋体"/>
          <w:lang w:val="en-US" w:eastAsia="zh-CN"/>
        </w:rPr>
        <w:t xml:space="preserve">Based on the rough evaluation, there are </w:t>
      </w:r>
      <w:r w:rsidR="005951CA">
        <w:rPr>
          <w:rFonts w:eastAsia="宋体"/>
          <w:lang w:val="en-US" w:eastAsia="zh-CN"/>
        </w:rPr>
        <w:t>around</w:t>
      </w:r>
      <w:r w:rsidR="00860929">
        <w:rPr>
          <w:rFonts w:eastAsia="宋体"/>
          <w:lang w:val="en-US" w:eastAsia="zh-CN"/>
        </w:rPr>
        <w:t xml:space="preserve"> 10~15dB gaps for handheld UE coupling loss between LEO scenario and GEO scenario. Due to large pathloss, it’s very hard to apply wideband communication technology for GEO scenario. Thus, </w:t>
      </w:r>
      <w:r w:rsidR="005951CA">
        <w:rPr>
          <w:rFonts w:eastAsia="宋体"/>
          <w:lang w:val="en-US" w:eastAsia="zh-CN"/>
        </w:rPr>
        <w:t>GEO scenario</w:t>
      </w:r>
      <w:r w:rsidR="00860929">
        <w:rPr>
          <w:rFonts w:eastAsia="宋体"/>
          <w:lang w:val="en-US" w:eastAsia="zh-CN"/>
        </w:rPr>
        <w:t>, is not friendly to</w:t>
      </w:r>
      <w:r w:rsidR="005951CA" w:rsidRPr="005951CA">
        <w:rPr>
          <w:rFonts w:eastAsia="宋体"/>
          <w:lang w:val="en-US" w:eastAsia="zh-CN"/>
        </w:rPr>
        <w:t xml:space="preserve"> </w:t>
      </w:r>
      <w:r w:rsidR="005951CA">
        <w:rPr>
          <w:rFonts w:eastAsia="宋体"/>
          <w:lang w:val="en-US" w:eastAsia="zh-CN"/>
        </w:rPr>
        <w:t>wideband communication technology, i.e. NR NTN</w:t>
      </w:r>
      <w:r w:rsidR="00860929">
        <w:rPr>
          <w:rFonts w:eastAsia="宋体"/>
          <w:lang w:val="en-US" w:eastAsia="zh-CN"/>
        </w:rPr>
        <w:t>.</w:t>
      </w:r>
      <w:r w:rsidR="00AE30E3">
        <w:rPr>
          <w:rFonts w:eastAsia="宋体"/>
          <w:lang w:val="en-US" w:eastAsia="zh-CN"/>
        </w:rPr>
        <w:t xml:space="preserve"> It’s not </w:t>
      </w:r>
      <w:r w:rsidR="005951CA">
        <w:rPr>
          <w:rFonts w:eastAsia="宋体"/>
          <w:lang w:val="en-US" w:eastAsia="zh-CN"/>
        </w:rPr>
        <w:t xml:space="preserve">technically </w:t>
      </w:r>
      <w:r w:rsidR="00AE30E3">
        <w:rPr>
          <w:rFonts w:eastAsia="宋体"/>
          <w:lang w:val="en-US" w:eastAsia="zh-CN"/>
        </w:rPr>
        <w:t xml:space="preserve">reasonable to </w:t>
      </w:r>
      <w:r w:rsidR="005951CA">
        <w:rPr>
          <w:rFonts w:eastAsia="宋体"/>
          <w:lang w:val="en-US" w:eastAsia="zh-CN"/>
        </w:rPr>
        <w:t>force handheld UE to support other higher power classes for NR NTN</w:t>
      </w:r>
      <w:r w:rsidR="00951560">
        <w:rPr>
          <w:rFonts w:eastAsia="宋体"/>
          <w:lang w:val="en-US" w:eastAsia="zh-CN"/>
        </w:rPr>
        <w:t xml:space="preserve"> as PC2 can meet the demands of LEO scenario</w:t>
      </w:r>
      <w:r w:rsidR="005951CA">
        <w:rPr>
          <w:rFonts w:eastAsia="宋体"/>
          <w:lang w:val="en-US" w:eastAsia="zh-CN"/>
        </w:rPr>
        <w:t>.</w:t>
      </w:r>
    </w:p>
    <w:p w:rsidR="00530312" w:rsidRDefault="00530312" w:rsidP="00F00487">
      <w:pPr>
        <w:widowControl w:val="0"/>
        <w:overflowPunct/>
        <w:autoSpaceDE/>
        <w:autoSpaceDN/>
        <w:adjustRightInd/>
        <w:spacing w:after="0"/>
        <w:textAlignment w:val="auto"/>
        <w:rPr>
          <w:rFonts w:eastAsia="宋体"/>
          <w:lang w:val="en-US" w:eastAsia="zh-CN"/>
        </w:rPr>
      </w:pPr>
    </w:p>
    <w:p w:rsidR="00530312" w:rsidRDefault="00530312" w:rsidP="00F00487">
      <w:pPr>
        <w:widowControl w:val="0"/>
        <w:overflowPunct/>
        <w:autoSpaceDE/>
        <w:autoSpaceDN/>
        <w:adjustRightInd/>
        <w:spacing w:after="0"/>
        <w:textAlignment w:val="auto"/>
        <w:rPr>
          <w:rFonts w:eastAsia="宋体"/>
          <w:lang w:val="en-US" w:eastAsia="zh-CN"/>
        </w:rPr>
      </w:pPr>
      <w:r w:rsidRPr="005951CA">
        <w:rPr>
          <w:rFonts w:eastAsia="宋体" w:hint="eastAsia"/>
          <w:b/>
          <w:lang w:val="en-US" w:eastAsia="zh-CN"/>
        </w:rPr>
        <w:t>U</w:t>
      </w:r>
      <w:r w:rsidRPr="005951CA">
        <w:rPr>
          <w:rFonts w:eastAsia="宋体"/>
          <w:b/>
          <w:lang w:val="en-US" w:eastAsia="zh-CN"/>
        </w:rPr>
        <w:t>E implementation/cost</w:t>
      </w:r>
      <w:r w:rsidR="005951CA">
        <w:rPr>
          <w:rFonts w:eastAsia="宋体"/>
          <w:lang w:val="en-US" w:eastAsia="zh-CN"/>
        </w:rPr>
        <w:t xml:space="preserve">: currently, PC3 is widely supported for handheld UE in </w:t>
      </w:r>
      <w:r w:rsidR="00871AD7">
        <w:rPr>
          <w:rFonts w:eastAsia="宋体"/>
          <w:lang w:val="en-US" w:eastAsia="zh-CN"/>
        </w:rPr>
        <w:t xml:space="preserve">TN </w:t>
      </w:r>
      <w:r w:rsidR="005951CA">
        <w:rPr>
          <w:rFonts w:eastAsia="宋体"/>
          <w:lang w:val="en-US" w:eastAsia="zh-CN"/>
        </w:rPr>
        <w:t>FDD bands</w:t>
      </w:r>
      <w:r>
        <w:rPr>
          <w:rFonts w:eastAsia="宋体"/>
          <w:lang w:val="en-US" w:eastAsia="zh-CN"/>
        </w:rPr>
        <w:t>.</w:t>
      </w:r>
      <w:r w:rsidR="005951CA">
        <w:rPr>
          <w:rFonts w:eastAsia="宋体"/>
          <w:lang w:val="en-US" w:eastAsia="zh-CN"/>
        </w:rPr>
        <w:t xml:space="preserve"> Although </w:t>
      </w:r>
      <w:r w:rsidR="00951560">
        <w:rPr>
          <w:rFonts w:eastAsia="宋体"/>
          <w:lang w:val="en-US" w:eastAsia="zh-CN"/>
        </w:rPr>
        <w:t xml:space="preserve">PC2 for TN FDD bands was introduced in Rel-17 with both 1Tx and 2Tx RF architecture, this PC2 feature in FDD bands is not widely supported or implemented in handheld UE due to the difficulties of some RF components, e.g. FDD band duplexer and so on. </w:t>
      </w:r>
      <w:r w:rsidR="00CA4CBC">
        <w:rPr>
          <w:rFonts w:eastAsia="宋体"/>
          <w:lang w:val="en-US" w:eastAsia="zh-CN"/>
        </w:rPr>
        <w:t>If we assume handheld UE to support PC1.5/PC1 by using 1 Tx chain, all of RF components have to be redesign in order to tolerate the higher output power, which are not realistic. And this RF architecture is not assumed for TN PC1.5 TDD bands. If we want to reuse the current industry ecosystem as much as possible, the only way to implement PC1.5</w:t>
      </w:r>
      <w:r w:rsidR="00E838AD">
        <w:rPr>
          <w:rFonts w:eastAsia="宋体"/>
          <w:lang w:val="en-US" w:eastAsia="zh-CN"/>
        </w:rPr>
        <w:t xml:space="preserve"> is to use 2Tx architecture with two PC2 PAs or 4Tx architecture with four PC3 PAs.</w:t>
      </w:r>
      <w:r w:rsidR="00CB5CD5">
        <w:rPr>
          <w:rFonts w:eastAsia="宋体"/>
          <w:lang w:val="en-US" w:eastAsia="zh-CN"/>
        </w:rPr>
        <w:t xml:space="preserve"> However, since the </w:t>
      </w:r>
      <w:r w:rsidR="00494E24">
        <w:rPr>
          <w:rFonts w:eastAsia="宋体"/>
          <w:lang w:val="en-US" w:eastAsia="zh-CN"/>
        </w:rPr>
        <w:t xml:space="preserve">handheld UE has the limited form factor and can’t tolerate the large power consumption, currently it’s infeasible to implement PC1.5/PC1 </w:t>
      </w:r>
      <w:r w:rsidR="00165FAF">
        <w:rPr>
          <w:rFonts w:eastAsia="宋体"/>
          <w:lang w:val="en-US" w:eastAsia="zh-CN"/>
        </w:rPr>
        <w:t xml:space="preserve">for FDD bands </w:t>
      </w:r>
      <w:r w:rsidR="00494E24">
        <w:rPr>
          <w:rFonts w:eastAsia="宋体"/>
          <w:lang w:val="en-US" w:eastAsia="zh-CN"/>
        </w:rPr>
        <w:t>in handheld UE.</w:t>
      </w:r>
    </w:p>
    <w:p w:rsidR="00530312" w:rsidRDefault="00530312" w:rsidP="00F00487">
      <w:pPr>
        <w:widowControl w:val="0"/>
        <w:overflowPunct/>
        <w:autoSpaceDE/>
        <w:autoSpaceDN/>
        <w:adjustRightInd/>
        <w:spacing w:after="0"/>
        <w:textAlignment w:val="auto"/>
        <w:rPr>
          <w:rFonts w:eastAsia="宋体"/>
          <w:lang w:val="en-US" w:eastAsia="zh-CN"/>
        </w:rPr>
      </w:pPr>
    </w:p>
    <w:p w:rsidR="00530312" w:rsidRDefault="00951560" w:rsidP="00F00487">
      <w:pPr>
        <w:widowControl w:val="0"/>
        <w:overflowPunct/>
        <w:autoSpaceDE/>
        <w:autoSpaceDN/>
        <w:adjustRightInd/>
        <w:spacing w:after="0"/>
        <w:textAlignment w:val="auto"/>
        <w:rPr>
          <w:rFonts w:eastAsia="宋体"/>
          <w:lang w:val="en-US" w:eastAsia="zh-CN"/>
        </w:rPr>
      </w:pPr>
      <w:r>
        <w:rPr>
          <w:rFonts w:eastAsia="宋体"/>
          <w:b/>
          <w:lang w:val="en-US" w:eastAsia="zh-CN"/>
        </w:rPr>
        <w:t>Standard perspective</w:t>
      </w:r>
      <w:r>
        <w:rPr>
          <w:rFonts w:eastAsia="宋体"/>
          <w:lang w:val="en-US" w:eastAsia="zh-CN"/>
        </w:rPr>
        <w:t xml:space="preserve">: </w:t>
      </w:r>
      <w:r w:rsidR="00494E24">
        <w:rPr>
          <w:rFonts w:eastAsia="宋体"/>
          <w:lang w:val="en-US" w:eastAsia="zh-CN"/>
        </w:rPr>
        <w:t xml:space="preserve">In TN UE specification, only TDD bands can support PC1.5 with two Tx RF architecture assumption as it is very mature that current industry can support </w:t>
      </w:r>
      <w:r w:rsidR="004714A6">
        <w:rPr>
          <w:rFonts w:eastAsia="宋体"/>
          <w:lang w:val="en-US" w:eastAsia="zh-CN"/>
        </w:rPr>
        <w:t xml:space="preserve">26dBm with one Tx chain in TDD bands. However, in FDD bands, the situation seems different that current industry can’t </w:t>
      </w:r>
      <w:r w:rsidR="008A40E8">
        <w:rPr>
          <w:rFonts w:eastAsia="宋体"/>
          <w:lang w:val="en-US" w:eastAsia="zh-CN"/>
        </w:rPr>
        <w:t xml:space="preserve">widely </w:t>
      </w:r>
      <w:r w:rsidR="004714A6">
        <w:rPr>
          <w:rFonts w:eastAsia="宋体"/>
          <w:lang w:val="en-US" w:eastAsia="zh-CN"/>
        </w:rPr>
        <w:t>support 26dBm with one Tx chain in FDD bands.</w:t>
      </w:r>
      <w:r w:rsidR="008760B6">
        <w:rPr>
          <w:rFonts w:eastAsia="宋体"/>
          <w:lang w:val="en-US" w:eastAsia="zh-CN"/>
        </w:rPr>
        <w:t xml:space="preserve"> Thus, current TN UE specification doesn’t support </w:t>
      </w:r>
      <w:r w:rsidR="00165FAF">
        <w:rPr>
          <w:rFonts w:eastAsia="宋体"/>
          <w:lang w:val="en-US" w:eastAsia="zh-CN"/>
        </w:rPr>
        <w:t xml:space="preserve">PC1.5 in FDD bands. Generally, NTN UE need to reuse the ecosystem of TN RF components. From standard perspective, it is premature to specify </w:t>
      </w:r>
      <w:r w:rsidR="00165FAF" w:rsidRPr="00165FAF">
        <w:rPr>
          <w:rFonts w:eastAsia="宋体"/>
          <w:lang w:val="en-US" w:eastAsia="zh-CN"/>
        </w:rPr>
        <w:t>PC1.5/PC1 for FDD bands in handheld UE</w:t>
      </w:r>
      <w:r w:rsidR="00165FAF">
        <w:rPr>
          <w:rFonts w:eastAsia="宋体"/>
          <w:lang w:val="en-US" w:eastAsia="zh-CN"/>
        </w:rPr>
        <w:t>.</w:t>
      </w:r>
    </w:p>
    <w:p w:rsidR="00CE71DC" w:rsidRDefault="00CE71DC" w:rsidP="00F00487">
      <w:pPr>
        <w:widowControl w:val="0"/>
        <w:overflowPunct/>
        <w:autoSpaceDE/>
        <w:autoSpaceDN/>
        <w:adjustRightInd/>
        <w:spacing w:after="0"/>
        <w:textAlignment w:val="auto"/>
        <w:rPr>
          <w:rFonts w:eastAsia="宋体"/>
          <w:lang w:val="en-US" w:eastAsia="zh-CN"/>
        </w:rPr>
      </w:pPr>
    </w:p>
    <w:p w:rsidR="00165FAF" w:rsidRDefault="00165FAF" w:rsidP="00F00487">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For NR NTN, only non-handheld UE can support PC1 in Rel-19.</w:t>
      </w:r>
    </w:p>
    <w:p w:rsidR="00165FAF" w:rsidRDefault="00165FAF" w:rsidP="00165FAF">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2</w:t>
      </w:r>
      <w:r w:rsidRPr="00A11224">
        <w:rPr>
          <w:rFonts w:eastAsia="宋体"/>
          <w:b/>
          <w:lang w:val="en-US" w:eastAsia="zh-CN"/>
        </w:rPr>
        <w:t>:</w:t>
      </w:r>
      <w:r>
        <w:rPr>
          <w:rFonts w:eastAsia="宋体"/>
          <w:b/>
          <w:lang w:val="en-US" w:eastAsia="zh-CN"/>
        </w:rPr>
        <w:t xml:space="preserve"> For NR NTN, only non-handheld UE can support PC1.5 in Rel-19.</w:t>
      </w:r>
    </w:p>
    <w:p w:rsidR="00165FAF" w:rsidRPr="00165FAF" w:rsidRDefault="00165FAF" w:rsidP="00F00487">
      <w:pPr>
        <w:widowControl w:val="0"/>
        <w:overflowPunct/>
        <w:autoSpaceDE/>
        <w:autoSpaceDN/>
        <w:adjustRightInd/>
        <w:spacing w:after="0"/>
        <w:textAlignment w:val="auto"/>
        <w:rPr>
          <w:rFonts w:eastAsia="宋体"/>
          <w:lang w:val="en-US" w:eastAsia="zh-CN"/>
        </w:rPr>
      </w:pPr>
    </w:p>
    <w:p w:rsidR="000D1B0B" w:rsidRDefault="000D1B0B" w:rsidP="00C82CC0">
      <w:pPr>
        <w:pStyle w:val="1"/>
        <w:rPr>
          <w:lang w:eastAsia="zh-CN"/>
        </w:rPr>
      </w:pPr>
      <w:r>
        <w:rPr>
          <w:rFonts w:eastAsiaTheme="minorEastAsia" w:hint="eastAsia"/>
          <w:lang w:eastAsia="zh-CN"/>
        </w:rPr>
        <w:t>T</w:t>
      </w:r>
      <w:r>
        <w:rPr>
          <w:rFonts w:eastAsiaTheme="minorEastAsia"/>
          <w:lang w:eastAsia="zh-CN"/>
        </w:rPr>
        <w:t>x requirements</w:t>
      </w:r>
    </w:p>
    <w:p w:rsidR="00C82CC0" w:rsidRPr="000D1B0B" w:rsidRDefault="000D1B0B" w:rsidP="000D1B0B">
      <w:pPr>
        <w:widowControl w:val="0"/>
        <w:rPr>
          <w:rFonts w:eastAsia="宋体"/>
          <w:b/>
        </w:rPr>
      </w:pPr>
      <w:r w:rsidRPr="000D1B0B">
        <w:rPr>
          <w:rFonts w:eastAsia="宋体"/>
          <w:b/>
          <w:lang w:val="en-US" w:eastAsia="zh-CN"/>
        </w:rPr>
        <w:t>1)</w:t>
      </w:r>
      <w:r w:rsidRPr="000D1B0B">
        <w:rPr>
          <w:rFonts w:eastAsia="宋体"/>
          <w:b/>
        </w:rPr>
        <w:t xml:space="preserve"> </w:t>
      </w:r>
      <w:r w:rsidR="00820235">
        <w:rPr>
          <w:rFonts w:eastAsia="宋体"/>
          <w:b/>
        </w:rPr>
        <w:t>SEM requirements</w:t>
      </w:r>
    </w:p>
    <w:tbl>
      <w:tblPr>
        <w:tblStyle w:val="af8"/>
        <w:tblW w:w="0" w:type="auto"/>
        <w:tblLook w:val="04A0" w:firstRow="1" w:lastRow="0" w:firstColumn="1" w:lastColumn="0" w:noHBand="0" w:noVBand="1"/>
      </w:tblPr>
      <w:tblGrid>
        <w:gridCol w:w="9631"/>
      </w:tblGrid>
      <w:tr w:rsidR="00820235" w:rsidTr="00820235">
        <w:tc>
          <w:tcPr>
            <w:tcW w:w="9631" w:type="dxa"/>
          </w:tcPr>
          <w:p w:rsidR="00820235" w:rsidRPr="00820235" w:rsidRDefault="00820235" w:rsidP="00820235">
            <w:pPr>
              <w:rPr>
                <w:rFonts w:ascii="Arial" w:eastAsiaTheme="minorEastAsia" w:hAnsi="Arial" w:cs="Arial"/>
                <w:b/>
                <w:lang w:eastAsia="zh-CN"/>
              </w:rPr>
            </w:pPr>
          </w:p>
          <w:p w:rsidR="00820235" w:rsidRPr="00820235" w:rsidRDefault="00820235" w:rsidP="00820235">
            <w:pPr>
              <w:rPr>
                <w:b/>
                <w:u w:val="single"/>
                <w:shd w:val="pct15" w:color="auto" w:fill="FFFFFF"/>
                <w:lang w:eastAsia="ko-KR"/>
              </w:rPr>
            </w:pPr>
            <w:r w:rsidRPr="00820235">
              <w:rPr>
                <w:b/>
                <w:u w:val="single"/>
                <w:shd w:val="pct15" w:color="auto" w:fill="FFFFFF"/>
                <w:lang w:eastAsia="ko-KR"/>
              </w:rPr>
              <w:t xml:space="preserve">Issue 3-3-5: </w:t>
            </w:r>
            <w:r w:rsidRPr="00820235">
              <w:rPr>
                <w:b/>
                <w:u w:val="single"/>
                <w:shd w:val="pct15" w:color="auto" w:fill="FFFFFF"/>
                <w:lang w:eastAsia="zh-CN"/>
              </w:rPr>
              <w:t>SEM</w:t>
            </w:r>
          </w:p>
          <w:p w:rsidR="00820235" w:rsidRPr="00820235" w:rsidRDefault="00820235" w:rsidP="00820235">
            <w:pPr>
              <w:pStyle w:val="afc"/>
              <w:numPr>
                <w:ilvl w:val="0"/>
                <w:numId w:val="11"/>
              </w:numPr>
              <w:spacing w:after="120"/>
              <w:ind w:left="720" w:firstLineChars="0"/>
              <w:rPr>
                <w:rFonts w:ascii="Times New Roman" w:hAnsi="Times New Roman" w:cs="Times New Roman"/>
                <w:b/>
                <w:sz w:val="20"/>
                <w:szCs w:val="20"/>
                <w:shd w:val="pct15" w:color="auto" w:fill="FFFFFF"/>
              </w:rPr>
            </w:pPr>
            <w:r w:rsidRPr="00820235">
              <w:rPr>
                <w:rFonts w:ascii="Times New Roman" w:hAnsi="Times New Roman" w:cs="Times New Roman"/>
                <w:b/>
                <w:sz w:val="20"/>
                <w:szCs w:val="20"/>
                <w:shd w:val="pct15" w:color="auto" w:fill="FFFFFF"/>
              </w:rPr>
              <w:t>Agreement:</w:t>
            </w:r>
          </w:p>
          <w:p w:rsidR="00820235" w:rsidRPr="00820235" w:rsidRDefault="00820235" w:rsidP="00820235">
            <w:pPr>
              <w:pStyle w:val="afc"/>
              <w:numPr>
                <w:ilvl w:val="1"/>
                <w:numId w:val="11"/>
              </w:numPr>
              <w:spacing w:after="120"/>
              <w:ind w:left="1440" w:firstLineChars="0"/>
              <w:rPr>
                <w:rFonts w:ascii="Times New Roman" w:hAnsi="Times New Roman" w:cs="Times New Roman"/>
                <w:sz w:val="20"/>
                <w:szCs w:val="20"/>
                <w:shd w:val="pct15" w:color="auto" w:fill="FFFFFF"/>
              </w:rPr>
            </w:pPr>
            <w:r w:rsidRPr="00820235">
              <w:rPr>
                <w:rFonts w:ascii="Times New Roman" w:hAnsi="Times New Roman" w:cs="Times New Roman"/>
                <w:sz w:val="20"/>
                <w:szCs w:val="20"/>
                <w:shd w:val="pct15" w:color="auto" w:fill="FFFFFF"/>
              </w:rPr>
              <w:t>For NR-NTN: further discuss whether to reuse existing SEM requirements from PC3 to other PCs</w:t>
            </w:r>
          </w:p>
          <w:p w:rsidR="00820235" w:rsidRPr="00820235" w:rsidRDefault="00820235" w:rsidP="00820235">
            <w:pPr>
              <w:pStyle w:val="afc"/>
              <w:numPr>
                <w:ilvl w:val="1"/>
                <w:numId w:val="11"/>
              </w:numPr>
              <w:spacing w:after="120"/>
              <w:ind w:left="1440" w:firstLineChars="0"/>
              <w:rPr>
                <w:rFonts w:ascii="Times New Roman" w:hAnsi="Times New Roman" w:cs="Times New Roman"/>
                <w:shd w:val="pct15" w:color="auto" w:fill="FFFFFF"/>
              </w:rPr>
            </w:pPr>
            <w:r w:rsidRPr="00820235">
              <w:rPr>
                <w:rFonts w:ascii="Times New Roman" w:hAnsi="Times New Roman" w:cs="Times New Roman"/>
                <w:sz w:val="20"/>
                <w:szCs w:val="20"/>
                <w:shd w:val="pct15" w:color="auto" w:fill="FFFFFF"/>
              </w:rPr>
              <w:lastRenderedPageBreak/>
              <w:t>For IoT-NTN: further discuss whether to reuse existing SEM requirements from PC3 to other PCs</w:t>
            </w:r>
          </w:p>
          <w:p w:rsidR="00820235" w:rsidRPr="00820235" w:rsidRDefault="00820235" w:rsidP="00F00487">
            <w:pPr>
              <w:widowControl w:val="0"/>
              <w:overflowPunct/>
              <w:autoSpaceDE/>
              <w:autoSpaceDN/>
              <w:adjustRightInd/>
              <w:spacing w:after="0"/>
              <w:textAlignment w:val="auto"/>
              <w:rPr>
                <w:rFonts w:eastAsia="宋体"/>
                <w:lang w:eastAsia="zh-CN"/>
              </w:rPr>
            </w:pPr>
          </w:p>
        </w:tc>
      </w:tr>
    </w:tbl>
    <w:p w:rsidR="00820235" w:rsidRDefault="00820235" w:rsidP="00F00487">
      <w:pPr>
        <w:widowControl w:val="0"/>
        <w:overflowPunct/>
        <w:autoSpaceDE/>
        <w:autoSpaceDN/>
        <w:adjustRightInd/>
        <w:spacing w:after="0"/>
        <w:textAlignment w:val="auto"/>
        <w:rPr>
          <w:rFonts w:eastAsia="宋体"/>
          <w:lang w:val="en-US" w:eastAsia="zh-CN"/>
        </w:rPr>
      </w:pPr>
    </w:p>
    <w:p w:rsidR="00820235" w:rsidRDefault="00820235"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C</w:t>
      </w:r>
      <w:r>
        <w:rPr>
          <w:rFonts w:eastAsia="宋体"/>
          <w:lang w:val="en-US" w:eastAsia="zh-CN"/>
        </w:rPr>
        <w:t>urrently, the SEM requirements for PC3 NR NTN UE are specified below.</w:t>
      </w:r>
    </w:p>
    <w:p w:rsidR="00820235" w:rsidRDefault="00820235" w:rsidP="00F00487">
      <w:pPr>
        <w:widowControl w:val="0"/>
        <w:overflowPunct/>
        <w:autoSpaceDE/>
        <w:autoSpaceDN/>
        <w:adjustRightInd/>
        <w:spacing w:after="0"/>
        <w:textAlignment w:val="auto"/>
        <w:rPr>
          <w:rFonts w:eastAsia="宋体"/>
          <w:lang w:val="en-US" w:eastAsia="zh-CN"/>
        </w:rPr>
      </w:pPr>
    </w:p>
    <w:tbl>
      <w:tblPr>
        <w:tblStyle w:val="af8"/>
        <w:tblW w:w="0" w:type="auto"/>
        <w:tblLook w:val="04A0" w:firstRow="1" w:lastRow="0" w:firstColumn="1" w:lastColumn="0" w:noHBand="0" w:noVBand="1"/>
      </w:tblPr>
      <w:tblGrid>
        <w:gridCol w:w="9631"/>
      </w:tblGrid>
      <w:tr w:rsidR="00820235" w:rsidTr="00820235">
        <w:tc>
          <w:tcPr>
            <w:tcW w:w="9631" w:type="dxa"/>
          </w:tcPr>
          <w:p w:rsidR="00820235" w:rsidRDefault="00820235" w:rsidP="00820235">
            <w:pPr>
              <w:pStyle w:val="TH"/>
            </w:pPr>
            <w:r w:rsidRPr="00A1115A">
              <w:t>Table 6.5.2.2-1: General NR spectrum emission mask</w:t>
            </w:r>
          </w:p>
          <w:tbl>
            <w:tblPr>
              <w:tblStyle w:val="af8"/>
              <w:tblW w:w="0" w:type="auto"/>
              <w:tblLook w:val="04A0" w:firstRow="1" w:lastRow="0" w:firstColumn="1" w:lastColumn="0" w:noHBand="0" w:noVBand="1"/>
            </w:tblPr>
            <w:tblGrid>
              <w:gridCol w:w="2364"/>
              <w:gridCol w:w="2337"/>
              <w:gridCol w:w="2336"/>
              <w:gridCol w:w="2368"/>
            </w:tblGrid>
            <w:tr w:rsidR="00820235" w:rsidTr="0098420A">
              <w:tc>
                <w:tcPr>
                  <w:tcW w:w="2407" w:type="dxa"/>
                  <w:vMerge w:val="restart"/>
                  <w:vAlign w:val="center"/>
                </w:tcPr>
                <w:p w:rsidR="00820235" w:rsidRDefault="00820235" w:rsidP="00820235">
                  <w:pPr>
                    <w:pStyle w:val="TAH"/>
                  </w:pPr>
                  <w:r>
                    <w:rPr>
                      <w:rFonts w:hint="eastAsia"/>
                    </w:rPr>
                    <w:t>Δ</w:t>
                  </w:r>
                  <w:proofErr w:type="spellStart"/>
                  <w:r>
                    <w:t>f</w:t>
                  </w:r>
                  <w:r w:rsidRPr="00464183">
                    <w:rPr>
                      <w:vertAlign w:val="subscript"/>
                    </w:rPr>
                    <w:t>OOB</w:t>
                  </w:r>
                  <w:proofErr w:type="spellEnd"/>
                </w:p>
                <w:p w:rsidR="00820235" w:rsidRDefault="00820235" w:rsidP="00820235">
                  <w:pPr>
                    <w:pStyle w:val="TAH"/>
                  </w:pPr>
                  <w:r>
                    <w:t>(MHz)</w:t>
                  </w:r>
                </w:p>
              </w:tc>
              <w:tc>
                <w:tcPr>
                  <w:tcW w:w="4816" w:type="dxa"/>
                  <w:gridSpan w:val="2"/>
                  <w:vAlign w:val="center"/>
                </w:tcPr>
                <w:p w:rsidR="00820235" w:rsidRDefault="00820235" w:rsidP="00820235">
                  <w:pPr>
                    <w:pStyle w:val="TAH"/>
                  </w:pPr>
                  <w:r w:rsidRPr="00E40870">
                    <w:t>Channel bandwidth (MHz) / Spectrum emission limit (dBm)</w:t>
                  </w:r>
                </w:p>
              </w:tc>
              <w:tc>
                <w:tcPr>
                  <w:tcW w:w="2408" w:type="dxa"/>
                  <w:vMerge w:val="restart"/>
                  <w:vAlign w:val="center"/>
                </w:tcPr>
                <w:p w:rsidR="00820235" w:rsidRDefault="00820235" w:rsidP="00820235">
                  <w:pPr>
                    <w:pStyle w:val="TAH"/>
                  </w:pPr>
                  <w:r w:rsidRPr="00E40870">
                    <w:t>Measurement bandwidth</w:t>
                  </w:r>
                </w:p>
              </w:tc>
            </w:tr>
            <w:tr w:rsidR="00820235" w:rsidTr="0098420A">
              <w:tc>
                <w:tcPr>
                  <w:tcW w:w="2407" w:type="dxa"/>
                  <w:vMerge/>
                  <w:vAlign w:val="center"/>
                </w:tcPr>
                <w:p w:rsidR="00820235" w:rsidRDefault="00820235" w:rsidP="00820235">
                  <w:pPr>
                    <w:pStyle w:val="TAH"/>
                  </w:pPr>
                </w:p>
              </w:tc>
              <w:tc>
                <w:tcPr>
                  <w:tcW w:w="2408" w:type="dxa"/>
                  <w:vAlign w:val="center"/>
                </w:tcPr>
                <w:p w:rsidR="00820235" w:rsidRDefault="00820235" w:rsidP="00820235">
                  <w:pPr>
                    <w:pStyle w:val="TAH"/>
                  </w:pPr>
                  <w:r>
                    <w:rPr>
                      <w:rFonts w:hint="eastAsia"/>
                    </w:rPr>
                    <w:t>5</w:t>
                  </w:r>
                </w:p>
              </w:tc>
              <w:tc>
                <w:tcPr>
                  <w:tcW w:w="2408" w:type="dxa"/>
                  <w:vAlign w:val="center"/>
                </w:tcPr>
                <w:p w:rsidR="00820235" w:rsidRDefault="00820235" w:rsidP="00820235">
                  <w:pPr>
                    <w:pStyle w:val="TAH"/>
                  </w:pPr>
                  <w:r>
                    <w:rPr>
                      <w:rFonts w:hint="eastAsia"/>
                    </w:rPr>
                    <w:t>1</w:t>
                  </w:r>
                  <w:r>
                    <w:t>0, 15, 20</w:t>
                  </w:r>
                </w:p>
              </w:tc>
              <w:tc>
                <w:tcPr>
                  <w:tcW w:w="2408" w:type="dxa"/>
                  <w:vMerge/>
                  <w:vAlign w:val="center"/>
                </w:tcPr>
                <w:p w:rsidR="00820235" w:rsidRDefault="00820235" w:rsidP="00820235">
                  <w:pPr>
                    <w:pStyle w:val="TAH"/>
                  </w:pPr>
                </w:p>
              </w:tc>
            </w:tr>
            <w:tr w:rsidR="00820235" w:rsidTr="0098420A">
              <w:tc>
                <w:tcPr>
                  <w:tcW w:w="2407" w:type="dxa"/>
                  <w:vAlign w:val="center"/>
                </w:tcPr>
                <w:p w:rsidR="00820235" w:rsidRDefault="00820235" w:rsidP="00820235">
                  <w:pPr>
                    <w:pStyle w:val="TAC"/>
                  </w:pPr>
                  <w:r w:rsidRPr="00C562F3">
                    <w:rPr>
                      <w:rFonts w:hint="eastAsia"/>
                    </w:rPr>
                    <w:t>±</w:t>
                  </w:r>
                  <w:r w:rsidRPr="00C562F3">
                    <w:t xml:space="preserve"> 0-1</w:t>
                  </w:r>
                </w:p>
              </w:tc>
              <w:tc>
                <w:tcPr>
                  <w:tcW w:w="2408" w:type="dxa"/>
                  <w:vAlign w:val="center"/>
                </w:tcPr>
                <w:p w:rsidR="00820235" w:rsidRDefault="00820235" w:rsidP="00820235">
                  <w:pPr>
                    <w:pStyle w:val="TAC"/>
                  </w:pPr>
                  <w:r w:rsidRPr="004F460F">
                    <w:t>-13</w:t>
                  </w:r>
                </w:p>
              </w:tc>
              <w:tc>
                <w:tcPr>
                  <w:tcW w:w="2408" w:type="dxa"/>
                  <w:vAlign w:val="center"/>
                </w:tcPr>
                <w:p w:rsidR="00820235" w:rsidRDefault="00820235" w:rsidP="00820235">
                  <w:pPr>
                    <w:pStyle w:val="TAC"/>
                  </w:pPr>
                  <w:r w:rsidRPr="00D30863">
                    <w:t>-13</w:t>
                  </w:r>
                </w:p>
              </w:tc>
              <w:tc>
                <w:tcPr>
                  <w:tcW w:w="2408" w:type="dxa"/>
                  <w:vAlign w:val="center"/>
                </w:tcPr>
                <w:p w:rsidR="00820235" w:rsidRDefault="00820235" w:rsidP="00820235">
                  <w:pPr>
                    <w:pStyle w:val="TAC"/>
                  </w:pPr>
                  <w:r>
                    <w:t>1 % of channel BW</w:t>
                  </w:r>
                </w:p>
              </w:tc>
            </w:tr>
            <w:tr w:rsidR="00820235" w:rsidTr="0098420A">
              <w:tc>
                <w:tcPr>
                  <w:tcW w:w="2407" w:type="dxa"/>
                  <w:vAlign w:val="center"/>
                </w:tcPr>
                <w:p w:rsidR="00820235" w:rsidRDefault="00820235" w:rsidP="00820235">
                  <w:pPr>
                    <w:pStyle w:val="TAC"/>
                  </w:pPr>
                  <w:r w:rsidRPr="00C562F3">
                    <w:rPr>
                      <w:rFonts w:hint="eastAsia"/>
                    </w:rPr>
                    <w:t>±</w:t>
                  </w:r>
                  <w:r w:rsidRPr="00C562F3">
                    <w:t xml:space="preserve"> 1-5</w:t>
                  </w:r>
                </w:p>
              </w:tc>
              <w:tc>
                <w:tcPr>
                  <w:tcW w:w="2408" w:type="dxa"/>
                  <w:vAlign w:val="center"/>
                </w:tcPr>
                <w:p w:rsidR="00820235" w:rsidRDefault="00820235" w:rsidP="00820235">
                  <w:pPr>
                    <w:pStyle w:val="TAC"/>
                  </w:pPr>
                  <w:r w:rsidRPr="004F460F">
                    <w:t>-10</w:t>
                  </w:r>
                </w:p>
              </w:tc>
              <w:tc>
                <w:tcPr>
                  <w:tcW w:w="2408" w:type="dxa"/>
                  <w:vAlign w:val="center"/>
                </w:tcPr>
                <w:p w:rsidR="00820235" w:rsidRDefault="00820235" w:rsidP="00820235">
                  <w:pPr>
                    <w:pStyle w:val="TAC"/>
                  </w:pPr>
                  <w:r w:rsidRPr="00D30863">
                    <w:t>-10</w:t>
                  </w:r>
                </w:p>
              </w:tc>
              <w:tc>
                <w:tcPr>
                  <w:tcW w:w="2408" w:type="dxa"/>
                  <w:vMerge w:val="restart"/>
                  <w:vAlign w:val="center"/>
                </w:tcPr>
                <w:p w:rsidR="00820235" w:rsidRDefault="00820235" w:rsidP="00820235">
                  <w:pPr>
                    <w:pStyle w:val="TAC"/>
                  </w:pPr>
                  <w:r w:rsidRPr="00AB5B67">
                    <w:t>1 MHz</w:t>
                  </w:r>
                </w:p>
              </w:tc>
            </w:tr>
            <w:tr w:rsidR="00820235" w:rsidTr="0098420A">
              <w:tc>
                <w:tcPr>
                  <w:tcW w:w="2407" w:type="dxa"/>
                  <w:vAlign w:val="center"/>
                </w:tcPr>
                <w:p w:rsidR="00820235" w:rsidRDefault="00820235" w:rsidP="00820235">
                  <w:pPr>
                    <w:pStyle w:val="TAC"/>
                  </w:pPr>
                  <w:r w:rsidRPr="00C562F3">
                    <w:rPr>
                      <w:rFonts w:hint="eastAsia"/>
                    </w:rPr>
                    <w:t>±</w:t>
                  </w:r>
                  <w:r w:rsidRPr="00C562F3">
                    <w:t xml:space="preserve"> 5-6</w:t>
                  </w:r>
                </w:p>
              </w:tc>
              <w:tc>
                <w:tcPr>
                  <w:tcW w:w="2408" w:type="dxa"/>
                  <w:vAlign w:val="center"/>
                </w:tcPr>
                <w:p w:rsidR="00820235" w:rsidRDefault="00820235" w:rsidP="00820235">
                  <w:pPr>
                    <w:pStyle w:val="TAC"/>
                  </w:pPr>
                  <w:r w:rsidRPr="004F460F">
                    <w:t>-13</w:t>
                  </w:r>
                </w:p>
              </w:tc>
              <w:tc>
                <w:tcPr>
                  <w:tcW w:w="2408" w:type="dxa"/>
                  <w:vAlign w:val="center"/>
                </w:tcPr>
                <w:p w:rsidR="00820235" w:rsidRDefault="00820235" w:rsidP="00820235">
                  <w:pPr>
                    <w:pStyle w:val="TAC"/>
                  </w:pPr>
                </w:p>
              </w:tc>
              <w:tc>
                <w:tcPr>
                  <w:tcW w:w="2408" w:type="dxa"/>
                  <w:vMerge/>
                  <w:vAlign w:val="center"/>
                </w:tcPr>
                <w:p w:rsidR="00820235" w:rsidRDefault="00820235" w:rsidP="00820235">
                  <w:pPr>
                    <w:pStyle w:val="TAC"/>
                  </w:pPr>
                </w:p>
              </w:tc>
            </w:tr>
            <w:tr w:rsidR="00820235" w:rsidTr="0098420A">
              <w:tc>
                <w:tcPr>
                  <w:tcW w:w="2407" w:type="dxa"/>
                  <w:vAlign w:val="center"/>
                </w:tcPr>
                <w:p w:rsidR="00820235" w:rsidRDefault="00820235" w:rsidP="00820235">
                  <w:pPr>
                    <w:pStyle w:val="TAC"/>
                  </w:pPr>
                  <w:r w:rsidRPr="00C562F3">
                    <w:rPr>
                      <w:rFonts w:hint="eastAsia"/>
                    </w:rPr>
                    <w:t>±</w:t>
                  </w:r>
                  <w:r w:rsidRPr="00C562F3">
                    <w:t xml:space="preserve"> 6-10</w:t>
                  </w:r>
                </w:p>
              </w:tc>
              <w:tc>
                <w:tcPr>
                  <w:tcW w:w="2408" w:type="dxa"/>
                  <w:vAlign w:val="center"/>
                </w:tcPr>
                <w:p w:rsidR="00820235" w:rsidRDefault="00820235" w:rsidP="00820235">
                  <w:pPr>
                    <w:pStyle w:val="TAC"/>
                  </w:pPr>
                  <w:r w:rsidRPr="004F460F">
                    <w:t>-25</w:t>
                  </w:r>
                </w:p>
              </w:tc>
              <w:tc>
                <w:tcPr>
                  <w:tcW w:w="2408" w:type="dxa"/>
                  <w:vAlign w:val="center"/>
                </w:tcPr>
                <w:p w:rsidR="00820235" w:rsidRDefault="00820235" w:rsidP="00820235">
                  <w:pPr>
                    <w:pStyle w:val="TAC"/>
                  </w:pPr>
                </w:p>
              </w:tc>
              <w:tc>
                <w:tcPr>
                  <w:tcW w:w="2408" w:type="dxa"/>
                  <w:vMerge/>
                  <w:vAlign w:val="center"/>
                </w:tcPr>
                <w:p w:rsidR="00820235" w:rsidRDefault="00820235" w:rsidP="00820235">
                  <w:pPr>
                    <w:pStyle w:val="TAC"/>
                  </w:pPr>
                </w:p>
              </w:tc>
            </w:tr>
            <w:tr w:rsidR="00820235" w:rsidTr="0098420A">
              <w:tc>
                <w:tcPr>
                  <w:tcW w:w="2407" w:type="dxa"/>
                  <w:vAlign w:val="center"/>
                </w:tcPr>
                <w:p w:rsidR="00820235" w:rsidRDefault="00820235" w:rsidP="00820235">
                  <w:pPr>
                    <w:pStyle w:val="TAC"/>
                  </w:pPr>
                  <w:r w:rsidRPr="00C562F3">
                    <w:rPr>
                      <w:rFonts w:hint="eastAsia"/>
                    </w:rPr>
                    <w:t>±</w:t>
                  </w:r>
                  <w:r w:rsidRPr="00C562F3">
                    <w:t xml:space="preserve"> 5-BW</w:t>
                  </w:r>
                  <w:r w:rsidRPr="00464183">
                    <w:rPr>
                      <w:vertAlign w:val="subscript"/>
                    </w:rPr>
                    <w:t>Channel</w:t>
                  </w:r>
                </w:p>
              </w:tc>
              <w:tc>
                <w:tcPr>
                  <w:tcW w:w="2408" w:type="dxa"/>
                  <w:vAlign w:val="center"/>
                </w:tcPr>
                <w:p w:rsidR="00820235" w:rsidRDefault="00820235" w:rsidP="00820235">
                  <w:pPr>
                    <w:pStyle w:val="TAC"/>
                  </w:pPr>
                </w:p>
              </w:tc>
              <w:tc>
                <w:tcPr>
                  <w:tcW w:w="2408" w:type="dxa"/>
                  <w:vAlign w:val="center"/>
                </w:tcPr>
                <w:p w:rsidR="00820235" w:rsidRDefault="00820235" w:rsidP="00820235">
                  <w:pPr>
                    <w:pStyle w:val="TAC"/>
                  </w:pPr>
                  <w:r w:rsidRPr="00D30863">
                    <w:t>-13</w:t>
                  </w:r>
                </w:p>
              </w:tc>
              <w:tc>
                <w:tcPr>
                  <w:tcW w:w="2408" w:type="dxa"/>
                  <w:vMerge/>
                  <w:vAlign w:val="center"/>
                </w:tcPr>
                <w:p w:rsidR="00820235" w:rsidRDefault="00820235" w:rsidP="00820235">
                  <w:pPr>
                    <w:pStyle w:val="TAC"/>
                  </w:pPr>
                </w:p>
              </w:tc>
            </w:tr>
            <w:tr w:rsidR="00820235" w:rsidTr="0098420A">
              <w:tc>
                <w:tcPr>
                  <w:tcW w:w="2407" w:type="dxa"/>
                  <w:vAlign w:val="center"/>
                </w:tcPr>
                <w:p w:rsidR="00820235" w:rsidRDefault="00820235" w:rsidP="00820235">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rsidR="00820235" w:rsidRDefault="00820235" w:rsidP="00820235">
                  <w:pPr>
                    <w:pStyle w:val="TAC"/>
                  </w:pPr>
                </w:p>
              </w:tc>
              <w:tc>
                <w:tcPr>
                  <w:tcW w:w="2408" w:type="dxa"/>
                  <w:vAlign w:val="center"/>
                </w:tcPr>
                <w:p w:rsidR="00820235" w:rsidRDefault="00820235" w:rsidP="00820235">
                  <w:pPr>
                    <w:pStyle w:val="TAC"/>
                  </w:pPr>
                  <w:r w:rsidRPr="00D30863">
                    <w:t>-25</w:t>
                  </w:r>
                </w:p>
              </w:tc>
              <w:tc>
                <w:tcPr>
                  <w:tcW w:w="2408" w:type="dxa"/>
                  <w:vMerge/>
                  <w:vAlign w:val="center"/>
                </w:tcPr>
                <w:p w:rsidR="00820235" w:rsidRDefault="00820235" w:rsidP="00820235">
                  <w:pPr>
                    <w:pStyle w:val="TAC"/>
                  </w:pPr>
                </w:p>
              </w:tc>
            </w:tr>
          </w:tbl>
          <w:p w:rsidR="00820235" w:rsidRDefault="00820235" w:rsidP="00F00487">
            <w:pPr>
              <w:widowControl w:val="0"/>
              <w:overflowPunct/>
              <w:autoSpaceDE/>
              <w:autoSpaceDN/>
              <w:adjustRightInd/>
              <w:spacing w:after="0"/>
              <w:textAlignment w:val="auto"/>
              <w:rPr>
                <w:rFonts w:eastAsia="宋体"/>
                <w:lang w:val="en-US" w:eastAsia="zh-CN"/>
              </w:rPr>
            </w:pPr>
          </w:p>
        </w:tc>
      </w:tr>
    </w:tbl>
    <w:p w:rsidR="00820235" w:rsidRPr="00820235" w:rsidRDefault="00820235" w:rsidP="00F00487">
      <w:pPr>
        <w:widowControl w:val="0"/>
        <w:overflowPunct/>
        <w:autoSpaceDE/>
        <w:autoSpaceDN/>
        <w:adjustRightInd/>
        <w:spacing w:after="0"/>
        <w:textAlignment w:val="auto"/>
        <w:rPr>
          <w:rFonts w:eastAsia="宋体"/>
          <w:lang w:val="en-US" w:eastAsia="zh-CN"/>
        </w:rPr>
      </w:pPr>
    </w:p>
    <w:p w:rsidR="00820235" w:rsidRDefault="00820235" w:rsidP="00F00487">
      <w:pPr>
        <w:widowControl w:val="0"/>
        <w:overflowPunct/>
        <w:autoSpaceDE/>
        <w:autoSpaceDN/>
        <w:adjustRightInd/>
        <w:spacing w:after="0"/>
        <w:textAlignment w:val="auto"/>
        <w:rPr>
          <w:rFonts w:eastAsia="宋体"/>
          <w:lang w:val="en-US" w:eastAsia="zh-CN"/>
        </w:rPr>
      </w:pPr>
    </w:p>
    <w:p w:rsidR="00820235" w:rsidRDefault="00820235"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5, 10, 15 and 20MHz, the absolute </w:t>
      </w:r>
      <w:r w:rsidR="00413434">
        <w:rPr>
          <w:rFonts w:eastAsia="宋体"/>
          <w:lang w:val="en-US" w:eastAsia="zh-CN"/>
        </w:rPr>
        <w:t xml:space="preserve">emission </w:t>
      </w:r>
      <w:r>
        <w:rPr>
          <w:rFonts w:eastAsia="宋体"/>
          <w:lang w:val="en-US" w:eastAsia="zh-CN"/>
        </w:rPr>
        <w:t xml:space="preserve">limit </w:t>
      </w:r>
      <w:r w:rsidR="00413434">
        <w:rPr>
          <w:rFonts w:eastAsia="宋体"/>
          <w:lang w:val="en-US" w:eastAsia="zh-CN"/>
        </w:rPr>
        <w:t xml:space="preserve">that UE can’t exceed </w:t>
      </w:r>
      <w:r>
        <w:rPr>
          <w:rFonts w:eastAsia="宋体"/>
          <w:lang w:val="en-US" w:eastAsia="zh-CN"/>
        </w:rPr>
        <w:t>in the first adjacent channel are 1.</w:t>
      </w:r>
      <w:r w:rsidR="006B347A">
        <w:rPr>
          <w:rFonts w:eastAsia="宋体"/>
          <w:lang w:val="en-US" w:eastAsia="zh-CN"/>
        </w:rPr>
        <w:t>4</w:t>
      </w:r>
      <w:r w:rsidR="0097292F">
        <w:rPr>
          <w:rFonts w:eastAsia="宋体"/>
          <w:lang w:val="en-US" w:eastAsia="zh-CN"/>
        </w:rPr>
        <w:t>7</w:t>
      </w:r>
      <w:r>
        <w:rPr>
          <w:rFonts w:eastAsia="宋体"/>
          <w:lang w:val="en-US" w:eastAsia="zh-CN"/>
        </w:rPr>
        <w:t>dBm</w:t>
      </w:r>
      <w:r w:rsidR="004750C0">
        <w:rPr>
          <w:rFonts w:eastAsia="宋体"/>
          <w:lang w:val="en-US" w:eastAsia="zh-CN"/>
        </w:rPr>
        <w:t>/5MHz</w:t>
      </w:r>
      <w:r>
        <w:rPr>
          <w:rFonts w:eastAsia="宋体"/>
          <w:lang w:val="en-US" w:eastAsia="zh-CN"/>
        </w:rPr>
        <w:t xml:space="preserve">, </w:t>
      </w:r>
      <w:r w:rsidR="006B347A">
        <w:rPr>
          <w:rFonts w:eastAsia="宋体"/>
          <w:lang w:val="en-US" w:eastAsia="zh-CN"/>
        </w:rPr>
        <w:t>0.6</w:t>
      </w:r>
      <w:r w:rsidR="00681C5B">
        <w:rPr>
          <w:rFonts w:eastAsia="宋体"/>
          <w:lang w:val="en-US" w:eastAsia="zh-CN"/>
        </w:rPr>
        <w:t>1</w:t>
      </w:r>
      <w:r>
        <w:rPr>
          <w:rFonts w:eastAsia="宋体"/>
          <w:lang w:val="en-US" w:eastAsia="zh-CN"/>
        </w:rPr>
        <w:t>dBm</w:t>
      </w:r>
      <w:r w:rsidR="004750C0">
        <w:rPr>
          <w:rFonts w:eastAsia="宋体"/>
          <w:lang w:val="en-US" w:eastAsia="zh-CN"/>
        </w:rPr>
        <w:t>/10MHz</w:t>
      </w:r>
      <w:r w:rsidR="006B347A">
        <w:rPr>
          <w:rFonts w:eastAsia="宋体"/>
          <w:lang w:val="en-US" w:eastAsia="zh-CN"/>
        </w:rPr>
        <w:t>, 0.9</w:t>
      </w:r>
      <w:r w:rsidR="0097292F">
        <w:rPr>
          <w:rFonts w:eastAsia="宋体"/>
          <w:lang w:val="en-US" w:eastAsia="zh-CN"/>
        </w:rPr>
        <w:t>2</w:t>
      </w:r>
      <w:r w:rsidR="006B347A">
        <w:rPr>
          <w:rFonts w:eastAsia="宋体"/>
          <w:lang w:val="en-US" w:eastAsia="zh-CN"/>
        </w:rPr>
        <w:t>dBm</w:t>
      </w:r>
      <w:r w:rsidR="004750C0">
        <w:rPr>
          <w:rFonts w:eastAsia="宋体"/>
          <w:lang w:val="en-US" w:eastAsia="zh-CN"/>
        </w:rPr>
        <w:t>/15MHz</w:t>
      </w:r>
      <w:r w:rsidR="006B347A">
        <w:rPr>
          <w:rFonts w:eastAsia="宋体"/>
          <w:lang w:val="en-US" w:eastAsia="zh-CN"/>
        </w:rPr>
        <w:t xml:space="preserve">, </w:t>
      </w:r>
      <w:r w:rsidR="005B0CC9">
        <w:rPr>
          <w:rFonts w:eastAsia="宋体"/>
          <w:lang w:val="en-US" w:eastAsia="zh-CN"/>
        </w:rPr>
        <w:t xml:space="preserve">and </w:t>
      </w:r>
      <w:r w:rsidR="006B347A">
        <w:rPr>
          <w:rFonts w:eastAsia="宋体"/>
          <w:lang w:val="en-US" w:eastAsia="zh-CN"/>
        </w:rPr>
        <w:t>1.4</w:t>
      </w:r>
      <w:r w:rsidR="0097292F">
        <w:rPr>
          <w:rFonts w:eastAsia="宋体"/>
          <w:lang w:val="en-US" w:eastAsia="zh-CN"/>
        </w:rPr>
        <w:t>7</w:t>
      </w:r>
      <w:r w:rsidR="006B347A">
        <w:rPr>
          <w:rFonts w:eastAsia="宋体"/>
          <w:lang w:val="en-US" w:eastAsia="zh-CN"/>
        </w:rPr>
        <w:t>dBm</w:t>
      </w:r>
      <w:r w:rsidR="004750C0">
        <w:rPr>
          <w:rFonts w:eastAsia="宋体"/>
          <w:lang w:val="en-US" w:eastAsia="zh-CN"/>
        </w:rPr>
        <w:t>/20MHz</w:t>
      </w:r>
      <w:r w:rsidR="005B0CC9">
        <w:rPr>
          <w:rFonts w:eastAsia="宋体"/>
          <w:lang w:val="en-US" w:eastAsia="zh-CN"/>
        </w:rPr>
        <w:t xml:space="preserve"> </w:t>
      </w:r>
      <w:r>
        <w:rPr>
          <w:rFonts w:eastAsia="宋体"/>
          <w:lang w:val="en-US" w:eastAsia="zh-CN"/>
        </w:rPr>
        <w:t>respectively.</w:t>
      </w:r>
      <w:r w:rsidR="00413434">
        <w:rPr>
          <w:rFonts w:eastAsia="宋体"/>
          <w:lang w:val="en-US" w:eastAsia="zh-CN"/>
        </w:rPr>
        <w:t xml:space="preserve"> If we assume the same SEM requirements for PC2 UE, that means UE has to meet 24.5~25.5dB ACLR requirements. Similarly, for PC1.5 and PC1, UE has to meet 27.5~28.5dB ACLR and 29.5~30.5dB ACLR requirements respectively.</w:t>
      </w:r>
    </w:p>
    <w:p w:rsidR="00413434" w:rsidRDefault="00413434" w:rsidP="00F00487">
      <w:pPr>
        <w:widowControl w:val="0"/>
        <w:overflowPunct/>
        <w:autoSpaceDE/>
        <w:autoSpaceDN/>
        <w:adjustRightInd/>
        <w:spacing w:after="0"/>
        <w:textAlignment w:val="auto"/>
        <w:rPr>
          <w:rFonts w:eastAsia="宋体"/>
          <w:lang w:val="en-US" w:eastAsia="zh-CN"/>
        </w:rPr>
      </w:pPr>
    </w:p>
    <w:p w:rsidR="00F8338B" w:rsidRDefault="00F8338B" w:rsidP="00F8338B">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w:t>
      </w:r>
      <w:r w:rsidR="005B0D15">
        <w:rPr>
          <w:rFonts w:eastAsia="宋体"/>
          <w:b/>
          <w:lang w:val="en-US" w:eastAsia="zh-CN"/>
        </w:rPr>
        <w:t>When ACLR requirements are less than 24.5dB for PC2, 27.5dB for PC1.5 and 29.5dB for PC1, current SEM requirements specified in TS 38.101-5 can be relaxed correspondingly</w:t>
      </w:r>
      <w:r>
        <w:rPr>
          <w:rFonts w:eastAsia="宋体"/>
          <w:b/>
          <w:lang w:val="en-US" w:eastAsia="zh-CN"/>
        </w:rPr>
        <w:t>.</w:t>
      </w:r>
    </w:p>
    <w:p w:rsidR="00413434" w:rsidRPr="00F8338B" w:rsidRDefault="00413434" w:rsidP="00F00487">
      <w:pPr>
        <w:widowControl w:val="0"/>
        <w:overflowPunct/>
        <w:autoSpaceDE/>
        <w:autoSpaceDN/>
        <w:adjustRightInd/>
        <w:spacing w:after="0"/>
        <w:textAlignment w:val="auto"/>
        <w:rPr>
          <w:rFonts w:eastAsia="宋体"/>
          <w:lang w:val="en-US" w:eastAsia="zh-CN"/>
        </w:rPr>
      </w:pPr>
    </w:p>
    <w:p w:rsidR="00D943AE" w:rsidRDefault="00D943AE" w:rsidP="00F00487">
      <w:pPr>
        <w:widowControl w:val="0"/>
        <w:overflowPunct/>
        <w:autoSpaceDE/>
        <w:autoSpaceDN/>
        <w:adjustRightInd/>
        <w:spacing w:after="0"/>
        <w:textAlignment w:val="auto"/>
        <w:rPr>
          <w:rFonts w:eastAsia="宋体"/>
          <w:lang w:val="en-US" w:eastAsia="zh-CN"/>
        </w:rPr>
      </w:pPr>
    </w:p>
    <w:p w:rsidR="00D943AE" w:rsidRPr="000D1B0B" w:rsidRDefault="00252031" w:rsidP="00D943AE">
      <w:pPr>
        <w:widowControl w:val="0"/>
        <w:rPr>
          <w:rFonts w:eastAsia="宋体"/>
          <w:b/>
        </w:rPr>
      </w:pPr>
      <w:r>
        <w:rPr>
          <w:rFonts w:eastAsia="宋体"/>
          <w:b/>
          <w:lang w:val="en-US" w:eastAsia="zh-CN"/>
        </w:rPr>
        <w:t>2</w:t>
      </w:r>
      <w:r w:rsidR="00D943AE" w:rsidRPr="000D1B0B">
        <w:rPr>
          <w:rFonts w:eastAsia="宋体"/>
          <w:b/>
          <w:lang w:val="en-US" w:eastAsia="zh-CN"/>
        </w:rPr>
        <w:t>)</w:t>
      </w:r>
      <w:r w:rsidR="00D943AE" w:rsidRPr="000D1B0B">
        <w:rPr>
          <w:rFonts w:eastAsia="宋体"/>
          <w:b/>
        </w:rPr>
        <w:t xml:space="preserve"> </w:t>
      </w:r>
      <w:r w:rsidR="00D943AE">
        <w:rPr>
          <w:rFonts w:eastAsia="宋体"/>
          <w:b/>
        </w:rPr>
        <w:t>SAR</w:t>
      </w:r>
    </w:p>
    <w:tbl>
      <w:tblPr>
        <w:tblStyle w:val="af8"/>
        <w:tblW w:w="0" w:type="auto"/>
        <w:tblLook w:val="04A0" w:firstRow="1" w:lastRow="0" w:firstColumn="1" w:lastColumn="0" w:noHBand="0" w:noVBand="1"/>
      </w:tblPr>
      <w:tblGrid>
        <w:gridCol w:w="9631"/>
      </w:tblGrid>
      <w:tr w:rsidR="00117FBE" w:rsidTr="00117FBE">
        <w:tc>
          <w:tcPr>
            <w:tcW w:w="9631" w:type="dxa"/>
          </w:tcPr>
          <w:p w:rsidR="00117FBE" w:rsidRPr="001047DA" w:rsidRDefault="00117FBE" w:rsidP="00117FBE">
            <w:pPr>
              <w:rPr>
                <w:b/>
                <w:u w:val="single"/>
                <w:shd w:val="pct15" w:color="auto" w:fill="FFFFFF"/>
              </w:rPr>
            </w:pPr>
            <w:r w:rsidRPr="001047DA">
              <w:rPr>
                <w:b/>
                <w:u w:val="single"/>
                <w:shd w:val="pct15" w:color="auto" w:fill="FFFFFF"/>
              </w:rPr>
              <w:t>Issue 3-3-4: SAR for handheld</w:t>
            </w:r>
          </w:p>
          <w:p w:rsidR="00117FBE" w:rsidRPr="001047DA" w:rsidRDefault="00117FBE" w:rsidP="00117FBE">
            <w:pPr>
              <w:rPr>
                <w:b/>
                <w:bCs/>
                <w:iCs/>
                <w:shd w:val="pct15" w:color="auto" w:fill="FFFFFF"/>
                <w:lang w:eastAsia="zh-CN"/>
              </w:rPr>
            </w:pPr>
            <w:r w:rsidRPr="001047DA">
              <w:rPr>
                <w:b/>
                <w:bCs/>
                <w:iCs/>
                <w:shd w:val="pct15" w:color="auto" w:fill="FFFFFF"/>
                <w:lang w:eastAsia="zh-CN"/>
              </w:rPr>
              <w:t xml:space="preserve">Agreement: </w:t>
            </w:r>
          </w:p>
          <w:p w:rsidR="00117FBE" w:rsidRPr="001047DA" w:rsidRDefault="00117FBE" w:rsidP="00117FBE">
            <w:pPr>
              <w:pStyle w:val="afc"/>
              <w:numPr>
                <w:ilvl w:val="0"/>
                <w:numId w:val="40"/>
              </w:numPr>
              <w:overflowPunct w:val="0"/>
              <w:autoSpaceDE w:val="0"/>
              <w:autoSpaceDN w:val="0"/>
              <w:adjustRightInd w:val="0"/>
              <w:spacing w:after="180"/>
              <w:ind w:firstLineChars="0"/>
              <w:textAlignment w:val="baseline"/>
              <w:rPr>
                <w:rFonts w:ascii="Times New Roman" w:hAnsi="Times New Roman" w:cs="Times New Roman"/>
                <w:sz w:val="20"/>
                <w:szCs w:val="20"/>
                <w:shd w:val="pct15" w:color="auto" w:fill="FFFFFF"/>
              </w:rPr>
            </w:pPr>
            <w:r w:rsidRPr="001047DA">
              <w:rPr>
                <w:rFonts w:ascii="Times New Roman" w:hAnsi="Times New Roman" w:cs="Times New Roman"/>
                <w:sz w:val="20"/>
                <w:szCs w:val="20"/>
                <w:shd w:val="pct15" w:color="auto" w:fill="FFFFFF"/>
              </w:rPr>
              <w:t xml:space="preserve">Using P-MPR as the starting point </w:t>
            </w:r>
          </w:p>
          <w:p w:rsidR="00117FBE" w:rsidRPr="001047DA" w:rsidRDefault="00117FBE" w:rsidP="00117FBE">
            <w:pPr>
              <w:pStyle w:val="afc"/>
              <w:numPr>
                <w:ilvl w:val="0"/>
                <w:numId w:val="40"/>
              </w:numPr>
              <w:overflowPunct w:val="0"/>
              <w:autoSpaceDE w:val="0"/>
              <w:autoSpaceDN w:val="0"/>
              <w:adjustRightInd w:val="0"/>
              <w:spacing w:after="180"/>
              <w:ind w:firstLineChars="0"/>
              <w:textAlignment w:val="baseline"/>
              <w:rPr>
                <w:rFonts w:ascii="Times New Roman" w:hAnsi="Times New Roman" w:cs="Times New Roman"/>
                <w:sz w:val="20"/>
                <w:szCs w:val="20"/>
                <w:shd w:val="pct15" w:color="auto" w:fill="FFFFFF"/>
              </w:rPr>
            </w:pPr>
            <w:r w:rsidRPr="001047DA">
              <w:rPr>
                <w:rFonts w:ascii="Times New Roman" w:hAnsi="Times New Roman" w:cs="Times New Roman"/>
                <w:sz w:val="20"/>
                <w:szCs w:val="20"/>
                <w:shd w:val="pct15" w:color="auto" w:fill="FFFFFF"/>
              </w:rPr>
              <w:t>The other solutions are not precluded</w:t>
            </w:r>
          </w:p>
          <w:p w:rsidR="00117FBE" w:rsidRPr="001047DA" w:rsidRDefault="00117FBE" w:rsidP="00117FBE">
            <w:pPr>
              <w:pStyle w:val="afc"/>
              <w:numPr>
                <w:ilvl w:val="1"/>
                <w:numId w:val="40"/>
              </w:numPr>
              <w:overflowPunct w:val="0"/>
              <w:autoSpaceDE w:val="0"/>
              <w:autoSpaceDN w:val="0"/>
              <w:adjustRightInd w:val="0"/>
              <w:spacing w:after="180"/>
              <w:ind w:firstLineChars="0"/>
              <w:textAlignment w:val="baseline"/>
              <w:rPr>
                <w:rFonts w:ascii="Times New Roman" w:hAnsi="Times New Roman" w:cs="Times New Roman"/>
                <w:sz w:val="20"/>
                <w:szCs w:val="20"/>
                <w:shd w:val="pct15" w:color="auto" w:fill="FFFFFF"/>
              </w:rPr>
            </w:pPr>
            <w:r w:rsidRPr="001047DA">
              <w:rPr>
                <w:rFonts w:ascii="Times New Roman" w:hAnsi="Times New Roman" w:cs="Times New Roman"/>
                <w:sz w:val="20"/>
                <w:szCs w:val="20"/>
                <w:shd w:val="pct15" w:color="auto" w:fill="FFFFFF"/>
              </w:rPr>
              <w:t>E.g., the solution similar to TN duty cycle based on UE capability and network scheduling</w:t>
            </w:r>
          </w:p>
          <w:p w:rsidR="00117FBE" w:rsidRPr="00117FBE" w:rsidRDefault="00117FBE" w:rsidP="00F00487">
            <w:pPr>
              <w:widowControl w:val="0"/>
              <w:overflowPunct/>
              <w:autoSpaceDE/>
              <w:autoSpaceDN/>
              <w:adjustRightInd/>
              <w:spacing w:after="0"/>
              <w:textAlignment w:val="auto"/>
              <w:rPr>
                <w:rFonts w:eastAsia="宋体"/>
                <w:lang w:eastAsia="zh-CN"/>
              </w:rPr>
            </w:pPr>
          </w:p>
        </w:tc>
      </w:tr>
    </w:tbl>
    <w:p w:rsidR="00117FBE" w:rsidRDefault="00117FBE" w:rsidP="00F00487">
      <w:pPr>
        <w:widowControl w:val="0"/>
        <w:overflowPunct/>
        <w:autoSpaceDE/>
        <w:autoSpaceDN/>
        <w:adjustRightInd/>
        <w:spacing w:after="0"/>
        <w:textAlignment w:val="auto"/>
        <w:rPr>
          <w:rFonts w:eastAsia="宋体"/>
          <w:lang w:val="en-US" w:eastAsia="zh-CN"/>
        </w:rPr>
      </w:pPr>
    </w:p>
    <w:p w:rsidR="00117FBE" w:rsidRDefault="00130D3E"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t>
      </w:r>
      <w:r w:rsidR="00947AD7">
        <w:rPr>
          <w:rFonts w:eastAsia="宋体"/>
          <w:lang w:val="en-US" w:eastAsia="zh-CN"/>
        </w:rPr>
        <w:t xml:space="preserve">RAN4 has agreed to use P-MPR as starting point, but other solutions similar to TN duty cycle are not precluded. However, as we discussed in last meeting, </w:t>
      </w:r>
      <w:r w:rsidR="00947AD7" w:rsidRPr="00947AD7">
        <w:rPr>
          <w:rFonts w:eastAsia="宋体"/>
          <w:lang w:val="en-US" w:eastAsia="zh-CN"/>
        </w:rPr>
        <w:t>UL coverage is the bottleneck of satellite communication scenario and the system is very sensitive to the UE transmitter power reduction. Thus, the P-MPR solution is not very friendly to NTN UE.</w:t>
      </w:r>
      <w:r w:rsidR="00840EAA">
        <w:rPr>
          <w:rFonts w:eastAsia="宋体"/>
          <w:lang w:val="en-US" w:eastAsia="zh-CN"/>
        </w:rPr>
        <w:t xml:space="preserve"> </w:t>
      </w:r>
      <w:r w:rsidR="00CF1922">
        <w:rPr>
          <w:rFonts w:eastAsia="宋体"/>
          <w:lang w:val="en-US" w:eastAsia="zh-CN"/>
        </w:rPr>
        <w:t xml:space="preserve">Apart from that, </w:t>
      </w:r>
      <w:r w:rsidR="006108B0">
        <w:rPr>
          <w:rFonts w:eastAsia="宋体"/>
          <w:lang w:val="en-US" w:eastAsia="zh-CN"/>
        </w:rPr>
        <w:t>for FDD bands, there is no fixed UL/DL pattern, so there is no accurate duty cycle concept in FDD deployment. It’s necessary to study the additional method to guarantee the SAR compliance without additional power reduction.</w:t>
      </w:r>
    </w:p>
    <w:p w:rsidR="006108B0" w:rsidRDefault="006108B0" w:rsidP="00F00487">
      <w:pPr>
        <w:widowControl w:val="0"/>
        <w:overflowPunct/>
        <w:autoSpaceDE/>
        <w:autoSpaceDN/>
        <w:adjustRightInd/>
        <w:spacing w:after="0"/>
        <w:textAlignment w:val="auto"/>
        <w:rPr>
          <w:rFonts w:eastAsia="宋体"/>
          <w:lang w:val="en-US" w:eastAsia="zh-CN"/>
        </w:rPr>
      </w:pPr>
    </w:p>
    <w:p w:rsidR="006108B0" w:rsidRDefault="006108B0"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rom NTN UE perspective, </w:t>
      </w:r>
      <w:r w:rsidRPr="006108B0">
        <w:rPr>
          <w:rFonts w:eastAsia="宋体"/>
          <w:lang w:val="en-US" w:eastAsia="zh-CN"/>
        </w:rPr>
        <w:t xml:space="preserve">as long as the UL transmission percentage does not exceed a threshold within several minutes based on SAR restriction, the </w:t>
      </w:r>
      <w:r>
        <w:rPr>
          <w:rFonts w:eastAsia="宋体"/>
          <w:lang w:val="en-US" w:eastAsia="zh-CN"/>
        </w:rPr>
        <w:t xml:space="preserve">SAR </w:t>
      </w:r>
      <w:r w:rsidRPr="006108B0">
        <w:rPr>
          <w:rFonts w:eastAsia="宋体"/>
          <w:lang w:val="en-US" w:eastAsia="zh-CN"/>
        </w:rPr>
        <w:t>requirement can be satisfied</w:t>
      </w:r>
      <w:r>
        <w:rPr>
          <w:rFonts w:eastAsia="宋体"/>
          <w:lang w:val="en-US" w:eastAsia="zh-CN"/>
        </w:rPr>
        <w:t xml:space="preserve"> without additional UE efforts</w:t>
      </w:r>
      <w:r w:rsidRPr="006108B0">
        <w:rPr>
          <w:rFonts w:eastAsia="宋体"/>
          <w:lang w:val="en-US" w:eastAsia="zh-CN"/>
        </w:rPr>
        <w:t>.</w:t>
      </w:r>
      <w:r>
        <w:rPr>
          <w:rFonts w:eastAsia="宋体"/>
          <w:lang w:val="en-US" w:eastAsia="zh-CN"/>
        </w:rPr>
        <w:t xml:space="preserve"> In addition, if network scheduling for UL-DL configuration in FDD bands is predicted by UE, it’s beneficial for UE to fully utilize their resources and control the power </w:t>
      </w:r>
      <w:r w:rsidR="006B2D47">
        <w:rPr>
          <w:rFonts w:eastAsia="宋体"/>
          <w:lang w:val="en-US" w:eastAsia="zh-CN"/>
        </w:rPr>
        <w:t>consumption</w:t>
      </w:r>
      <w:r>
        <w:rPr>
          <w:rFonts w:eastAsia="宋体"/>
          <w:lang w:val="en-US" w:eastAsia="zh-CN"/>
        </w:rPr>
        <w:t>.</w:t>
      </w:r>
    </w:p>
    <w:p w:rsidR="006B2D47" w:rsidRDefault="006B2D47" w:rsidP="00F00487">
      <w:pPr>
        <w:widowControl w:val="0"/>
        <w:overflowPunct/>
        <w:autoSpaceDE/>
        <w:autoSpaceDN/>
        <w:adjustRightInd/>
        <w:spacing w:after="0"/>
        <w:textAlignment w:val="auto"/>
        <w:rPr>
          <w:rFonts w:eastAsia="宋体"/>
          <w:lang w:val="en-US" w:eastAsia="zh-CN"/>
        </w:rPr>
      </w:pPr>
    </w:p>
    <w:p w:rsidR="006B2D47" w:rsidRDefault="006B2D47"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rom NTN SAN perspective, network needs to decide the starting time of UL scheduling, the period of duty cycle and </w:t>
      </w:r>
      <w:r w:rsidRPr="006B2D47">
        <w:rPr>
          <w:rFonts w:eastAsia="宋体"/>
          <w:lang w:val="en-US" w:eastAsia="zh-CN"/>
        </w:rPr>
        <w:t>UL transmission percentage</w:t>
      </w:r>
      <w:r>
        <w:rPr>
          <w:rFonts w:eastAsia="宋体"/>
          <w:lang w:val="en-US" w:eastAsia="zh-CN"/>
        </w:rPr>
        <w:t xml:space="preserve"> considering the </w:t>
      </w:r>
      <w:r w:rsidR="006207E9">
        <w:rPr>
          <w:rFonts w:eastAsia="宋体"/>
          <w:lang w:val="en-US" w:eastAsia="zh-CN"/>
        </w:rPr>
        <w:t xml:space="preserve">higher output power, SAR requirements, </w:t>
      </w:r>
      <w:r w:rsidR="006207E9" w:rsidRPr="006108B0">
        <w:rPr>
          <w:rFonts w:eastAsia="宋体"/>
          <w:lang w:val="en-US" w:eastAsia="zh-CN"/>
        </w:rPr>
        <w:t>transmission</w:t>
      </w:r>
      <w:r w:rsidR="006207E9">
        <w:rPr>
          <w:rFonts w:eastAsia="宋体"/>
          <w:lang w:val="en-US" w:eastAsia="zh-CN"/>
        </w:rPr>
        <w:t xml:space="preserve"> repetition, targeted throughput and MCS.</w:t>
      </w:r>
    </w:p>
    <w:p w:rsidR="006207E9" w:rsidRDefault="006207E9" w:rsidP="00F00487">
      <w:pPr>
        <w:widowControl w:val="0"/>
        <w:overflowPunct/>
        <w:autoSpaceDE/>
        <w:autoSpaceDN/>
        <w:adjustRightInd/>
        <w:spacing w:after="0"/>
        <w:textAlignment w:val="auto"/>
        <w:rPr>
          <w:rFonts w:eastAsia="宋体"/>
          <w:lang w:val="en-US" w:eastAsia="zh-CN"/>
        </w:rPr>
      </w:pPr>
    </w:p>
    <w:p w:rsidR="006207E9" w:rsidRDefault="006207E9" w:rsidP="00F00487">
      <w:pPr>
        <w:widowControl w:val="0"/>
        <w:overflowPunct/>
        <w:autoSpaceDE/>
        <w:autoSpaceDN/>
        <w:adjustRightInd/>
        <w:spacing w:after="0"/>
        <w:textAlignment w:val="auto"/>
        <w:rPr>
          <w:rFonts w:eastAsia="宋体"/>
          <w:lang w:val="en-US"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 xml:space="preserve">2: For NTN HPUE scenario, it’s essential to </w:t>
      </w:r>
      <w:r w:rsidR="0070408E">
        <w:rPr>
          <w:rFonts w:eastAsia="宋体"/>
          <w:b/>
          <w:lang w:val="en-US" w:eastAsia="zh-CN"/>
        </w:rPr>
        <w:t>guarantee the SAR compliance from network scheduling without NTN UE output power reduction.</w:t>
      </w:r>
    </w:p>
    <w:p w:rsidR="00117FBE" w:rsidRDefault="00117FBE" w:rsidP="00F00487">
      <w:pPr>
        <w:widowControl w:val="0"/>
        <w:overflowPunct/>
        <w:autoSpaceDE/>
        <w:autoSpaceDN/>
        <w:adjustRightInd/>
        <w:spacing w:after="0"/>
        <w:textAlignment w:val="auto"/>
        <w:rPr>
          <w:rFonts w:eastAsia="宋体"/>
          <w:lang w:val="en-US" w:eastAsia="zh-CN"/>
        </w:rPr>
      </w:pPr>
    </w:p>
    <w:p w:rsidR="009B3708" w:rsidRDefault="009B3708" w:rsidP="00C02CA2">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sidR="0070408E">
        <w:rPr>
          <w:rFonts w:eastAsia="宋体"/>
          <w:b/>
          <w:lang w:val="en-US" w:eastAsia="zh-CN"/>
        </w:rPr>
        <w:t>3</w:t>
      </w:r>
      <w:r>
        <w:rPr>
          <w:rFonts w:eastAsia="宋体"/>
          <w:b/>
          <w:lang w:val="en-US" w:eastAsia="zh-CN"/>
        </w:rPr>
        <w:t xml:space="preserve">: </w:t>
      </w:r>
      <w:r w:rsidR="0070408E">
        <w:rPr>
          <w:rFonts w:eastAsia="宋体"/>
          <w:b/>
          <w:lang w:val="en-US" w:eastAsia="zh-CN"/>
        </w:rPr>
        <w:t>Send RAN1 LS to check</w:t>
      </w:r>
      <w:r w:rsidRPr="009B3708">
        <w:rPr>
          <w:rFonts w:eastAsia="宋体"/>
          <w:b/>
          <w:lang w:val="en-US" w:eastAsia="zh-CN"/>
        </w:rPr>
        <w:t xml:space="preserve"> </w:t>
      </w:r>
      <w:r w:rsidR="0070408E">
        <w:rPr>
          <w:rFonts w:eastAsia="宋体"/>
          <w:b/>
          <w:lang w:val="en-US" w:eastAsia="zh-CN"/>
        </w:rPr>
        <w:t>whether the network sche</w:t>
      </w:r>
      <w:r w:rsidR="00976682">
        <w:rPr>
          <w:rFonts w:eastAsia="宋体"/>
          <w:b/>
          <w:lang w:val="en-US" w:eastAsia="zh-CN"/>
        </w:rPr>
        <w:t xml:space="preserve">duling can be enhanced to guarantee </w:t>
      </w:r>
      <w:r w:rsidR="00976682" w:rsidRPr="00976682">
        <w:rPr>
          <w:rFonts w:eastAsia="宋体"/>
          <w:b/>
          <w:lang w:val="en-US" w:eastAsia="zh-CN"/>
        </w:rPr>
        <w:t>NTN UE</w:t>
      </w:r>
      <w:r w:rsidR="00976682">
        <w:rPr>
          <w:rFonts w:eastAsia="宋体"/>
          <w:b/>
          <w:lang w:val="en-US" w:eastAsia="zh-CN"/>
        </w:rPr>
        <w:t xml:space="preserve"> comply with SAR requirements without </w:t>
      </w:r>
      <w:r w:rsidR="00976682" w:rsidRPr="00976682">
        <w:rPr>
          <w:rFonts w:eastAsia="宋体"/>
          <w:b/>
          <w:lang w:val="en-US" w:eastAsia="zh-CN"/>
        </w:rPr>
        <w:t>NTN UE output power reduction</w:t>
      </w:r>
      <w:r w:rsidR="00976682">
        <w:rPr>
          <w:rFonts w:eastAsia="宋体"/>
          <w:b/>
          <w:lang w:val="en-US" w:eastAsia="zh-CN"/>
        </w:rPr>
        <w:t>.</w:t>
      </w:r>
    </w:p>
    <w:p w:rsidR="00D943AE" w:rsidRDefault="00D943AE" w:rsidP="00F00487">
      <w:pPr>
        <w:widowControl w:val="0"/>
        <w:overflowPunct/>
        <w:autoSpaceDE/>
        <w:autoSpaceDN/>
        <w:adjustRightInd/>
        <w:spacing w:after="0"/>
        <w:textAlignment w:val="auto"/>
        <w:rPr>
          <w:rFonts w:eastAsia="宋体"/>
          <w:lang w:val="en-US" w:eastAsia="zh-CN"/>
        </w:rPr>
      </w:pPr>
    </w:p>
    <w:p w:rsidR="00C82CC0" w:rsidRDefault="00C82CC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F969C9" w:rsidRDefault="00F969C9" w:rsidP="00F969C9">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For NR NTN, only non-handheld UE can support PC1 in Rel-19.</w:t>
      </w:r>
    </w:p>
    <w:p w:rsidR="00F969C9" w:rsidRDefault="00F969C9" w:rsidP="00F969C9">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2</w:t>
      </w:r>
      <w:r w:rsidRPr="00A11224">
        <w:rPr>
          <w:rFonts w:eastAsia="宋体"/>
          <w:b/>
          <w:lang w:val="en-US" w:eastAsia="zh-CN"/>
        </w:rPr>
        <w:t>:</w:t>
      </w:r>
      <w:r>
        <w:rPr>
          <w:rFonts w:eastAsia="宋体"/>
          <w:b/>
          <w:lang w:val="en-US" w:eastAsia="zh-CN"/>
        </w:rPr>
        <w:t xml:space="preserve"> For NR NTN, only non-handheld UE can support PC1.5 in Rel-19.</w:t>
      </w:r>
    </w:p>
    <w:p w:rsidR="00CD57A7" w:rsidRDefault="00CD57A7" w:rsidP="00CD57A7">
      <w:pPr>
        <w:widowControl w:val="0"/>
        <w:overflowPunct/>
        <w:autoSpaceDE/>
        <w:autoSpaceDN/>
        <w:adjustRightInd/>
        <w:spacing w:after="0"/>
        <w:textAlignment w:val="auto"/>
        <w:rPr>
          <w:rFonts w:eastAsia="宋体"/>
          <w:lang w:val="en-US" w:eastAsia="zh-CN"/>
        </w:rPr>
      </w:pPr>
    </w:p>
    <w:p w:rsidR="008119C1" w:rsidRDefault="008119C1" w:rsidP="008119C1">
      <w:pPr>
        <w:widowControl w:val="0"/>
        <w:overflowPunct/>
        <w:autoSpaceDE/>
        <w:autoSpaceDN/>
        <w:adjustRightInd/>
        <w:spacing w:after="0"/>
        <w:textAlignment w:val="auto"/>
        <w:rPr>
          <w:rFonts w:eastAsia="宋体"/>
          <w:b/>
          <w:lang w:val="en-US"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When ACLR requirements are less than 24.5dB for PC2, 27.5dB for PC1.5 and 29.5dB for PC1, current SEM requirements specified in TS 38.101-5 can be relaxed correspondingly.</w:t>
      </w:r>
    </w:p>
    <w:p w:rsidR="00F969C9" w:rsidRDefault="00F969C9" w:rsidP="00CD57A7">
      <w:pPr>
        <w:widowControl w:val="0"/>
        <w:overflowPunct/>
        <w:autoSpaceDE/>
        <w:autoSpaceDN/>
        <w:adjustRightInd/>
        <w:spacing w:after="0"/>
        <w:textAlignment w:val="auto"/>
        <w:rPr>
          <w:rFonts w:eastAsia="宋体"/>
          <w:lang w:val="en-US" w:eastAsia="zh-CN"/>
        </w:rPr>
      </w:pPr>
    </w:p>
    <w:p w:rsidR="008119C1" w:rsidRDefault="008119C1" w:rsidP="00CD57A7">
      <w:pPr>
        <w:widowControl w:val="0"/>
        <w:overflowPunct/>
        <w:autoSpaceDE/>
        <w:autoSpaceDN/>
        <w:adjustRightInd/>
        <w:spacing w:after="0"/>
        <w:textAlignment w:val="auto"/>
        <w:rPr>
          <w:rFonts w:eastAsia="宋体"/>
          <w:lang w:val="en-US" w:eastAsia="zh-CN"/>
        </w:rPr>
      </w:pPr>
    </w:p>
    <w:p w:rsidR="008119C1" w:rsidRDefault="008119C1" w:rsidP="008119C1">
      <w:pPr>
        <w:widowControl w:val="0"/>
        <w:overflowPunct/>
        <w:autoSpaceDE/>
        <w:autoSpaceDN/>
        <w:adjustRightInd/>
        <w:spacing w:after="0"/>
        <w:textAlignment w:val="auto"/>
        <w:rPr>
          <w:rFonts w:eastAsia="宋体"/>
          <w:lang w:val="en-US" w:eastAsia="zh-CN"/>
        </w:rPr>
      </w:pPr>
      <w:r>
        <w:rPr>
          <w:rFonts w:eastAsia="宋体"/>
          <w:b/>
          <w:lang w:val="en-US" w:eastAsia="zh-CN"/>
        </w:rPr>
        <w:t>Observation</w:t>
      </w:r>
      <w:r w:rsidRPr="00A11224">
        <w:rPr>
          <w:rFonts w:eastAsia="宋体"/>
          <w:b/>
          <w:lang w:val="en-US" w:eastAsia="zh-CN"/>
        </w:rPr>
        <w:t xml:space="preserve"> </w:t>
      </w:r>
      <w:r>
        <w:rPr>
          <w:rFonts w:eastAsia="宋体"/>
          <w:b/>
          <w:lang w:val="en-US" w:eastAsia="zh-CN"/>
        </w:rPr>
        <w:t>2: For NTN HPUE scenario, it’s essential to guarantee the SAR compliance from network scheduling without NTN UE output power reduction.</w:t>
      </w:r>
    </w:p>
    <w:p w:rsidR="008119C1" w:rsidRDefault="008119C1" w:rsidP="008119C1">
      <w:pPr>
        <w:widowControl w:val="0"/>
        <w:overflowPunct/>
        <w:autoSpaceDE/>
        <w:autoSpaceDN/>
        <w:adjustRightInd/>
        <w:spacing w:after="0"/>
        <w:textAlignment w:val="auto"/>
        <w:rPr>
          <w:rFonts w:eastAsia="宋体"/>
          <w:lang w:val="en-US" w:eastAsia="zh-CN"/>
        </w:rPr>
      </w:pPr>
    </w:p>
    <w:p w:rsidR="008119C1" w:rsidRDefault="008119C1" w:rsidP="008119C1">
      <w:pPr>
        <w:widowControl w:val="0"/>
        <w:overflowPunct/>
        <w:autoSpaceDE/>
        <w:autoSpaceDN/>
        <w:adjustRightInd/>
        <w:spacing w:after="0"/>
        <w:textAlignment w:val="auto"/>
        <w:rPr>
          <w:rFonts w:eastAsia="宋体"/>
          <w:lang w:val="en-US" w:eastAsia="zh-CN"/>
        </w:rPr>
      </w:pPr>
      <w:r w:rsidRPr="00A11224">
        <w:rPr>
          <w:rFonts w:eastAsia="宋体"/>
          <w:b/>
          <w:lang w:val="en-US" w:eastAsia="zh-CN"/>
        </w:rPr>
        <w:t xml:space="preserve">Proposal </w:t>
      </w:r>
      <w:r>
        <w:rPr>
          <w:rFonts w:eastAsia="宋体"/>
          <w:b/>
          <w:lang w:val="en-US" w:eastAsia="zh-CN"/>
        </w:rPr>
        <w:t>3: Send RAN1 LS to check</w:t>
      </w:r>
      <w:r w:rsidRPr="009B3708">
        <w:rPr>
          <w:rFonts w:eastAsia="宋体"/>
          <w:b/>
          <w:lang w:val="en-US" w:eastAsia="zh-CN"/>
        </w:rPr>
        <w:t xml:space="preserve"> </w:t>
      </w:r>
      <w:r>
        <w:rPr>
          <w:rFonts w:eastAsia="宋体"/>
          <w:b/>
          <w:lang w:val="en-US" w:eastAsia="zh-CN"/>
        </w:rPr>
        <w:t xml:space="preserve">whether the network scheduling can be enhanced to guarantee </w:t>
      </w:r>
      <w:r w:rsidRPr="00976682">
        <w:rPr>
          <w:rFonts w:eastAsia="宋体"/>
          <w:b/>
          <w:lang w:val="en-US" w:eastAsia="zh-CN"/>
        </w:rPr>
        <w:t>NTN UE</w:t>
      </w:r>
      <w:r>
        <w:rPr>
          <w:rFonts w:eastAsia="宋体"/>
          <w:b/>
          <w:lang w:val="en-US" w:eastAsia="zh-CN"/>
        </w:rPr>
        <w:t xml:space="preserve"> comply with SAR requirements without </w:t>
      </w:r>
      <w:r w:rsidRPr="00976682">
        <w:rPr>
          <w:rFonts w:eastAsia="宋体"/>
          <w:b/>
          <w:lang w:val="en-US" w:eastAsia="zh-CN"/>
        </w:rPr>
        <w:t>NTN UE output power reduction</w:t>
      </w:r>
      <w:r>
        <w:rPr>
          <w:rFonts w:eastAsia="宋体"/>
          <w:b/>
          <w:lang w:val="en-US" w:eastAsia="zh-CN"/>
        </w:rPr>
        <w:t>.</w:t>
      </w:r>
    </w:p>
    <w:p w:rsidR="00CD57A7" w:rsidRDefault="00CD57A7"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B755E6" w:rsidP="00B87776">
      <w:pPr>
        <w:overflowPunct/>
        <w:autoSpaceDE/>
        <w:autoSpaceDN/>
        <w:adjustRightInd/>
        <w:textAlignment w:val="auto"/>
        <w:rPr>
          <w:rFonts w:eastAsia="宋体"/>
          <w:lang w:eastAsia="zh-CN"/>
        </w:rPr>
      </w:pPr>
      <w:r>
        <w:rPr>
          <w:rFonts w:eastAsia="宋体"/>
          <w:lang w:eastAsia="zh-CN"/>
        </w:rPr>
        <w:t xml:space="preserve">[1] </w:t>
      </w:r>
      <w:r w:rsidR="00BE4760" w:rsidRPr="00BE4760">
        <w:rPr>
          <w:rFonts w:eastAsia="宋体"/>
          <w:lang w:eastAsia="zh-CN"/>
        </w:rPr>
        <w:t>RP-2408</w:t>
      </w:r>
      <w:r w:rsidR="001611B3">
        <w:rPr>
          <w:rFonts w:eastAsia="宋体"/>
          <w:lang w:eastAsia="zh-CN"/>
        </w:rPr>
        <w:t>57</w:t>
      </w:r>
      <w:r w:rsidR="001C1091">
        <w:rPr>
          <w:rFonts w:eastAsia="宋体"/>
          <w:lang w:eastAsia="zh-CN"/>
        </w:rPr>
        <w:t xml:space="preserve">, </w:t>
      </w:r>
      <w:r w:rsidR="00BE4760" w:rsidRPr="00BE4760">
        <w:rPr>
          <w:rFonts w:eastAsia="宋体"/>
          <w:lang w:eastAsia="zh-CN"/>
        </w:rPr>
        <w:t>New WID: Enhanced requirements and test methodology for NR and IoT NTN</w:t>
      </w:r>
      <w:r w:rsidR="00BE4760">
        <w:rPr>
          <w:rFonts w:eastAsia="宋体"/>
          <w:lang w:eastAsia="zh-CN"/>
        </w:rPr>
        <w:t xml:space="preserve">, </w:t>
      </w:r>
      <w:r w:rsidR="00BE4760" w:rsidRPr="00BE4760">
        <w:rPr>
          <w:rFonts w:eastAsia="宋体"/>
          <w:lang w:eastAsia="zh-CN"/>
        </w:rPr>
        <w:t>RAN4 chair (Huawei)</w:t>
      </w:r>
    </w:p>
    <w:p w:rsidR="008D473E" w:rsidRDefault="00DF3764" w:rsidP="00B8777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8D473E" w:rsidRPr="008D473E">
        <w:rPr>
          <w:rFonts w:eastAsia="宋体"/>
          <w:lang w:eastAsia="zh-CN"/>
        </w:rPr>
        <w:t>R4-2414452</w:t>
      </w:r>
      <w:r w:rsidR="008D473E">
        <w:rPr>
          <w:rFonts w:eastAsia="宋体"/>
          <w:lang w:eastAsia="zh-CN"/>
        </w:rPr>
        <w:t xml:space="preserve">, </w:t>
      </w:r>
      <w:r w:rsidR="008D473E" w:rsidRPr="008D473E">
        <w:rPr>
          <w:rFonts w:eastAsia="宋体"/>
          <w:lang w:eastAsia="zh-CN"/>
        </w:rPr>
        <w:t>WF on UE RF requirements for NTN HPUE</w:t>
      </w:r>
      <w:r w:rsidR="008D473E">
        <w:rPr>
          <w:rFonts w:eastAsia="宋体"/>
          <w:lang w:eastAsia="zh-CN"/>
        </w:rPr>
        <w:t xml:space="preserve">, </w:t>
      </w:r>
      <w:r w:rsidR="008D473E" w:rsidRPr="008D473E">
        <w:rPr>
          <w:rFonts w:eastAsia="宋体"/>
          <w:lang w:eastAsia="zh-CN"/>
        </w:rPr>
        <w:t>Samsung</w:t>
      </w:r>
    </w:p>
    <w:p w:rsidR="00BE4760" w:rsidRDefault="00BE4760" w:rsidP="00B87776">
      <w:pPr>
        <w:overflowPunct/>
        <w:autoSpaceDE/>
        <w:autoSpaceDN/>
        <w:adjustRightInd/>
        <w:textAlignment w:val="auto"/>
        <w:rPr>
          <w:rFonts w:eastAsia="宋体"/>
          <w:lang w:eastAsia="zh-CN"/>
        </w:rPr>
      </w:pPr>
    </w:p>
    <w:p w:rsidR="003204E7" w:rsidRPr="003204E7" w:rsidRDefault="003204E7" w:rsidP="00565571">
      <w:pPr>
        <w:overflowPunct/>
        <w:autoSpaceDE/>
        <w:autoSpaceDN/>
        <w:adjustRightInd/>
        <w:textAlignment w:val="auto"/>
        <w:rPr>
          <w:rFonts w:eastAsia="宋体"/>
          <w:lang w:eastAsia="zh-CN"/>
        </w:rPr>
      </w:pPr>
    </w:p>
    <w:sectPr w:rsidR="003204E7"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702" w:rsidRDefault="00243702">
      <w:r>
        <w:separator/>
      </w:r>
    </w:p>
  </w:endnote>
  <w:endnote w:type="continuationSeparator" w:id="0">
    <w:p w:rsidR="00243702" w:rsidRDefault="0024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740" w:rsidRDefault="00DE574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702" w:rsidRDefault="00243702">
      <w:r>
        <w:separator/>
      </w:r>
    </w:p>
  </w:footnote>
  <w:footnote w:type="continuationSeparator" w:id="0">
    <w:p w:rsidR="00243702" w:rsidRDefault="002437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5"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2"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5"/>
  </w:num>
  <w:num w:numId="3">
    <w:abstractNumId w:val="17"/>
  </w:num>
  <w:num w:numId="4">
    <w:abstractNumId w:val="30"/>
  </w:num>
  <w:num w:numId="5">
    <w:abstractNumId w:val="3"/>
  </w:num>
  <w:num w:numId="6">
    <w:abstractNumId w:val="25"/>
  </w:num>
  <w:num w:numId="7">
    <w:abstractNumId w:val="24"/>
  </w:num>
  <w:num w:numId="8">
    <w:abstractNumId w:val="12"/>
  </w:num>
  <w:num w:numId="9">
    <w:abstractNumId w:val="28"/>
  </w:num>
  <w:num w:numId="10">
    <w:abstractNumId w:val="0"/>
  </w:num>
  <w:num w:numId="11">
    <w:abstractNumId w:val="21"/>
  </w:num>
  <w:num w:numId="12">
    <w:abstractNumId w:val="14"/>
  </w:num>
  <w:num w:numId="13">
    <w:abstractNumId w:val="18"/>
  </w:num>
  <w:num w:numId="14">
    <w:abstractNumId w:val="8"/>
  </w:num>
  <w:num w:numId="15">
    <w:abstractNumId w:val="21"/>
  </w:num>
  <w:num w:numId="16">
    <w:abstractNumId w:val="11"/>
  </w:num>
  <w:num w:numId="17">
    <w:abstractNumId w:val="16"/>
  </w:num>
  <w:num w:numId="18">
    <w:abstractNumId w:val="33"/>
  </w:num>
  <w:num w:numId="19">
    <w:abstractNumId w:val="19"/>
  </w:num>
  <w:num w:numId="20">
    <w:abstractNumId w:val="22"/>
  </w:num>
  <w:num w:numId="21">
    <w:abstractNumId w:val="9"/>
  </w:num>
  <w:num w:numId="22">
    <w:abstractNumId w:val="20"/>
  </w:num>
  <w:num w:numId="23">
    <w:abstractNumId w:val="9"/>
  </w:num>
  <w:num w:numId="24">
    <w:abstractNumId w:val="13"/>
  </w:num>
  <w:num w:numId="25">
    <w:abstractNumId w:val="26"/>
  </w:num>
  <w:num w:numId="26">
    <w:abstractNumId w:val="9"/>
  </w:num>
  <w:num w:numId="27">
    <w:abstractNumId w:val="9"/>
  </w:num>
  <w:num w:numId="28">
    <w:abstractNumId w:val="9"/>
  </w:num>
  <w:num w:numId="29">
    <w:abstractNumId w:val="32"/>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1"/>
  </w:num>
  <w:num w:numId="33">
    <w:abstractNumId w:val="29"/>
  </w:num>
  <w:num w:numId="34">
    <w:abstractNumId w:val="6"/>
  </w:num>
  <w:num w:numId="35">
    <w:abstractNumId w:val="27"/>
  </w:num>
  <w:num w:numId="36">
    <w:abstractNumId w:val="4"/>
  </w:num>
  <w:num w:numId="37">
    <w:abstractNumId w:val="10"/>
  </w:num>
  <w:num w:numId="38">
    <w:abstractNumId w:val="2"/>
  </w:num>
  <w:num w:numId="39">
    <w:abstractNumId w:val="5"/>
  </w:num>
  <w:num w:numId="4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7DA"/>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1B3"/>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451"/>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70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34"/>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AFD"/>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1CA"/>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7E9"/>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08E"/>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292F"/>
    <w:rsid w:val="00974025"/>
    <w:rsid w:val="00974092"/>
    <w:rsid w:val="009742C0"/>
    <w:rsid w:val="00974C8F"/>
    <w:rsid w:val="00976057"/>
    <w:rsid w:val="0097639C"/>
    <w:rsid w:val="00976682"/>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3087"/>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3D4F"/>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2136"/>
    <w:rsid w:val="00F931FC"/>
    <w:rsid w:val="00F94662"/>
    <w:rsid w:val="00F95271"/>
    <w:rsid w:val="00F95382"/>
    <w:rsid w:val="00F9566A"/>
    <w:rsid w:val="00F95CA4"/>
    <w:rsid w:val="00F963C9"/>
    <w:rsid w:val="00F9653D"/>
    <w:rsid w:val="00F969C9"/>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uiPriority w:val="99"/>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0">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UnresolvedMention">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FF9CC-6F70-435C-83B7-29E4A6CC7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34912</TotalTime>
  <Pages>5</Pages>
  <Words>1522</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10182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819</cp:revision>
  <cp:lastPrinted>2010-01-07T02:23:00Z</cp:lastPrinted>
  <dcterms:created xsi:type="dcterms:W3CDTF">2021-02-10T02:54:00Z</dcterms:created>
  <dcterms:modified xsi:type="dcterms:W3CDTF">2024-10-07T08:59:00Z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