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D419" w14:textId="77777777" w:rsidR="00E51C28" w:rsidRDefault="00D04239">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117</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027EF99A" w14:textId="77777777" w:rsidR="00E51C28" w:rsidRDefault="00D0423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41522B3A" w14:textId="77777777" w:rsidR="00E51C28" w:rsidRDefault="00D0423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 w:val="20"/>
          <w:szCs w:val="20"/>
        </w:rPr>
        <w:t xml:space="preserve">In RAN#102 meeting, a study item on 7-24 GHz channel model is initialized as </w:t>
      </w:r>
      <w:r>
        <w:rPr>
          <w:rFonts w:ascii="Times New Roman" w:hAnsi="Times New Roman" w:cs="Times New Roman"/>
          <w:sz w:val="20"/>
          <w:szCs w:val="20"/>
        </w:rPr>
        <w:t>following</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宋体" w:cs="Times New Roman"/>
                <w:i/>
                <w:iCs/>
                <w:szCs w:val="20"/>
              </w:rPr>
            </w:pPr>
            <w:r>
              <w:rPr>
                <w:rFonts w:ascii="Times New Roman" w:eastAsia="宋体" w:hAnsi="Times New Roman" w:cs="Times New Roman"/>
                <w:i/>
                <w:iCs/>
                <w:sz w:val="20"/>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 xml:space="preserve">Note: The validation may consider all existing scenarios: </w:t>
            </w:r>
            <w:proofErr w:type="spellStart"/>
            <w:r>
              <w:rPr>
                <w:rFonts w:ascii="Times New Roman" w:eastAsia="宋体" w:hAnsi="Times New Roman" w:cs="Times New Roman"/>
                <w:i/>
                <w:iCs/>
                <w:sz w:val="20"/>
                <w:szCs w:val="20"/>
                <w:lang w:bidi="ar"/>
              </w:rPr>
              <w:t>UMi</w:t>
            </w:r>
            <w:proofErr w:type="spellEnd"/>
            <w:r>
              <w:rPr>
                <w:rFonts w:ascii="Times New Roman" w:eastAsia="宋体" w:hAnsi="Times New Roman" w:cs="Times New Roman"/>
                <w:i/>
                <w:iCs/>
                <w:sz w:val="20"/>
                <w:szCs w:val="20"/>
                <w:lang w:bidi="ar"/>
              </w:rPr>
              <w:t xml:space="preserve">-street canyon, </w:t>
            </w:r>
            <w:proofErr w:type="spellStart"/>
            <w:r>
              <w:rPr>
                <w:rFonts w:ascii="Times New Roman" w:eastAsia="宋体" w:hAnsi="Times New Roman" w:cs="Times New Roman"/>
                <w:i/>
                <w:iCs/>
                <w:sz w:val="20"/>
                <w:szCs w:val="20"/>
                <w:lang w:bidi="ar"/>
              </w:rPr>
              <w:t>UMa</w:t>
            </w:r>
            <w:proofErr w:type="spellEnd"/>
            <w:r>
              <w:rPr>
                <w:rFonts w:ascii="Times New Roman" w:eastAsia="宋体" w:hAnsi="Times New Roman" w:cs="Times New Roman"/>
                <w:i/>
                <w:iCs/>
                <w:sz w:val="20"/>
                <w:szCs w:val="20"/>
                <w:lang w:bidi="ar"/>
              </w:rPr>
              <w:t xml:space="preserve">, Indoor-Office, </w:t>
            </w:r>
            <w:proofErr w:type="spellStart"/>
            <w:r>
              <w:rPr>
                <w:rFonts w:ascii="Times New Roman" w:eastAsia="宋体" w:hAnsi="Times New Roman" w:cs="Times New Roman"/>
                <w:i/>
                <w:iCs/>
                <w:sz w:val="20"/>
                <w:szCs w:val="20"/>
                <w:lang w:bidi="ar"/>
              </w:rPr>
              <w:t>RMa</w:t>
            </w:r>
            <w:proofErr w:type="spellEnd"/>
            <w:r>
              <w:rPr>
                <w:rFonts w:ascii="Times New Roman" w:eastAsia="宋体" w:hAnsi="Times New Roman" w:cs="Times New Roman"/>
                <w:i/>
                <w:iCs/>
                <w:sz w:val="20"/>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Spatial non-stationarity</w:t>
            </w:r>
          </w:p>
          <w:p w14:paraId="341FDE86" w14:textId="77777777" w:rsidR="00E51C28" w:rsidRDefault="00D04239">
            <w:pPr>
              <w:pStyle w:val="NormalWeb"/>
              <w:snapToGrid w:val="0"/>
              <w:spacing w:before="120" w:beforeAutospacing="0" w:after="120" w:afterAutospacing="0"/>
              <w:rPr>
                <w:rFonts w:eastAsia="宋体" w:cs="Times New Roman"/>
                <w:i/>
                <w:iCs/>
                <w:szCs w:val="20"/>
              </w:rPr>
            </w:pPr>
            <w:r>
              <w:rPr>
                <w:rFonts w:ascii="Times New Roman" w:eastAsia="宋体" w:hAnsi="Times New Roman" w:cs="Times New Roman"/>
                <w:i/>
                <w:iCs/>
                <w:sz w:val="20"/>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宋体" w:cs="Times New Roman"/>
                <w:szCs w:val="20"/>
              </w:rPr>
            </w:pPr>
            <w:r>
              <w:rPr>
                <w:rFonts w:ascii="Times New Roman" w:eastAsia="宋体" w:hAnsi="Times New Roman" w:cs="Times New Roman"/>
                <w:i/>
                <w:iCs/>
                <w:sz w:val="20"/>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 w:val="20"/>
          <w:szCs w:val="20"/>
        </w:rPr>
        <w:t>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D8220FB" w14:textId="77777777" w:rsidR="00E51C28" w:rsidRDefault="00D04239">
      <w:pPr>
        <w:pStyle w:val="ListParagraph"/>
        <w:numPr>
          <w:ilvl w:val="0"/>
          <w:numId w:val="13"/>
        </w:numPr>
      </w:pPr>
      <w:r>
        <w:t>Channel model for Near field propagation</w:t>
      </w:r>
    </w:p>
    <w:p w14:paraId="04382B7B" w14:textId="77777777" w:rsidR="00E51C28" w:rsidRDefault="00D04239">
      <w:pPr>
        <w:pStyle w:val="ListParagraph"/>
        <w:numPr>
          <w:ilvl w:val="0"/>
          <w:numId w:val="13"/>
        </w:numPr>
      </w:pPr>
      <w:r>
        <w:t>Channel model for Spatial non-</w:t>
      </w:r>
      <w:proofErr w:type="spellStart"/>
      <w:r>
        <w:t>stationar</w:t>
      </w:r>
      <w:proofErr w:type="spellEnd"/>
      <w:r>
        <w:rPr>
          <w:rFonts w:eastAsia="宋体" w:hint="eastAsia"/>
          <w:lang w:val="en-US"/>
        </w:rPr>
        <w:t>it</w:t>
      </w:r>
      <w:r>
        <w:t>y</w:t>
      </w:r>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 w:val="20"/>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3652BB30" w14:textId="77777777" w:rsidR="00E51C28" w:rsidRDefault="00D04239">
            <w:pPr>
              <w:spacing w:beforeLines="50" w:before="120" w:afterLines="50" w:after="120"/>
              <w:rPr>
                <w:rFonts w:ascii="Times New Roman" w:eastAsia="等线" w:hAnsi="Times New Roman" w:cs="Times New Roman"/>
                <w:sz w:val="20"/>
                <w:szCs w:val="20"/>
              </w:rPr>
            </w:pPr>
            <w:r>
              <w:rPr>
                <w:rFonts w:ascii="Times New Roman" w:eastAsia="等线" w:hAnsi="Times New Roman" w:cs="Times New Roman"/>
                <w:sz w:val="20"/>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 w:val="20"/>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 w:val="20"/>
          <w:szCs w:val="20"/>
        </w:rPr>
      </w:pPr>
      <w:r>
        <w:rPr>
          <w:rFonts w:ascii="Times New Roman" w:hAnsi="Times New Roman" w:cs="Times New Roman"/>
          <w:sz w:val="20"/>
          <w:szCs w:val="20"/>
        </w:rPr>
        <w:t>It’s aligned with the views from almost all companies. For example,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LGE, Intel, Ericsson, Samsung, vivo, ZTE, Apple, Lenovo, CATT, NVIDIA, MTK, Qualcomm,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w:t>
      </w:r>
      <w:r>
        <w:rPr>
          <w:rFonts w:ascii="Times New Roman" w:hAnsi="Times New Roman" w:cs="Times New Roman"/>
          <w:sz w:val="20"/>
          <w:szCs w:val="20"/>
        </w:rPr>
        <w:lastRenderedPageBreak/>
        <w:t>parameters due to the spherical wavefront propagation.</w:t>
      </w:r>
    </w:p>
    <w:p w14:paraId="589B53D2"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Additionally, [Ericsson] mentions the antenna array gain loss under the planar wavefront and spherical wavefront approximation, and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宋体"/>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Then, the following is proposed:</w:t>
      </w:r>
    </w:p>
    <w:p w14:paraId="1BE6ABB2"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1-1-1:</w:t>
      </w:r>
      <w:r>
        <w:rPr>
          <w:rFonts w:ascii="Times New Roman" w:hAnsi="Times New Roman" w:cs="Times New Roman"/>
          <w:i/>
          <w:iCs/>
          <w:sz w:val="20"/>
          <w:szCs w:val="20"/>
          <w:highlight w:val="yellow"/>
        </w:rPr>
        <w:t xml:space="preserve"> The near-field propagation characteristics (i.e., characteristics of non-plan</w:t>
      </w:r>
      <w:r>
        <w:rPr>
          <w:rFonts w:ascii="Times New Roman" w:hAnsi="Times New Roman" w:cs="Times New Roman" w:hint="eastAsia"/>
          <w:i/>
          <w:iCs/>
          <w:sz w:val="20"/>
          <w:szCs w:val="20"/>
          <w:highlight w:val="yellow"/>
        </w:rPr>
        <w:t>ar</w:t>
      </w:r>
      <w:r>
        <w:rPr>
          <w:rFonts w:ascii="Times New Roman" w:hAnsi="Times New Roman" w:cs="Times New Roman"/>
          <w:i/>
          <w:iCs/>
          <w:sz w:val="20"/>
          <w:szCs w:val="20"/>
          <w:highlight w:val="yellow"/>
        </w:rPr>
        <w:t xml:space="preserve"> wavefront) should be supported for the channel modelling</w:t>
      </w:r>
      <w:r>
        <w:rPr>
          <w:rFonts w:ascii="Times New Roman" w:hAnsi="Times New Roman" w:cs="Times New Roman"/>
          <w:i/>
          <w:iCs/>
          <w:sz w:val="20"/>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 w:val="20"/>
                <w:szCs w:val="24"/>
                <w:highlight w:val="green"/>
              </w:rPr>
              <w:t>Agreement</w:t>
            </w:r>
          </w:p>
          <w:p w14:paraId="3907A1E8" w14:textId="77777777" w:rsidR="00E51C28" w:rsidRDefault="00D04239">
            <w:pPr>
              <w:rPr>
                <w:rFonts w:cs="Times New Roman"/>
                <w:szCs w:val="24"/>
              </w:rPr>
            </w:pPr>
            <w:r>
              <w:rPr>
                <w:rFonts w:ascii="Times New Roman" w:hAnsi="Times New Roman" w:cs="Times New Roman"/>
                <w:sz w:val="20"/>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lastRenderedPageBreak/>
        <w:t>Following detailed values are summarized according to companies</w:t>
      </w:r>
      <w:r>
        <w:rPr>
          <w:rFonts w:eastAsia="宋体"/>
          <w:lang w:val="en-US"/>
        </w:rPr>
        <w:t>’</w:t>
      </w:r>
      <w:r>
        <w:rPr>
          <w:rFonts w:eastAsia="宋体"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宋体"/>
                <w:lang w:val="en-US"/>
              </w:rPr>
            </w:pPr>
            <w:proofErr w:type="spellStart"/>
            <w:r>
              <w:rPr>
                <w:rFonts w:eastAsia="宋体"/>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0.71m,</w:t>
            </w:r>
            <w:r>
              <w:rPr>
                <w:rFonts w:eastAsia="宋体" w:hint="eastAsia"/>
                <w:lang w:val="en-US"/>
              </w:rPr>
              <w:t xml:space="preserve"> </w:t>
            </w:r>
            <w:r>
              <w:rPr>
                <w:rFonts w:eastAsia="宋体"/>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宋体"/>
                <w:lang w:val="en-US"/>
              </w:rPr>
            </w:pPr>
            <w:r>
              <w:rPr>
                <w:color w:val="000000" w:themeColor="text1"/>
                <w:lang w:eastAsia="ko-KR"/>
              </w:rPr>
              <w:t xml:space="preserve">1 m, or less than </w:t>
            </w:r>
            <w:r>
              <w:rPr>
                <w:rFonts w:eastAsia="宋体"/>
                <w:color w:val="000000" w:themeColor="text1"/>
                <w:lang w:val="en-US"/>
              </w:rPr>
              <w:t>3</w:t>
            </w:r>
            <w:r>
              <w:rPr>
                <w:color w:val="000000" w:themeColor="text1"/>
                <w:lang w:eastAsia="ko-KR"/>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宋体"/>
                <w:lang w:val="en-US"/>
                <w:oMath/>
              </w:rPr>
            </w:pPr>
            <w:r>
              <w:rPr>
                <w:rFonts w:eastAsia="宋体"/>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宋体"/>
                <w:bCs w:val="0"/>
                <w:lang w:val="en-US"/>
              </w:rPr>
            </w:pPr>
            <w:r>
              <w:rPr>
                <w:bCs w:val="0"/>
              </w:rPr>
              <w:t>0.5m/10</w:t>
            </w:r>
            <w:r>
              <w:rPr>
                <w:rFonts w:eastAsia="宋体"/>
                <w:bCs w:val="0"/>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宋体"/>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宋体"/>
                <w:lang w:val="en-US"/>
              </w:rPr>
            </w:pPr>
            <w:proofErr w:type="spellStart"/>
            <w:r>
              <w:rPr>
                <w:rFonts w:eastAsia="宋体"/>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宋体"/>
                <w:lang w:val="en-US"/>
              </w:rPr>
            </w:pPr>
            <w:r>
              <w:rPr>
                <w:color w:val="000000" w:themeColor="text1"/>
                <w:lang w:eastAsia="ko-KR"/>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宋体"/>
                <w:i/>
                <w:lang w:val="en-US"/>
              </w:rPr>
            </w:pPr>
            <w:r>
              <w:rPr>
                <w:bCs w:val="0"/>
              </w:rPr>
              <w:t>1m/20</w:t>
            </w:r>
            <w:r>
              <w:rPr>
                <w:rFonts w:eastAsia="宋体"/>
                <w:bCs w:val="0"/>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宋体"/>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宋体"/>
                <w:lang w:val="en-US"/>
              </w:rPr>
            </w:pPr>
            <w:r>
              <w:rPr>
                <w:color w:val="000000" w:themeColor="text1"/>
                <w:lang w:eastAsia="ko-KR"/>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宋体"/>
                <w:lang w:val="en-US"/>
              </w:rPr>
            </w:pPr>
            <w:r>
              <w:rPr>
                <w:rFonts w:eastAsia="宋体"/>
                <w:lang w:val="en-US"/>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宋体"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宋体"/>
                <w:lang w:val="en-US"/>
                <w:oMath/>
              </w:rPr>
            </w:pPr>
            <w:r>
              <w:rPr>
                <w:rFonts w:eastAsia="宋体"/>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宋体"/>
                <w:i/>
                <w:lang w:val="en-US"/>
              </w:rPr>
            </w:pPr>
            <w:r>
              <w:rPr>
                <w:bCs w:val="0"/>
              </w:rPr>
              <w:t>0.5m/10</w:t>
            </w:r>
            <w:r>
              <w:rPr>
                <w:rFonts w:eastAsia="宋体"/>
                <w:bCs w:val="0"/>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宋体"/>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宋体"/>
                <w:lang w:val="en-US"/>
              </w:rPr>
              <w:t>m</w:t>
            </w:r>
          </w:p>
        </w:tc>
      </w:tr>
    </w:tbl>
    <w:p w14:paraId="53D9108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宋体" w:hAnsi="Times New Roman" w:cs="Times New Roman"/>
          <w:i/>
          <w:iCs/>
          <w:sz w:val="20"/>
          <w:szCs w:val="20"/>
        </w:rPr>
        <w:t xml:space="preserve"> λ</w:t>
      </w:r>
      <w:r>
        <w:rPr>
          <w:rFonts w:ascii="Times New Roman" w:hAnsi="Times New Roman" w:cs="Times New Roman"/>
          <w:sz w:val="20"/>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1-2-1:</w:t>
      </w:r>
      <w:r>
        <w:rPr>
          <w:rFonts w:ascii="Times New Roman" w:hAnsi="Times New Roman" w:cs="Times New Roman"/>
          <w:i/>
          <w:iCs/>
          <w:sz w:val="20"/>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宋体"/>
          <w:i/>
          <w:iCs/>
          <w:highlight w:val="yellow"/>
          <w:lang w:val="en-US"/>
        </w:rPr>
        <w:t xml:space="preserve">min(1.414m, </w:t>
      </w:r>
      <m:oMath>
        <m:r>
          <w:rPr>
            <w:rFonts w:ascii="Cambria Math" w:eastAsia="宋体"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宋体"/>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宋体"/>
          <w:i/>
          <w:iCs/>
          <w:highlight w:val="yellow"/>
          <w:lang w:val="en-US"/>
        </w:rPr>
        <w:t xml:space="preserve">min(1.414m, </w:t>
      </w:r>
      <m:oMath>
        <m:r>
          <m:rPr>
            <m:sty m:val="p"/>
          </m:rPr>
          <w:rPr>
            <w:rFonts w:ascii="Cambria Math" w:eastAsia="宋体"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宋体"/>
          <w:i/>
          <w:iCs/>
          <w:highlight w:val="yellow"/>
          <w:lang w:val="en-US"/>
        </w:rPr>
        <w:t xml:space="preserve">min(1m, </w:t>
      </w:r>
      <m:oMath>
        <m:r>
          <m:rPr>
            <m:sty m:val="p"/>
          </m:rPr>
          <w:rPr>
            <w:rFonts w:ascii="Cambria Math" w:eastAsia="宋体"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bl>
    <w:p w14:paraId="020DE022" w14:textId="77777777" w:rsidR="00E51C28" w:rsidRDefault="00E51C28">
      <w:pPr>
        <w:pStyle w:val="ListParagraph"/>
        <w:numPr>
          <w:ilvl w:val="0"/>
          <w:numId w:val="0"/>
        </w:numPr>
        <w:spacing w:beforeLines="0" w:afterLines="0"/>
        <w:rPr>
          <w:rFonts w:eastAsia="宋体"/>
          <w:lang w:val="en-US"/>
        </w:rPr>
      </w:pPr>
    </w:p>
    <w:p w14:paraId="695C3710" w14:textId="77777777" w:rsidR="00E51C28" w:rsidRDefault="00D04239">
      <w:pPr>
        <w:pStyle w:val="ListParagraph"/>
        <w:numPr>
          <w:ilvl w:val="0"/>
          <w:numId w:val="0"/>
        </w:numPr>
        <w:spacing w:beforeLines="0" w:afterLines="0"/>
        <w:rPr>
          <w:rFonts w:eastAsia="宋体"/>
          <w:lang w:val="en-US"/>
        </w:rPr>
      </w:pPr>
      <w:r>
        <w:rPr>
          <w:rFonts w:eastAsia="宋体" w:hint="eastAsia"/>
          <w:lang w:val="en-US"/>
        </w:rPr>
        <w:t xml:space="preserve">Additionally, regarding the </w:t>
      </w:r>
      <w:proofErr w:type="spellStart"/>
      <w:r>
        <w:rPr>
          <w:rFonts w:eastAsia="宋体" w:hint="eastAsia"/>
          <w:lang w:val="en-US"/>
        </w:rPr>
        <w:t>RMa</w:t>
      </w:r>
      <w:proofErr w:type="spellEnd"/>
      <w:r>
        <w:rPr>
          <w:rFonts w:eastAsia="宋体"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宋体"/>
          <w:lang w:val="en-US"/>
        </w:rPr>
        <w:t xml:space="preserve"> [ZTE] </w:t>
      </w:r>
      <w:r>
        <w:rPr>
          <w:rFonts w:eastAsia="宋体" w:hint="eastAsia"/>
          <w:lang w:val="en-US"/>
        </w:rPr>
        <w:t>mentions</w:t>
      </w:r>
      <w:r>
        <w:rPr>
          <w:rFonts w:eastAsia="宋体"/>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lastRenderedPageBreak/>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Intel] propose that the pathloss model may require some modifications and need re-evaluation considering the different distance and phase shifts experienced by the different antenna element pairs, and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Additionally, for the generation of correlated large-scale parameters (e.g., DS, ASD, SF, K),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[MTK] proposes that large-scale fading is influenced by factors such as path loss, shadowing from large obstacles, and the overall propagation scenarios, rather than the intricate phase and amplitude variations seen in the near-field. Therefore, they are not the primary factor in large-scale fading.</w:t>
      </w:r>
    </w:p>
    <w:p w14:paraId="542DB059" w14:textId="77777777" w:rsidR="00E51C28" w:rsidRDefault="00D04239">
      <w:pPr>
        <w:pStyle w:val="ListParagraph"/>
        <w:numPr>
          <w:ilvl w:val="0"/>
          <w:numId w:val="18"/>
        </w:numPr>
      </w:pPr>
      <w:r>
        <w:t xml:space="preserve">[Qualcomm] proposes that a single pathloss/attenuation value is computed based only on UE and </w:t>
      </w:r>
      <w:proofErr w:type="spellStart"/>
      <w:r>
        <w:t>gNB</w:t>
      </w:r>
      <w:proofErr w:type="spellEnd"/>
      <w:r>
        <w:t xml:space="preserve">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pathloss/SF model is to capture the power variation by considering the average power over the relative larger region and longer time duration, e.g., averaged over all antenna elements at Tx/Rx side. So, it’s should not be modelled in element-wise,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 w:val="20"/>
          <w:szCs w:val="20"/>
          <w:highlight w:val="yellow"/>
        </w:rPr>
        <w:t xml:space="preserve">Proposal </w:t>
      </w:r>
      <w:r w:rsidRPr="00645B72">
        <w:rPr>
          <w:rFonts w:ascii="Times New Roman" w:hAnsi="Times New Roman" w:cs="Times New Roman"/>
          <w:b/>
          <w:bCs/>
          <w:i/>
          <w:iCs/>
          <w:sz w:val="20"/>
          <w:szCs w:val="20"/>
          <w:highlight w:val="yellow"/>
        </w:rPr>
        <w:t>1-3-1-1</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 w:val="20"/>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281009F4" w14:textId="77777777">
        <w:trPr>
          <w:trHeight w:val="342"/>
          <w:jc w:val="center"/>
        </w:trPr>
        <w:tc>
          <w:tcPr>
            <w:tcW w:w="1926" w:type="dxa"/>
          </w:tcPr>
          <w:p w14:paraId="4557DE53" w14:textId="77777777" w:rsidR="00E51C28" w:rsidRDefault="00E51C28">
            <w:pPr>
              <w:rPr>
                <w:rFonts w:cs="Times New Roman"/>
                <w:szCs w:val="20"/>
              </w:rPr>
            </w:pPr>
          </w:p>
        </w:tc>
        <w:tc>
          <w:tcPr>
            <w:tcW w:w="6472" w:type="dxa"/>
          </w:tcPr>
          <w:p w14:paraId="56F8F65C" w14:textId="77777777" w:rsidR="00E51C28" w:rsidRDefault="00E51C28">
            <w:pPr>
              <w:rPr>
                <w:rFonts w:cs="Times New Roman"/>
                <w:szCs w:val="20"/>
              </w:rPr>
            </w:pP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 w:val="20"/>
          <w:szCs w:val="20"/>
        </w:rPr>
        <w:t>For this topic</w:t>
      </w:r>
      <w:r>
        <w:rPr>
          <w:rFonts w:ascii="Times New Roman" w:hAnsi="Times New Roman" w:cs="Times New Roman" w:hint="eastAsia"/>
          <w:sz w:val="20"/>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 w:val="20"/>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等线"/>
                <w:szCs w:val="20"/>
                <w:highlight w:val="green"/>
              </w:rPr>
            </w:pPr>
            <w:r>
              <w:rPr>
                <w:rFonts w:ascii="Times New Roman" w:eastAsia="等线" w:hAnsi="Times New Roman"/>
                <w:b/>
                <w:bCs/>
                <w:szCs w:val="20"/>
                <w:highlight w:val="green"/>
              </w:rPr>
              <w:t>Agreement</w:t>
            </w:r>
            <w:r>
              <w:rPr>
                <w:rFonts w:ascii="Times New Roman" w:eastAsia="等线" w:hAnsi="Times New Roman"/>
                <w:szCs w:val="20"/>
                <w:highlight w:val="green"/>
              </w:rPr>
              <w:t xml:space="preserve"> </w:t>
            </w:r>
          </w:p>
          <w:p w14:paraId="733E4FFB" w14:textId="77777777" w:rsidR="00E51C28" w:rsidRDefault="00D04239">
            <w:pPr>
              <w:rPr>
                <w:rFonts w:eastAsia="等线"/>
                <w:sz w:val="20"/>
                <w:szCs w:val="20"/>
              </w:rPr>
            </w:pPr>
            <w:r>
              <w:rPr>
                <w:rFonts w:ascii="Times New Roman" w:eastAsia="等线" w:hAnsi="Times New Roman"/>
                <w:sz w:val="20"/>
                <w:szCs w:val="20"/>
              </w:rPr>
              <w:t xml:space="preserve">For near-field channel, if necessary, to model the following antenna element-wise channel parameters of direct path between </w:t>
            </w:r>
            <w:r>
              <w:rPr>
                <w:rFonts w:ascii="Times New Roman" w:eastAsia="等线" w:hAnsi="Times New Roman"/>
                <w:sz w:val="20"/>
                <w:szCs w:val="20"/>
              </w:rPr>
              <w:lastRenderedPageBreak/>
              <w:t xml:space="preserve">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等线"/>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等线"/>
                <w:sz w:val="20"/>
                <w:szCs w:val="20"/>
              </w:rPr>
            </w:pPr>
            <w:r>
              <w:rPr>
                <w:rFonts w:ascii="Times New Roman" w:eastAsia="等线" w:hAnsi="Times New Roman"/>
                <w:sz w:val="20"/>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等线"/>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 w:val="20"/>
          <w:szCs w:val="20"/>
        </w:rPr>
      </w:pPr>
      <w:r>
        <w:rPr>
          <w:rFonts w:ascii="Times New Roman" w:hAnsi="Times New Roman" w:cs="Times New Roman"/>
          <w:bCs/>
          <w:sz w:val="20"/>
          <w:szCs w:val="20"/>
        </w:rPr>
        <w:lastRenderedPageBreak/>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w:t>
      </w:r>
      <w:proofErr w:type="spellStart"/>
      <w:r>
        <w:rPr>
          <w:rFonts w:ascii="Times New Roman" w:hAnsi="Times New Roman" w:cs="Times New Roman"/>
          <w:bCs/>
          <w:sz w:val="20"/>
          <w:szCs w:val="20"/>
        </w:rPr>
        <w:t>LoS</w:t>
      </w:r>
      <w:proofErr w:type="spellEnd"/>
      <w:r>
        <w:rPr>
          <w:rFonts w:ascii="Times New Roman" w:hAnsi="Times New Roman" w:cs="Times New Roman"/>
          <w:bCs/>
          <w:sz w:val="20"/>
          <w:szCs w:val="20"/>
        </w:rPr>
        <w:t xml:space="preserve"> is assumed as 1, which will be further updated by </w:t>
      </w:r>
      <w:proofErr w:type="spellStart"/>
      <w:r>
        <w:rPr>
          <w:rFonts w:ascii="Times New Roman" w:hAnsi="Times New Roman" w:cs="Times New Roman"/>
          <w:bCs/>
          <w:sz w:val="20"/>
          <w:szCs w:val="20"/>
        </w:rPr>
        <w:t>K_factor</w:t>
      </w:r>
      <w:proofErr w:type="spellEnd"/>
      <w:r>
        <w:rPr>
          <w:rFonts w:ascii="Times New Roman" w:hAnsi="Times New Roman" w:cs="Times New Roman" w:hint="eastAsia"/>
          <w:bCs/>
          <w:sz w:val="20"/>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LGE, Huawei, Intel, Samsung, vivo, ZTE, Apple, BUPT, CMCC, Lenovo, CATT, NVIDIA, </w:t>
      </w:r>
      <w:proofErr w:type="spellStart"/>
      <w:r>
        <w:rPr>
          <w:rFonts w:hint="eastAsia"/>
          <w:lang w:val="en-US"/>
        </w:rPr>
        <w:t>CEWiT</w:t>
      </w:r>
      <w:proofErr w:type="spellEnd"/>
      <w:r>
        <w:rPr>
          <w:rFonts w:hint="eastAsia"/>
          <w:lang w:val="en-US"/>
        </w:rPr>
        <w: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w:t>
      </w:r>
      <w:proofErr w:type="spellStart"/>
      <w:r>
        <w:rPr>
          <w:rFonts w:hint="eastAsia"/>
          <w:lang w:val="en-US"/>
        </w:rPr>
        <w:t>CEWiT</w:t>
      </w:r>
      <w:proofErr w:type="spellEnd"/>
      <w:r>
        <w:rPr>
          <w:rFonts w:hint="eastAsia"/>
          <w:lang w:val="en-US"/>
        </w:rPr>
        <w:t xml:space="preserve">]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xml:space="preserve">, Huawei, Intel, ZTE, vivo, Qualcomm, </w:t>
      </w:r>
      <w:proofErr w:type="spellStart"/>
      <w:r>
        <w:rPr>
          <w:rFonts w:hint="eastAsia"/>
          <w:lang w:val="en-US"/>
        </w:rPr>
        <w:t>CEWiT</w:t>
      </w:r>
      <w:proofErr w:type="spellEnd"/>
      <w:r>
        <w:rPr>
          <w:rFonts w:hint="eastAsia"/>
          <w:lang w:val="en-US"/>
        </w:rPr>
        <w: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宋体" w:hint="eastAsia"/>
          <w:lang w:val="en-US"/>
        </w:rPr>
        <w:t xml:space="preserve">, </w:t>
      </w:r>
      <w:proofErr w:type="spellStart"/>
      <w:r>
        <w:rPr>
          <w:rFonts w:hint="eastAsia"/>
          <w:lang w:val="en-US"/>
        </w:rPr>
        <w:t>CEWiT</w:t>
      </w:r>
      <w:proofErr w:type="spellEnd"/>
      <w:r>
        <w:rPr>
          <w:rFonts w:hint="eastAsia"/>
          <w:lang w:val="en-US"/>
        </w:rPr>
        <w:t xml:space="preserve">, Qualcomm] propose that it can </w:t>
      </w:r>
      <w:r>
        <w:rPr>
          <w:rFonts w:hint="eastAsia"/>
          <w:lang w:val="en-US"/>
        </w:rPr>
        <w:lastRenderedPageBreak/>
        <w:t>be calculated according to the distance between the location of Tx antenna element and Rx antenna element;</w:t>
      </w:r>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 xml:space="preserve">[Huawei, </w:t>
      </w:r>
      <w:proofErr w:type="spellStart"/>
      <w:r>
        <w:rPr>
          <w:rFonts w:hint="eastAsia"/>
          <w:lang w:val="en-US"/>
        </w:rPr>
        <w:t>CEWiT</w:t>
      </w:r>
      <w:proofErr w:type="spellEnd"/>
      <w:r>
        <w:rPr>
          <w:rFonts w:hint="eastAsia"/>
          <w:lang w:val="en-US"/>
        </w:rPr>
        <w: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w:t>
      </w:r>
      <w:proofErr w:type="spellStart"/>
      <w:r>
        <w:rPr>
          <w:rFonts w:hint="eastAsia"/>
          <w:lang w:val="en-US"/>
        </w:rPr>
        <w:t>CEWiT</w:t>
      </w:r>
      <w:proofErr w:type="spellEnd"/>
      <w:r>
        <w:rPr>
          <w:rFonts w:hint="eastAsia"/>
          <w:lang w:val="en-US"/>
        </w:rPr>
        <w:t xml:space="preserve">,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 xml:space="preserve">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antenna arrays, it is suggested that the phase/delay of a ray can be prioritized studied.</w:t>
      </w:r>
    </w:p>
    <w:p w14:paraId="705CBA71"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Moreover, as for how to determine the antenna element-wise parameters, almost all companies [</w:t>
      </w:r>
      <w:proofErr w:type="spellStart"/>
      <w:r>
        <w:rPr>
          <w:rFonts w:ascii="Times New Roman" w:hAnsi="Times New Roman" w:cs="Times New Roman"/>
          <w:bCs/>
          <w:sz w:val="20"/>
          <w:szCs w:val="20"/>
        </w:rPr>
        <w:t>InterDigital</w:t>
      </w:r>
      <w:proofErr w:type="spellEnd"/>
      <w:r>
        <w:rPr>
          <w:rFonts w:ascii="Times New Roman" w:hAnsi="Times New Roman" w:cs="Times New Roman"/>
          <w:bCs/>
          <w:sz w:val="20"/>
          <w:szCs w:val="20"/>
        </w:rPr>
        <w:t xml:space="preserve">, LGE, Huawei, Intel, Samsung, vivo, ZTE, Apple, BUPT, CMCC, Lenovo, NIVIDIA, </w:t>
      </w:r>
      <w:proofErr w:type="spellStart"/>
      <w:r>
        <w:rPr>
          <w:rFonts w:ascii="Times New Roman" w:hAnsi="Times New Roman" w:cs="Times New Roman"/>
          <w:bCs/>
          <w:sz w:val="20"/>
          <w:szCs w:val="20"/>
        </w:rPr>
        <w:t>CEWiT</w:t>
      </w:r>
      <w:proofErr w:type="spellEnd"/>
      <w:r>
        <w:rPr>
          <w:rFonts w:ascii="Times New Roman" w:hAnsi="Times New Roman" w:cs="Times New Roman"/>
          <w:bCs/>
          <w:sz w:val="20"/>
          <w:szCs w:val="20"/>
        </w:rPr>
        <w:t xml:space="preserve">]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宋体"/>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宋体" w:hint="eastAsia"/>
          <w:bCs w:val="0"/>
          <w:lang w:val="en-US"/>
        </w:rPr>
        <w:t xml:space="preserve">following is proposed </w:t>
      </w:r>
      <w:r>
        <w:t>from FL’s perspective</w:t>
      </w:r>
      <w:r>
        <w:rPr>
          <w:rFonts w:eastAsia="宋体" w:hint="eastAsia"/>
          <w:bCs w:val="0"/>
          <w:lang w:val="en-US"/>
        </w:rPr>
        <w:t>:</w:t>
      </w:r>
    </w:p>
    <w:p w14:paraId="5637FE55" w14:textId="77777777" w:rsidR="00E51C28" w:rsidRDefault="00D04239">
      <w:pPr>
        <w:pStyle w:val="ListParagraph"/>
        <w:numPr>
          <w:ilvl w:val="0"/>
          <w:numId w:val="0"/>
        </w:numPr>
        <w:spacing w:beforeLines="0" w:afterLines="0"/>
        <w:rPr>
          <w:rFonts w:eastAsia="宋体"/>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等线"/>
          <w:i/>
          <w:iCs/>
          <w:highlight w:val="yellow"/>
        </w:rPr>
        <w:t>For near-field channel, the following channel parameters of 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 xml:space="preserve">parameter and </w:t>
      </w:r>
      <w:r>
        <w:rPr>
          <w:i/>
          <w:iCs/>
          <w:highlight w:val="yellow"/>
        </w:rPr>
        <w:t xml:space="preserve">determined by the </w:t>
      </w:r>
      <w:r>
        <w:rPr>
          <w:rFonts w:eastAsia="等线"/>
          <w:i/>
          <w:iCs/>
          <w:highlight w:val="yellow"/>
        </w:rPr>
        <w:t xml:space="preserve">antenna </w:t>
      </w:r>
      <w:r>
        <w:rPr>
          <w:i/>
          <w:iCs/>
          <w:highlight w:val="yellow"/>
        </w:rPr>
        <w:t>element locations of both TRP and UE</w:t>
      </w:r>
      <w:r>
        <w:rPr>
          <w:rFonts w:eastAsia="宋体"/>
          <w:i/>
          <w:iCs/>
          <w:highlight w:val="yellow"/>
          <w:lang w:val="en-US"/>
        </w:rPr>
        <w:t>.</w:t>
      </w:r>
    </w:p>
    <w:p w14:paraId="3D24F239" w14:textId="77777777" w:rsidR="00E51C28" w:rsidRDefault="00D04239">
      <w:pPr>
        <w:pStyle w:val="ListParagraph"/>
        <w:numPr>
          <w:ilvl w:val="0"/>
          <w:numId w:val="27"/>
        </w:numPr>
        <w:spacing w:beforeLines="0" w:afterLines="0"/>
        <w:rPr>
          <w:rFonts w:eastAsia="宋体"/>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3BF2493F" w14:textId="77777777">
        <w:trPr>
          <w:trHeight w:val="342"/>
          <w:jc w:val="center"/>
        </w:trPr>
        <w:tc>
          <w:tcPr>
            <w:tcW w:w="1926" w:type="dxa"/>
          </w:tcPr>
          <w:p w14:paraId="724B4D5D" w14:textId="77777777" w:rsidR="00E51C28" w:rsidRDefault="00E51C28">
            <w:pPr>
              <w:spacing w:before="120" w:after="120"/>
              <w:rPr>
                <w:rFonts w:ascii="Times New Roman" w:hAnsi="Times New Roman" w:cs="Times New Roman"/>
                <w:sz w:val="20"/>
                <w:szCs w:val="20"/>
              </w:rPr>
            </w:pPr>
          </w:p>
        </w:tc>
        <w:tc>
          <w:tcPr>
            <w:tcW w:w="6472" w:type="dxa"/>
          </w:tcPr>
          <w:p w14:paraId="4DE3EC6F" w14:textId="77777777" w:rsidR="00E51C28" w:rsidRDefault="00E51C28">
            <w:pPr>
              <w:spacing w:before="120" w:after="120"/>
              <w:rPr>
                <w:rFonts w:ascii="Times New Roman" w:hAnsi="Times New Roman" w:cs="Times New Roman"/>
                <w:sz w:val="20"/>
                <w:szCs w:val="20"/>
              </w:rPr>
            </w:pPr>
          </w:p>
        </w:tc>
      </w:tr>
    </w:tbl>
    <w:p w14:paraId="58F0D771" w14:textId="77777777" w:rsidR="00E51C28" w:rsidRDefault="00E51C28">
      <w:pPr>
        <w:rPr>
          <w:rFonts w:ascii="Times New Roman" w:hAnsi="Times New Roman" w:cs="Times New Roman"/>
          <w:bCs/>
          <w:sz w:val="20"/>
          <w:szCs w:val="20"/>
        </w:rPr>
      </w:pPr>
    </w:p>
    <w:p w14:paraId="2A85F6EC" w14:textId="77777777" w:rsidR="00E51C28" w:rsidRDefault="00D04239">
      <w:pPr>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1-3-2-1-2: </w:t>
      </w:r>
      <w:r>
        <w:rPr>
          <w:rFonts w:ascii="Times New Roman" w:eastAsia="等线" w:hAnsi="Times New Roman" w:cs="Times New Roman"/>
          <w:i/>
          <w:iCs/>
          <w:sz w:val="20"/>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宋体"/>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 w:val="20"/>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 w:val="20"/>
                <w:szCs w:val="20"/>
              </w:rPr>
              <w:t>Comments and Views</w:t>
            </w:r>
          </w:p>
        </w:tc>
      </w:tr>
      <w:tr w:rsidR="00E51C28" w14:paraId="75FE91BC" w14:textId="77777777">
        <w:trPr>
          <w:trHeight w:val="342"/>
          <w:jc w:val="center"/>
        </w:trPr>
        <w:tc>
          <w:tcPr>
            <w:tcW w:w="1926" w:type="dxa"/>
          </w:tcPr>
          <w:p w14:paraId="41ACEAD6" w14:textId="77777777" w:rsidR="00E51C28" w:rsidRDefault="00E51C28">
            <w:pPr>
              <w:spacing w:before="120" w:after="120"/>
              <w:rPr>
                <w:rFonts w:cs="Times New Roman"/>
                <w:szCs w:val="20"/>
              </w:rPr>
            </w:pPr>
          </w:p>
        </w:tc>
        <w:tc>
          <w:tcPr>
            <w:tcW w:w="6472" w:type="dxa"/>
          </w:tcPr>
          <w:p w14:paraId="21B9F527" w14:textId="77777777" w:rsidR="00E51C28" w:rsidRDefault="00E51C28">
            <w:pPr>
              <w:spacing w:before="120" w:after="120"/>
              <w:rPr>
                <w:rFonts w:cs="Times New Roman"/>
                <w:szCs w:val="20"/>
              </w:rPr>
            </w:pP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 w:val="20"/>
          <w:szCs w:val="20"/>
        </w:rPr>
        <w:t>Issue#2: small scale parameters determination of non-direct paths between BS and UE</w:t>
      </w:r>
    </w:p>
    <w:p w14:paraId="0A50F05B"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Regarding which channel parameters are considered to be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BUPT, CMCC, </w:t>
      </w:r>
      <w:proofErr w:type="spellStart"/>
      <w:r>
        <w:rPr>
          <w:rFonts w:hint="eastAsia"/>
          <w:lang w:val="en-US"/>
        </w:rPr>
        <w:t>CEWiT</w:t>
      </w:r>
      <w:proofErr w:type="spellEnd"/>
      <w:r>
        <w:rPr>
          <w:rFonts w:hint="eastAsia"/>
          <w:lang w:val="en-US"/>
        </w:rPr>
        <w: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w:t>
      </w:r>
      <w:proofErr w:type="spellStart"/>
      <w:r>
        <w:rPr>
          <w:rFonts w:hint="eastAsia"/>
          <w:lang w:val="en-US"/>
        </w:rPr>
        <w:t>CEWiT</w:t>
      </w:r>
      <w:proofErr w:type="spellEnd"/>
      <w:r>
        <w:rPr>
          <w:rFonts w:hint="eastAsia"/>
          <w:lang w:val="en-US"/>
        </w:rPr>
        <w:t xml:space="preserve">]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w:t>
      </w:r>
      <w:proofErr w:type="spellStart"/>
      <w:r>
        <w:rPr>
          <w:rFonts w:hint="eastAsia"/>
          <w:lang w:val="en-US"/>
        </w:rPr>
        <w:t>CEWiT</w:t>
      </w:r>
      <w:proofErr w:type="spellEnd"/>
      <w:r>
        <w:rPr>
          <w:rFonts w:hint="eastAsia"/>
          <w:lang w:val="en-US"/>
        </w:rPr>
        <w:t>] propose that no change is needed on initial phase part;</w:t>
      </w:r>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w:t>
      </w:r>
      <w:proofErr w:type="spellStart"/>
      <w:r>
        <w:rPr>
          <w:rFonts w:hint="eastAsia"/>
          <w:lang w:val="en-US"/>
        </w:rPr>
        <w:t>CEWiT</w:t>
      </w:r>
      <w:proofErr w:type="spellEnd"/>
      <w:r>
        <w:rPr>
          <w:rFonts w:hint="eastAsia"/>
          <w:lang w:val="en-US"/>
        </w:rPr>
        <w:t xml:space="preserve">]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w:t>
      </w:r>
      <w:proofErr w:type="spellStart"/>
      <w:r>
        <w:rPr>
          <w:rFonts w:hint="eastAsia"/>
          <w:lang w:val="en-US"/>
        </w:rPr>
        <w:t>CEWiT</w:t>
      </w:r>
      <w:proofErr w:type="spellEnd"/>
      <w:r>
        <w:rPr>
          <w:rFonts w:hint="eastAsia"/>
          <w:lang w:val="en-US"/>
        </w:rPr>
        <w: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And similar as the direct path, [Qualcomm] proposes that </w:t>
      </w:r>
      <w:r>
        <w:rPr>
          <w:rFonts w:ascii="Times New Roman" w:hAnsi="Times New Roman" w:cs="Times New Roman"/>
          <w:bCs/>
          <w:sz w:val="20"/>
          <w:szCs w:val="20"/>
        </w:rPr>
        <w:t xml:space="preserve">different options can be considered based on overall impact on simulation outcomes. And considering the practical deployment scenarios and commercially relevant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antenna arrays, it is suggested that the phase/delay of a ray can be prioritized studied.</w:t>
      </w:r>
    </w:p>
    <w:p w14:paraId="4FD54AC1" w14:textId="77777777" w:rsidR="00E51C28" w:rsidRDefault="00D04239">
      <w:pPr>
        <w:rPr>
          <w:rFonts w:ascii="Times New Roman" w:hAnsi="Times New Roman" w:cs="Times New Roman"/>
          <w:bCs/>
          <w:sz w:val="20"/>
          <w:szCs w:val="20"/>
        </w:rPr>
      </w:pPr>
      <w:r>
        <w:rPr>
          <w:rFonts w:ascii="Times New Roman" w:hAnsi="Times New Roman" w:cs="Times New Roman"/>
          <w:sz w:val="20"/>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w:t>
      </w:r>
      <w:proofErr w:type="spellStart"/>
      <w:r>
        <w:rPr>
          <w:rFonts w:hint="eastAsia"/>
          <w:szCs w:val="24"/>
          <w:lang w:val="en-US"/>
        </w:rPr>
        <w:t>CEWiT</w:t>
      </w:r>
      <w:proofErr w:type="spellEnd"/>
      <w:r>
        <w:rPr>
          <w:rFonts w:hint="eastAsia"/>
          <w:szCs w:val="24"/>
          <w:lang w:val="en-US"/>
        </w:rPr>
        <w:t xml:space="preserve">].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宋体" w:hint="eastAsia"/>
          <w:lang w:val="en-US"/>
        </w:rPr>
        <w:t>InterDigital</w:t>
      </w:r>
      <w:proofErr w:type="spellEnd"/>
      <w:r>
        <w:rPr>
          <w:rFonts w:eastAsia="宋体"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宋体"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宋体" w:hint="eastAsia"/>
        </w:rPr>
        <w:t xml:space="preserve">[Huawei] proposes that the </w:t>
      </w:r>
      <w:r>
        <w:rPr>
          <w:rFonts w:hint="eastAsia"/>
          <w:szCs w:val="24"/>
        </w:rPr>
        <w:t xml:space="preserve">delay and angle of a ray generated according to current 38.901 can be treated as the </w:t>
      </w:r>
      <w:r>
        <w:rPr>
          <w:rFonts w:hint="eastAsia"/>
          <w:szCs w:val="24"/>
        </w:rPr>
        <w:lastRenderedPageBreak/>
        <w:t xml:space="preserve">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宋体" w:hint="eastAsia"/>
        </w:rPr>
        <w:t xml:space="preserve">Intel, Lenovo, CATT, </w:t>
      </w:r>
      <w:proofErr w:type="spellStart"/>
      <w:r>
        <w:rPr>
          <w:rFonts w:hint="eastAsia"/>
        </w:rPr>
        <w:t>CEWiT</w:t>
      </w:r>
      <w:proofErr w:type="spellEnd"/>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宋体"/>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宋体" w:hint="eastAsia"/>
        </w:rPr>
        <w:t>[CEW</w:t>
      </w:r>
      <w:proofErr w:type="spellStart"/>
      <w:r>
        <w:rPr>
          <w:rFonts w:eastAsia="宋体" w:hint="eastAsia"/>
          <w:lang w:val="en-US"/>
        </w:rPr>
        <w:t>i</w:t>
      </w:r>
      <w:proofErr w:type="spellEnd"/>
      <w:r>
        <w:rPr>
          <w:rFonts w:eastAsia="宋体"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宋体" w:hint="eastAsia"/>
          <w:lang w:val="en-US"/>
        </w:rPr>
        <w:t>i</w:t>
      </w:r>
      <w:proofErr w:type="spellEnd"/>
      <w:r>
        <w:rPr>
          <w:rFonts w:eastAsia="宋体" w:hint="eastAsia"/>
        </w:rPr>
        <w:t>T].</w:t>
      </w:r>
    </w:p>
    <w:p w14:paraId="51F54236" w14:textId="77777777" w:rsidR="00E51C28" w:rsidRDefault="00D04239">
      <w:pPr>
        <w:pStyle w:val="ListParagraph"/>
        <w:numPr>
          <w:ilvl w:val="0"/>
          <w:numId w:val="22"/>
        </w:numPr>
      </w:pPr>
      <w:r>
        <w:t>Option-2: The parameter-based approach is used to determine the antenna element-wise channel parameters [ZTE, LGE, MTK]. More specifically, [ZTE, MTK] propose to model the element-wise parameters with considering on the existing spatial consistency procedure of TR 38.901</w:t>
      </w:r>
      <w:r>
        <w:rPr>
          <w:rFonts w:eastAsia="宋体" w:hint="eastAsia"/>
          <w:lang w:val="en-US"/>
        </w:rPr>
        <w:t>,</w:t>
      </w:r>
      <w:r>
        <w:t xml:space="preserve"> or model the variation over the element in statistic way</w:t>
      </w:r>
      <w:r>
        <w:rPr>
          <w:rFonts w:eastAsia="宋体" w:hint="eastAsia"/>
          <w:lang w:val="en-US"/>
        </w:rPr>
        <w:t xml:space="preserve"> [ZTE]</w:t>
      </w:r>
      <w:r>
        <w:t xml:space="preserve">. </w:t>
      </w:r>
      <w:r>
        <w:rPr>
          <w:rFonts w:hint="eastAsia"/>
        </w:rPr>
        <w:t>[</w:t>
      </w:r>
      <w:r>
        <w:t>LG</w:t>
      </w:r>
      <w:r>
        <w:rPr>
          <w:rFonts w:eastAsia="宋体" w:hint="eastAsia"/>
          <w:lang w:val="en-US"/>
        </w:rPr>
        <w:t>E</w:t>
      </w:r>
      <w:r>
        <w:t>] propose</w:t>
      </w:r>
      <w:r>
        <w:rPr>
          <w:rFonts w:eastAsia="宋体"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等线"/>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等线"/>
          <w:i/>
          <w:iCs/>
          <w:highlight w:val="yellow"/>
        </w:rPr>
        <w:t>For near-field channel,</w:t>
      </w:r>
      <w:r>
        <w:rPr>
          <w:rFonts w:eastAsia="等线"/>
          <w:i/>
          <w:iCs/>
          <w:highlight w:val="yellow"/>
          <w:lang w:val="en-US"/>
        </w:rPr>
        <w:t xml:space="preserve"> 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796F28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1C6C9A2" w14:textId="77777777">
        <w:trPr>
          <w:trHeight w:val="342"/>
          <w:jc w:val="center"/>
        </w:trPr>
        <w:tc>
          <w:tcPr>
            <w:tcW w:w="1926" w:type="dxa"/>
          </w:tcPr>
          <w:p w14:paraId="4544A75F" w14:textId="77777777" w:rsidR="00E51C28" w:rsidRDefault="00E51C28">
            <w:pPr>
              <w:rPr>
                <w:rFonts w:ascii="Times New Roman" w:hAnsi="Times New Roman" w:cs="Times New Roman"/>
                <w:sz w:val="20"/>
                <w:szCs w:val="20"/>
              </w:rPr>
            </w:pPr>
          </w:p>
        </w:tc>
        <w:tc>
          <w:tcPr>
            <w:tcW w:w="6472" w:type="dxa"/>
          </w:tcPr>
          <w:p w14:paraId="75D5AFD1" w14:textId="77777777" w:rsidR="00E51C28" w:rsidRDefault="00E51C28">
            <w:pPr>
              <w:rPr>
                <w:rFonts w:ascii="Times New Roman" w:hAnsi="Times New Roman" w:cs="Times New Roman"/>
                <w:sz w:val="20"/>
                <w:szCs w:val="20"/>
              </w:rPr>
            </w:pPr>
          </w:p>
        </w:tc>
      </w:tr>
    </w:tbl>
    <w:p w14:paraId="6232041F" w14:textId="77777777" w:rsidR="00E51C28" w:rsidRDefault="00D04239">
      <w:pPr>
        <w:pStyle w:val="ListParagraph"/>
        <w:numPr>
          <w:ilvl w:val="0"/>
          <w:numId w:val="0"/>
        </w:numPr>
        <w:spacing w:beforeLines="0" w:afterLines="0"/>
        <w:rPr>
          <w:rFonts w:eastAsia="等线"/>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等线"/>
          <w:i/>
          <w:iCs/>
          <w:highlight w:val="yellow"/>
        </w:rPr>
        <w:t>For near-field channel,</w:t>
      </w:r>
      <w:r>
        <w:rPr>
          <w:rFonts w:eastAsia="等线"/>
          <w:i/>
          <w:iCs/>
          <w:highlight w:val="yellow"/>
          <w:lang w:val="en-US"/>
        </w:rPr>
        <w:t xml:space="preserve"> </w:t>
      </w:r>
      <w:r>
        <w:rPr>
          <w:rFonts w:eastAsia="等线"/>
          <w:i/>
          <w:iCs/>
          <w:highlight w:val="yellow"/>
        </w:rPr>
        <w:t xml:space="preserve">following parameters of the non-direct path between TRP and UE </w:t>
      </w:r>
      <w:r>
        <w:rPr>
          <w:rFonts w:eastAsia="等线"/>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59665E5"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665B8B2F" w14:textId="77777777">
        <w:trPr>
          <w:trHeight w:val="342"/>
          <w:jc w:val="center"/>
        </w:trPr>
        <w:tc>
          <w:tcPr>
            <w:tcW w:w="1926" w:type="dxa"/>
          </w:tcPr>
          <w:p w14:paraId="3DFD4156" w14:textId="77777777" w:rsidR="00E51C28" w:rsidRDefault="00E51C28">
            <w:pPr>
              <w:rPr>
                <w:rFonts w:ascii="Times New Roman" w:hAnsi="Times New Roman" w:cs="Times New Roman"/>
                <w:sz w:val="20"/>
                <w:szCs w:val="20"/>
              </w:rPr>
            </w:pPr>
          </w:p>
        </w:tc>
        <w:tc>
          <w:tcPr>
            <w:tcW w:w="6472" w:type="dxa"/>
          </w:tcPr>
          <w:p w14:paraId="37C04673" w14:textId="77777777" w:rsidR="00E51C28" w:rsidRDefault="00E51C28">
            <w:pPr>
              <w:rPr>
                <w:rFonts w:ascii="Times New Roman" w:hAnsi="Times New Roman" w:cs="Times New Roman"/>
                <w:sz w:val="20"/>
                <w:szCs w:val="20"/>
              </w:rPr>
            </w:pPr>
          </w:p>
        </w:tc>
      </w:tr>
    </w:tbl>
    <w:p w14:paraId="60F76902" w14:textId="77777777" w:rsidR="00E51C28" w:rsidRDefault="00D04239">
      <w:pPr>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1-3-2-1-5: </w:t>
      </w:r>
      <w:r>
        <w:rPr>
          <w:rFonts w:ascii="Times New Roman" w:eastAsia="等线"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等线"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宋体"/>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宋体"/>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宋体"/>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宋体"/>
          <w:i/>
          <w:iCs/>
          <w:highlight w:val="yellow"/>
          <w:lang w:val="en-US"/>
        </w:rPr>
        <w:t xml:space="preserve">antenna </w:t>
      </w:r>
      <w:r>
        <w:rPr>
          <w:i/>
          <w:iCs/>
          <w:highlight w:val="yellow"/>
        </w:rPr>
        <w:t>element</w:t>
      </w:r>
      <w:r>
        <w:rPr>
          <w:rFonts w:eastAsia="宋体"/>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785F6F9" w14:textId="77777777">
        <w:trPr>
          <w:trHeight w:val="342"/>
          <w:jc w:val="center"/>
        </w:trPr>
        <w:tc>
          <w:tcPr>
            <w:tcW w:w="1926" w:type="dxa"/>
          </w:tcPr>
          <w:p w14:paraId="35089313" w14:textId="77777777" w:rsidR="00E51C28" w:rsidRDefault="00E51C28">
            <w:pPr>
              <w:rPr>
                <w:rFonts w:cs="Times New Roman"/>
                <w:szCs w:val="20"/>
              </w:rPr>
            </w:pPr>
          </w:p>
        </w:tc>
        <w:tc>
          <w:tcPr>
            <w:tcW w:w="6472" w:type="dxa"/>
          </w:tcPr>
          <w:p w14:paraId="24FF0C42" w14:textId="77777777" w:rsidR="00E51C28" w:rsidRDefault="00E51C28">
            <w:pPr>
              <w:rPr>
                <w:rFonts w:cs="Times New Roman"/>
                <w:szCs w:val="20"/>
              </w:rPr>
            </w:pPr>
          </w:p>
        </w:tc>
      </w:tr>
    </w:tbl>
    <w:p w14:paraId="196094BD" w14:textId="77777777" w:rsidR="00E51C28" w:rsidRDefault="00D04239">
      <w:pPr>
        <w:spacing w:beforeLines="50" w:before="120" w:afterLines="50"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lastRenderedPageBreak/>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w:t>
      </w:r>
      <w:proofErr w:type="spellStart"/>
      <w:r>
        <w:t>CEWiT</w:t>
      </w:r>
      <w:proofErr w:type="spellEnd"/>
      <w:r>
        <w:t>] proposes that the number of strongest clusters, cluster delay offset, ray mapping, power association to rays within a cluster for the near-field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宋体" w:hint="eastAsia"/>
          <w:lang w:val="en-US"/>
        </w:rPr>
        <w:t>n</w:t>
      </w:r>
      <w:r>
        <w:t>ear-</w:t>
      </w:r>
      <w:r>
        <w:rPr>
          <w:rFonts w:eastAsia="宋体"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 w:val="20"/>
                <w:szCs w:val="20"/>
              </w:rPr>
            </w:pPr>
            <w:r>
              <w:rPr>
                <w:rFonts w:ascii="Times New Roman" w:hAnsi="Times New Roman" w:cs="Times New Roman"/>
                <w:b/>
                <w:bCs/>
                <w:sz w:val="20"/>
                <w:szCs w:val="20"/>
                <w:highlight w:val="green"/>
              </w:rPr>
              <w:t>Agreement</w:t>
            </w:r>
          </w:p>
          <w:p w14:paraId="243C14B7" w14:textId="77777777" w:rsidR="00E51C28" w:rsidRDefault="00D0423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 w:val="20"/>
          <w:szCs w:val="20"/>
        </w:rPr>
        <w:t xml:space="preserve">In this meeting, </w:t>
      </w:r>
      <w:r>
        <w:rPr>
          <w:rFonts w:ascii="Times New Roman" w:hAnsi="Times New Roman" w:cs="Times New Roman" w:hint="eastAsia"/>
          <w:sz w:val="20"/>
          <w:szCs w:val="20"/>
        </w:rPr>
        <w:t xml:space="preserve">[Intel, Samsung, Lenovo, ZTE, CATT, vivo, Apple, </w:t>
      </w:r>
      <w:proofErr w:type="spellStart"/>
      <w:r>
        <w:rPr>
          <w:rFonts w:ascii="Times New Roman" w:hAnsi="Times New Roman" w:cs="Times New Roman" w:hint="eastAsia"/>
          <w:sz w:val="20"/>
          <w:szCs w:val="20"/>
        </w:rPr>
        <w:t>CEWiT</w:t>
      </w:r>
      <w:proofErr w:type="spellEnd"/>
      <w:r>
        <w:rPr>
          <w:rFonts w:ascii="Times New Roman" w:hAnsi="Times New Roman" w:cs="Times New Roman" w:hint="eastAsia"/>
          <w:sz w:val="20"/>
          <w:szCs w:val="20"/>
        </w:rPr>
        <w:t xml:space="preserve">, Qualcomm] propose that the near-field region shall be defined using a </w:t>
      </w:r>
      <w:r>
        <w:rPr>
          <w:rFonts w:ascii="Times New Roman" w:hAnsi="Times New Roman" w:cs="Times New Roman"/>
          <w:sz w:val="20"/>
          <w:szCs w:val="20"/>
        </w:rPr>
        <w:t>criterion</w:t>
      </w:r>
      <w:r>
        <w:rPr>
          <w:rFonts w:cs="Times New Roman" w:hint="eastAsia"/>
          <w:sz w:val="20"/>
          <w:szCs w:val="20"/>
        </w:rPr>
        <w:t xml:space="preserve">. </w:t>
      </w:r>
      <w:r>
        <w:rPr>
          <w:rFonts w:ascii="Times New Roman" w:hAnsi="Times New Roman" w:cs="Times New Roman" w:hint="eastAsia"/>
          <w:sz w:val="20"/>
          <w:szCs w:val="20"/>
        </w:rPr>
        <w:t>[Samsung] highlights that whether the near-field region of the BS remains unchanged regardless of the configuration of the actual antenna array being used shall also be discussed</w:t>
      </w:r>
      <w:r>
        <w:rPr>
          <w:rFonts w:cs="Times New Roman" w:hint="eastAsia"/>
          <w:sz w:val="20"/>
          <w:szCs w:val="20"/>
        </w:rPr>
        <w:t xml:space="preserve">, </w:t>
      </w:r>
      <w:r w:rsidRPr="00645B72">
        <w:rPr>
          <w:rFonts w:ascii="Times New Roman" w:hAnsi="Times New Roman" w:cs="Times New Roman"/>
          <w:sz w:val="20"/>
          <w:szCs w:val="20"/>
        </w:rPr>
        <w:t xml:space="preserve">and </w:t>
      </w:r>
      <w:r>
        <w:rPr>
          <w:rFonts w:ascii="Times New Roman" w:hAnsi="Times New Roman" w:cs="Times New Roman" w:hint="eastAsia"/>
          <w:sz w:val="20"/>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 w:val="20"/>
          <w:szCs w:val="20"/>
        </w:rPr>
        <w:t xml:space="preserve"> [CATT]</w:t>
      </w:r>
      <w:r>
        <w:rPr>
          <w:rFonts w:ascii="Times New Roman" w:hAnsi="Times New Roman" w:cs="Times New Roman" w:hint="eastAsia"/>
          <w:sz w:val="20"/>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 w:val="20"/>
          <w:szCs w:val="20"/>
        </w:rPr>
        <w:t xml:space="preserve">Regarding how to define the near-field region, [Intel, Lenovo, CATT, ZTE, Apple,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w:t>
      </w:r>
      <w:r>
        <w:rPr>
          <w:rFonts w:ascii="Times New Roman" w:hAnsi="Times New Roman" w:cs="Times New Roman"/>
          <w:sz w:val="20"/>
          <w:szCs w:val="20"/>
        </w:rPr>
        <w:t>(e.g., phase, amplitude, angle</w:t>
      </w:r>
      <w:r>
        <w:rPr>
          <w:rFonts w:ascii="Times New Roman" w:hAnsi="Times New Roman" w:cs="Times New Roman" w:hint="eastAsia"/>
          <w:sz w:val="20"/>
          <w:szCs w:val="20"/>
        </w:rPr>
        <w:t xml:space="preserve"> error-based</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hint="eastAsia"/>
          <w:bCs/>
          <w:sz w:val="20"/>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 w:val="20"/>
          <w:szCs w:val="20"/>
        </w:rPr>
        <w:t xml:space="preserve">Further, [Lenovo, ZTE] highlight that the boundary determination of near-field region shall not be based on the performance metric of particular technologies,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 w:val="20"/>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 w:val="20"/>
          <w:szCs w:val="20"/>
        </w:rPr>
        <w:t>From FL’s perspective, for the performance metric-based way, the impact on near-field region determination is diverse due to the different performance metric</w:t>
      </w:r>
      <w:r>
        <w:rPr>
          <w:rFonts w:ascii="Times New Roman" w:hAnsi="Times New Roman" w:cs="Times New Roman" w:hint="eastAsia"/>
          <w:sz w:val="20"/>
          <w:szCs w:val="20"/>
        </w:rPr>
        <w:t>s</w:t>
      </w:r>
      <w:r>
        <w:rPr>
          <w:rFonts w:ascii="Times New Roman" w:hAnsi="Times New Roman" w:cs="Times New Roman"/>
          <w:sz w:val="20"/>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 w:val="20"/>
          <w:szCs w:val="20"/>
        </w:rPr>
      </w:pPr>
      <w:r>
        <w:rPr>
          <w:rFonts w:ascii="Times New Roman" w:hAnsi="Times New Roman" w:cs="Times New Roman"/>
          <w:b/>
          <w:bCs/>
          <w:i/>
          <w:iCs/>
          <w:sz w:val="20"/>
          <w:szCs w:val="20"/>
          <w:highlight w:val="yellow"/>
        </w:rPr>
        <w:lastRenderedPageBreak/>
        <w:t>Observation 1-4-1-1:</w:t>
      </w:r>
      <w:r>
        <w:rPr>
          <w:rFonts w:ascii="Times New Roman" w:hAnsi="Times New Roman" w:cs="Times New Roman"/>
          <w:i/>
          <w:iCs/>
          <w:sz w:val="20"/>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bl>
    <w:p w14:paraId="44AB740A"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b/>
          <w:i/>
          <w:iCs/>
          <w:sz w:val="20"/>
          <w:szCs w:val="20"/>
          <w:highlight w:val="yellow"/>
        </w:rPr>
        <w:t>Proposal 1-4-1-1:</w:t>
      </w:r>
      <w:r>
        <w:rPr>
          <w:rFonts w:ascii="Times New Roman" w:hAnsi="Times New Roman" w:cs="Times New Roman"/>
          <w:i/>
          <w:iCs/>
          <w:sz w:val="20"/>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等线"/>
                <w:b/>
                <w:bCs/>
                <w:szCs w:val="20"/>
                <w:highlight w:val="green"/>
              </w:rPr>
            </w:pPr>
            <w:r>
              <w:rPr>
                <w:rFonts w:ascii="Times New Roman" w:eastAsia="等线" w:hAnsi="Times New Roman"/>
                <w:b/>
                <w:bCs/>
                <w:szCs w:val="20"/>
                <w:highlight w:val="green"/>
              </w:rPr>
              <w:t>Agreement</w:t>
            </w:r>
          </w:p>
          <w:p w14:paraId="4F477F1C" w14:textId="77777777" w:rsidR="00E51C28" w:rsidRDefault="00D04239">
            <w:pPr>
              <w:spacing w:before="120"/>
              <w:rPr>
                <w:rFonts w:eastAsia="等线"/>
                <w:sz w:val="20"/>
                <w:szCs w:val="20"/>
              </w:rPr>
            </w:pPr>
            <w:r>
              <w:rPr>
                <w:rFonts w:ascii="Times New Roman" w:eastAsia="等线" w:hAnsi="Times New Roman"/>
                <w:sz w:val="20"/>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 w:val="20"/>
                <w:szCs w:val="20"/>
              </w:rPr>
            </w:pPr>
            <w:r>
              <w:rPr>
                <w:rFonts w:ascii="Times New Roman" w:hAnsi="Times New Roman"/>
                <w:sz w:val="20"/>
                <w:szCs w:val="20"/>
              </w:rPr>
              <w:t>The near-/far-field condition for the direct path may be assessed by using the 3D BS-UE distance.</w:t>
            </w:r>
          </w:p>
          <w:p w14:paraId="409EC6B8" w14:textId="77777777" w:rsidR="00E51C28" w:rsidRDefault="00D04239">
            <w:pPr>
              <w:numPr>
                <w:ilvl w:val="1"/>
                <w:numId w:val="38"/>
              </w:numPr>
              <w:spacing w:before="120"/>
              <w:rPr>
                <w:sz w:val="20"/>
                <w:szCs w:val="20"/>
              </w:rPr>
            </w:pPr>
            <w:r>
              <w:rPr>
                <w:rFonts w:ascii="Times New Roman" w:hAnsi="Times New Roman"/>
                <w:sz w:val="20"/>
                <w:szCs w:val="20"/>
              </w:rPr>
              <w:t>FFS: The determination of near-/far-field condition for the non-direct paths</w:t>
            </w:r>
          </w:p>
          <w:p w14:paraId="263A4E65" w14:textId="77777777" w:rsidR="00E51C28" w:rsidRDefault="00D04239">
            <w:pPr>
              <w:numPr>
                <w:ilvl w:val="0"/>
                <w:numId w:val="38"/>
              </w:numPr>
              <w:spacing w:before="120"/>
              <w:rPr>
                <w:sz w:val="20"/>
                <w:szCs w:val="20"/>
              </w:rPr>
            </w:pPr>
            <w:r>
              <w:rPr>
                <w:rFonts w:ascii="Times New Roman" w:hAnsi="Times New Roman"/>
                <w:sz w:val="20"/>
                <w:szCs w:val="20"/>
              </w:rPr>
              <w:t>Note</w:t>
            </w:r>
            <w:r>
              <w:rPr>
                <w:rFonts w:ascii="Times New Roman" w:eastAsia="等线" w:hAnsi="Times New Roman"/>
                <w:sz w:val="20"/>
                <w:szCs w:val="20"/>
              </w:rPr>
              <w:t>:</w:t>
            </w:r>
            <w:r>
              <w:rPr>
                <w:rFonts w:ascii="Times New Roman" w:hAnsi="Times New Roman"/>
                <w:sz w:val="20"/>
                <w:szCs w:val="20"/>
              </w:rPr>
              <w:t xml:space="preserve"> The direct path is </w:t>
            </w:r>
            <w:r>
              <w:rPr>
                <w:rFonts w:ascii="Times New Roman" w:eastAsia="等线" w:hAnsi="Times New Roman"/>
                <w:sz w:val="20"/>
                <w:szCs w:val="20"/>
              </w:rPr>
              <w:t xml:space="preserve">referring to </w:t>
            </w:r>
            <w:r>
              <w:rPr>
                <w:rFonts w:ascii="Times New Roman" w:hAnsi="Times New Roman"/>
                <w:sz w:val="20"/>
                <w:szCs w:val="20"/>
              </w:rPr>
              <w:t xml:space="preserve">the </w:t>
            </w:r>
            <w:proofErr w:type="spellStart"/>
            <w:r>
              <w:rPr>
                <w:rFonts w:ascii="Times New Roman" w:hAnsi="Times New Roman"/>
                <w:sz w:val="20"/>
                <w:szCs w:val="20"/>
              </w:rPr>
              <w:t>LoS</w:t>
            </w:r>
            <w:proofErr w:type="spellEnd"/>
            <w:r>
              <w:rPr>
                <w:rFonts w:ascii="Times New Roman" w:hAnsi="Times New Roman"/>
                <w:sz w:val="20"/>
                <w:szCs w:val="20"/>
              </w:rPr>
              <w:t xml:space="preserve"> ray in the TR 38.901</w:t>
            </w:r>
            <w:r>
              <w:rPr>
                <w:rFonts w:ascii="Times New Roman" w:eastAsia="等线" w:hAnsi="Times New Roman"/>
                <w:sz w:val="20"/>
                <w:szCs w:val="20"/>
              </w:rPr>
              <w:t xml:space="preserve"> in principle</w:t>
            </w:r>
            <w:r>
              <w:rPr>
                <w:rFonts w:ascii="Times New Roman" w:hAnsi="Times New Roman"/>
                <w:sz w:val="20"/>
                <w:szCs w:val="20"/>
              </w:rPr>
              <w:t>.</w:t>
            </w:r>
          </w:p>
          <w:p w14:paraId="25DE5275" w14:textId="77777777" w:rsidR="00E51C28" w:rsidRDefault="00D04239">
            <w:pPr>
              <w:numPr>
                <w:ilvl w:val="0"/>
                <w:numId w:val="38"/>
              </w:numPr>
              <w:spacing w:before="120"/>
            </w:pPr>
            <w:r>
              <w:rPr>
                <w:rFonts w:ascii="Times New Roman" w:hAnsi="Times New Roman"/>
                <w:sz w:val="20"/>
                <w:szCs w:val="20"/>
              </w:rPr>
              <w:t>Note: The non-direct path</w:t>
            </w:r>
            <w:r>
              <w:rPr>
                <w:rFonts w:ascii="Times New Roman" w:eastAsia="等线" w:hAnsi="Times New Roman"/>
                <w:sz w:val="20"/>
                <w:szCs w:val="20"/>
              </w:rPr>
              <w:t xml:space="preserve">s </w:t>
            </w:r>
            <w:r>
              <w:rPr>
                <w:rFonts w:ascii="Times New Roman" w:hAnsi="Times New Roman"/>
                <w:sz w:val="20"/>
                <w:szCs w:val="20"/>
              </w:rPr>
              <w:t xml:space="preserve">are </w:t>
            </w:r>
            <w:r>
              <w:rPr>
                <w:rFonts w:ascii="Times New Roman" w:eastAsia="等线" w:hAnsi="Times New Roman"/>
                <w:sz w:val="20"/>
                <w:szCs w:val="20"/>
              </w:rPr>
              <w:t xml:space="preserve">referring to </w:t>
            </w:r>
            <w:r>
              <w:rPr>
                <w:rFonts w:ascii="Times New Roman" w:hAnsi="Times New Roman"/>
                <w:sz w:val="20"/>
                <w:szCs w:val="20"/>
              </w:rPr>
              <w:t>the cluster/ray(s</w:t>
            </w:r>
            <w:r>
              <w:rPr>
                <w:rFonts w:ascii="Times New Roman" w:eastAsia="等线" w:hAnsi="Times New Roman"/>
                <w:sz w:val="20"/>
                <w:szCs w:val="20"/>
              </w:rPr>
              <w:t xml:space="preserve">) without including </w:t>
            </w:r>
            <w:proofErr w:type="spellStart"/>
            <w:r>
              <w:rPr>
                <w:rFonts w:ascii="Times New Roman" w:eastAsia="等线" w:hAnsi="Times New Roman"/>
                <w:sz w:val="20"/>
                <w:szCs w:val="20"/>
              </w:rPr>
              <w:t>LoS</w:t>
            </w:r>
            <w:proofErr w:type="spellEnd"/>
            <w:r>
              <w:rPr>
                <w:rFonts w:ascii="Times New Roman" w:eastAsia="等线" w:hAnsi="Times New Roman"/>
                <w:sz w:val="20"/>
                <w:szCs w:val="20"/>
              </w:rPr>
              <w:t xml:space="preserve"> ray </w:t>
            </w:r>
            <w:r>
              <w:rPr>
                <w:rFonts w:ascii="Times New Roman" w:hAnsi="Times New Roman"/>
                <w:sz w:val="20"/>
                <w:szCs w:val="20"/>
              </w:rPr>
              <w:t>in the TR 38.901.</w:t>
            </w:r>
          </w:p>
        </w:tc>
      </w:tr>
    </w:tbl>
    <w:p w14:paraId="018357C5" w14:textId="77777777" w:rsidR="00E51C28" w:rsidRDefault="00D04239">
      <w:pPr>
        <w:spacing w:before="120" w:after="120"/>
        <w:rPr>
          <w:rFonts w:ascii="Times New Roman" w:eastAsia="宋体" w:hAnsi="Times New Roman" w:cs="Times New Roman"/>
          <w:sz w:val="20"/>
          <w:szCs w:val="20"/>
        </w:rPr>
      </w:pPr>
      <w:r>
        <w:rPr>
          <w:rFonts w:ascii="Times New Roman" w:eastAsia="等线" w:hAnsi="Times New Roman" w:cs="Times New Roman"/>
          <w:sz w:val="20"/>
          <w:szCs w:val="20"/>
        </w:rPr>
        <w:t xml:space="preserve">In this meeting, the granularity </w:t>
      </w:r>
      <w:r>
        <w:rPr>
          <w:rFonts w:ascii="Times New Roman" w:eastAsia="宋体" w:hAnsi="Times New Roman" w:cs="Times New Roman"/>
          <w:sz w:val="20"/>
          <w:szCs w:val="20"/>
        </w:rPr>
        <w:t xml:space="preserve">to determine the </w:t>
      </w:r>
      <w:r>
        <w:rPr>
          <w:rFonts w:ascii="Times New Roman" w:eastAsia="等线" w:hAnsi="Times New Roman" w:cs="Times New Roman"/>
          <w:sz w:val="20"/>
          <w:szCs w:val="20"/>
        </w:rPr>
        <w:t>near-/far-field condition</w:t>
      </w:r>
      <w:r>
        <w:rPr>
          <w:rFonts w:ascii="Times New Roman" w:eastAsia="宋体" w:hAnsi="Times New Roman" w:cs="Times New Roman"/>
          <w:sz w:val="20"/>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[Intel] proposes that for determination of near-/far-field condition for the non-direct paths, different granularities, i.e., per TX-cluster and cluster-RX links, one </w:t>
      </w:r>
      <w:r>
        <w:rPr>
          <w:rFonts w:ascii="Times New Roman" w:eastAsia="等线" w:hAnsi="Times New Roman" w:cs="Times New Roman" w:hint="eastAsia"/>
          <w:sz w:val="20"/>
          <w:szCs w:val="20"/>
        </w:rPr>
        <w:t>f</w:t>
      </w:r>
      <w:r>
        <w:rPr>
          <w:rFonts w:ascii="Times New Roman" w:eastAsia="等线" w:hAnsi="Times New Roman" w:cs="Times New Roman"/>
          <w:sz w:val="20"/>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Option-1: Follow the direct path [</w:t>
      </w:r>
      <w:proofErr w:type="spellStart"/>
      <w:r>
        <w:rPr>
          <w:rFonts w:ascii="Times New Roman" w:eastAsia="等线" w:hAnsi="Times New Roman" w:cs="Times New Roman"/>
          <w:sz w:val="20"/>
          <w:szCs w:val="20"/>
        </w:rPr>
        <w:t>CEWiT</w:t>
      </w:r>
      <w:proofErr w:type="spellEnd"/>
      <w:r>
        <w:rPr>
          <w:rFonts w:ascii="Times New Roman" w:eastAsia="等线" w:hAnsi="Times New Roman" w:cs="Times New Roman"/>
          <w:sz w:val="20"/>
          <w:szCs w:val="20"/>
        </w:rPr>
        <w:t>, MTK]</w:t>
      </w:r>
    </w:p>
    <w:p w14:paraId="7DC0DFFF"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 w:val="20"/>
          <w:szCs w:val="20"/>
        </w:rPr>
      </w:pPr>
      <w:r>
        <w:rPr>
          <w:rFonts w:ascii="Times New Roman" w:eastAsia="等线"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16F7F4C9" w14:textId="77777777" w:rsidR="00E51C28" w:rsidRDefault="00D04239">
      <w:pPr>
        <w:rPr>
          <w:rFonts w:ascii="Times New Roman" w:eastAsia="宋体" w:hAnsi="Times New Roman" w:cs="Times New Roman"/>
          <w:sz w:val="20"/>
          <w:szCs w:val="20"/>
        </w:rPr>
      </w:pPr>
      <w:r>
        <w:rPr>
          <w:rFonts w:ascii="Times New Roman" w:eastAsia="宋体" w:hAnsi="Times New Roman" w:cs="Times New Roman"/>
          <w:sz w:val="20"/>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lastRenderedPageBreak/>
        <w:t>Proposal 1-4-2-1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E75C13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20486E13" w14:textId="3C606AEF" w:rsidR="00E51C28" w:rsidRDefault="00ED023A">
            <w:pPr>
              <w:rPr>
                <w:rFonts w:ascii="Times New Roman" w:hAnsi="Times New Roman" w:cs="Times New Roman"/>
                <w:sz w:val="20"/>
                <w:szCs w:val="20"/>
              </w:rPr>
            </w:pPr>
            <w:r>
              <w:rPr>
                <w:rFonts w:ascii="Times New Roman" w:hAnsi="Times New Roman" w:cs="Times New Roman"/>
                <w:sz w:val="20"/>
                <w:szCs w:val="20"/>
              </w:rPr>
              <w:t>OK</w:t>
            </w:r>
          </w:p>
        </w:tc>
      </w:tr>
    </w:tbl>
    <w:p w14:paraId="22A354A7" w14:textId="77777777" w:rsidR="00E51C28" w:rsidRDefault="00D04239">
      <w:pPr>
        <w:spacing w:before="120" w:after="120"/>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Proposal 1-</w:t>
      </w:r>
      <w:r>
        <w:rPr>
          <w:rFonts w:ascii="Times New Roman" w:hAnsi="Times New Roman" w:cs="Times New Roman" w:hint="eastAsia"/>
          <w:b/>
          <w:bCs/>
          <w:i/>
          <w:iCs/>
          <w:sz w:val="20"/>
          <w:szCs w:val="20"/>
          <w:highlight w:val="yellow"/>
        </w:rPr>
        <w:t>4-2-1</w:t>
      </w:r>
      <w:r>
        <w:rPr>
          <w:rFonts w:ascii="Times New Roman" w:hAnsi="Times New Roman" w:cs="Times New Roman"/>
          <w:b/>
          <w:bCs/>
          <w:i/>
          <w:iCs/>
          <w:sz w:val="20"/>
          <w:szCs w:val="20"/>
          <w:highlight w:val="yellow"/>
        </w:rPr>
        <w:t>-2:</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D1DC89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2D2E09F2" w14:textId="5442F2B1" w:rsidR="00E51C28" w:rsidRDefault="00ED023A">
            <w:pPr>
              <w:rPr>
                <w:rFonts w:ascii="Times New Roman" w:hAnsi="Times New Roman" w:cs="Times New Roman"/>
                <w:sz w:val="20"/>
                <w:szCs w:val="20"/>
              </w:rPr>
            </w:pPr>
            <w:r>
              <w:rPr>
                <w:rFonts w:ascii="Times New Roman" w:hAnsi="Times New Roman" w:cs="Times New Roman"/>
                <w:sz w:val="20"/>
                <w:szCs w:val="20"/>
              </w:rPr>
              <w:t>OK</w:t>
            </w:r>
          </w:p>
        </w:tc>
      </w:tr>
    </w:tbl>
    <w:p w14:paraId="6F84610A" w14:textId="77777777" w:rsidR="00E51C28" w:rsidRDefault="00E51C28">
      <w:pPr>
        <w:tabs>
          <w:tab w:val="left" w:pos="576"/>
        </w:tabs>
        <w:spacing w:before="120" w:after="60"/>
        <w:rPr>
          <w:rFonts w:ascii="Times New Roman" w:hAnsi="Times New Roman" w:cs="Times New Roman"/>
          <w:b/>
          <w:sz w:val="20"/>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等线"/>
          <w:szCs w:val="20"/>
        </w:rPr>
      </w:pPr>
      <w:r>
        <w:rPr>
          <w:rFonts w:ascii="Times New Roman" w:eastAsia="等线" w:hAnsi="Times New Roman" w:hint="eastAsia"/>
          <w:sz w:val="20"/>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等线"/>
                <w:sz w:val="20"/>
                <w:szCs w:val="20"/>
                <w:highlight w:val="green"/>
              </w:rPr>
            </w:pPr>
            <w:r>
              <w:rPr>
                <w:rFonts w:ascii="Times New Roman" w:eastAsia="等线" w:hAnsi="Times New Roman"/>
                <w:sz w:val="20"/>
                <w:szCs w:val="20"/>
                <w:highlight w:val="green"/>
              </w:rPr>
              <w:t>Agreement</w:t>
            </w:r>
          </w:p>
          <w:p w14:paraId="0E5BAC3B" w14:textId="77777777" w:rsidR="00E51C28" w:rsidRDefault="00D04239">
            <w:pPr>
              <w:rPr>
                <w:rFonts w:eastAsia="等线"/>
                <w:sz w:val="20"/>
                <w:szCs w:val="20"/>
              </w:rPr>
            </w:pPr>
            <w:r>
              <w:rPr>
                <w:rFonts w:ascii="Times New Roman" w:eastAsia="等线"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等线"/>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 w:val="20"/>
          <w:szCs w:val="20"/>
        </w:rPr>
      </w:pPr>
      <w:r>
        <w:rPr>
          <w:rFonts w:ascii="Times New Roman" w:eastAsia="等线" w:hAnsi="Times New Roman" w:cs="Times New Roman"/>
          <w:sz w:val="20"/>
          <w:szCs w:val="20"/>
        </w:rPr>
        <w:t>In this meeting, regarding whether the same or different implementations are used for near-field and far-field channel realization, [</w:t>
      </w:r>
      <w:proofErr w:type="spellStart"/>
      <w:r>
        <w:rPr>
          <w:rFonts w:ascii="Times New Roman" w:eastAsia="等线" w:hAnsi="Times New Roman" w:cs="Times New Roman"/>
          <w:sz w:val="20"/>
          <w:szCs w:val="20"/>
        </w:rPr>
        <w:t>InterDigital</w:t>
      </w:r>
      <w:proofErr w:type="spellEnd"/>
      <w:r>
        <w:rPr>
          <w:rFonts w:ascii="Times New Roman" w:eastAsia="等线" w:hAnsi="Times New Roman" w:cs="Times New Roman"/>
          <w:sz w:val="20"/>
          <w:szCs w:val="20"/>
        </w:rPr>
        <w:t xml:space="preserve">, vivo, MTK] propose that the same implementation </w:t>
      </w:r>
      <w:r>
        <w:rPr>
          <w:rFonts w:ascii="Times New Roman" w:hAnsi="Times New Roman" w:cs="Times New Roman"/>
          <w:sz w:val="20"/>
          <w:szCs w:val="20"/>
        </w:rPr>
        <w:t xml:space="preserve">are used to ensure the consistency, while </w:t>
      </w:r>
      <w:r>
        <w:rPr>
          <w:rFonts w:ascii="Times New Roman" w:eastAsia="等线" w:hAnsi="Times New Roman" w:cs="Times New Roman"/>
          <w:sz w:val="20"/>
          <w:szCs w:val="20"/>
        </w:rPr>
        <w:t xml:space="preserve">[Huawei, Intel, ZTE, CATT, </w:t>
      </w:r>
      <w:proofErr w:type="spellStart"/>
      <w:r>
        <w:rPr>
          <w:rFonts w:ascii="Times New Roman" w:eastAsia="等线" w:hAnsi="Times New Roman" w:cs="Times New Roman"/>
          <w:sz w:val="20"/>
          <w:szCs w:val="20"/>
        </w:rPr>
        <w:t>CEWiT</w:t>
      </w:r>
      <w:proofErr w:type="spellEnd"/>
      <w:r>
        <w:rPr>
          <w:rFonts w:ascii="Times New Roman" w:eastAsia="等线" w:hAnsi="Times New Roman" w:cs="Times New Roman"/>
          <w:sz w:val="20"/>
          <w:szCs w:val="20"/>
        </w:rPr>
        <w:t>] propose that different implementation</w:t>
      </w:r>
      <w:r>
        <w:rPr>
          <w:rFonts w:ascii="Times New Roman" w:eastAsia="等线" w:hAnsi="Times New Roman" w:cs="Times New Roman" w:hint="eastAsia"/>
          <w:sz w:val="20"/>
          <w:szCs w:val="20"/>
        </w:rPr>
        <w:t>s</w:t>
      </w:r>
      <w:r>
        <w:rPr>
          <w:rFonts w:ascii="Times New Roman" w:eastAsia="等线" w:hAnsi="Times New Roman" w:cs="Times New Roman"/>
          <w:sz w:val="20"/>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proposes that the independent modelling of Tx-scatter and </w:t>
      </w:r>
      <w:r>
        <w:rPr>
          <w:rFonts w:ascii="Times New Roman" w:hAnsi="Times New Roman" w:cs="Times New Roman" w:hint="eastAsia"/>
          <w:sz w:val="20"/>
          <w:szCs w:val="20"/>
        </w:rPr>
        <w:t>s</w:t>
      </w:r>
      <w:r>
        <w:rPr>
          <w:rFonts w:ascii="Times New Roman" w:hAnsi="Times New Roman" w:cs="Times New Roman"/>
          <w:sz w:val="20"/>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Besides, [Ericsson] proposes that whether spherical wavefront incidence and/or spatial non-stationarity should be modeled on the UE side shall also be studied. While [Qualcomm] proposes that only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-cluster link of a NLOS path is modeled using spherical wavefront.</w:t>
      </w:r>
    </w:p>
    <w:p w14:paraId="1C6E0C85"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b/>
          <w:bCs/>
          <w:i/>
          <w:iCs/>
          <w:sz w:val="20"/>
          <w:szCs w:val="20"/>
          <w:highlight w:val="yellow"/>
        </w:rPr>
        <w:t>Proposal 1-4-3-1:</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D</w:t>
      </w:r>
      <w:r>
        <w:rPr>
          <w:rFonts w:ascii="Times New Roman" w:hAnsi="Times New Roman" w:cs="Times New Roman"/>
          <w:i/>
          <w:iCs/>
          <w:sz w:val="20"/>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7777777" w:rsidR="00E51C28" w:rsidRDefault="00E51C28">
            <w:pPr>
              <w:rPr>
                <w:rFonts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34394C" w14:textId="77777777">
        <w:trPr>
          <w:trHeight w:val="342"/>
          <w:jc w:val="center"/>
        </w:trPr>
        <w:tc>
          <w:tcPr>
            <w:tcW w:w="1926" w:type="dxa"/>
          </w:tcPr>
          <w:p w14:paraId="0524015D" w14:textId="77777777" w:rsidR="00E51C28" w:rsidRDefault="00E51C28">
            <w:pPr>
              <w:rPr>
                <w:rFonts w:cs="Times New Roman"/>
                <w:szCs w:val="20"/>
              </w:rPr>
            </w:pPr>
          </w:p>
        </w:tc>
        <w:tc>
          <w:tcPr>
            <w:tcW w:w="6472" w:type="dxa"/>
          </w:tcPr>
          <w:p w14:paraId="515501D5" w14:textId="77777777" w:rsidR="00E51C28" w:rsidRDefault="00E51C28">
            <w:pPr>
              <w:rPr>
                <w:rFonts w:cs="Times New Roman"/>
                <w:szCs w:val="20"/>
              </w:rPr>
            </w:pP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宋体"/>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with regard to max(Pm)-Pm</w:t>
      </w:r>
      <w:r>
        <w:rPr>
          <w:rFonts w:hint="eastAsia"/>
          <w:lang w:val="en-US"/>
        </w:rPr>
        <w:t>.</w:t>
      </w:r>
    </w:p>
    <w:p w14:paraId="0A8F77E4" w14:textId="77777777" w:rsidR="00E51C28" w:rsidRDefault="00D04239">
      <w:pPr>
        <w:pStyle w:val="ListParagraph"/>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element-wise with RT simulation due to a blocker between </w:t>
      </w:r>
      <w:proofErr w:type="spellStart"/>
      <w:r>
        <w:rPr>
          <w:lang w:val="en-US"/>
        </w:rPr>
        <w:t>gNB</w:t>
      </w:r>
      <w:proofErr w:type="spellEnd"/>
      <w:r>
        <w:rPr>
          <w:lang w:val="en-US"/>
        </w:rPr>
        <w:t xml:space="preserve">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In addition, [Nokia] also conducts measurement under the assumption of realistic smartphone antenna pattern, it can be seen that the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5559D5F5"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2-1-1:</w:t>
      </w:r>
      <w:r>
        <w:rPr>
          <w:rFonts w:ascii="Times New Roman" w:hAnsi="Times New Roman" w:cs="Times New Roman"/>
          <w:i/>
          <w:iCs/>
          <w:sz w:val="20"/>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 w:val="20"/>
          <w:szCs w:val="20"/>
        </w:rPr>
        <w:t>.</w:t>
      </w:r>
    </w:p>
    <w:p w14:paraId="727204A6"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809BA1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 w:val="20"/>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 w:val="20"/>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 w:val="20"/>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 w:val="20"/>
                <w:szCs w:val="20"/>
              </w:rPr>
              <w:t>Support</w:t>
            </w:r>
            <w:r>
              <w:rPr>
                <w:rFonts w:ascii="Times New Roman" w:hAnsi="Times New Roman" w:cs="Times New Roman" w:hint="eastAsia"/>
                <w:sz w:val="20"/>
                <w:szCs w:val="20"/>
              </w:rPr>
              <w:t xml:space="preserve"> to model the spatial non-stationarity at BS side. The </w:t>
            </w:r>
            <w:r w:rsidRPr="00C70C5C">
              <w:rPr>
                <w:rFonts w:ascii="Times New Roman" w:hAnsi="Times New Roman" w:cs="Times New Roman"/>
                <w:sz w:val="20"/>
                <w:szCs w:val="20"/>
              </w:rPr>
              <w:t>necessity</w:t>
            </w:r>
            <w:r w:rsidRPr="00C70C5C">
              <w:rPr>
                <w:rFonts w:ascii="Times New Roman" w:hAnsi="Times New Roman" w:cs="Times New Roman" w:hint="eastAsia"/>
                <w:sz w:val="20"/>
                <w:szCs w:val="20"/>
              </w:rPr>
              <w:t xml:space="preserve"> </w:t>
            </w:r>
            <w:r>
              <w:rPr>
                <w:rFonts w:ascii="Times New Roman" w:hAnsi="Times New Roman" w:cs="Times New Roman" w:hint="eastAsia"/>
                <w:sz w:val="20"/>
                <w:szCs w:val="20"/>
              </w:rPr>
              <w:t>of spatial non-stationarity at UE side needs further study.</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lastRenderedPageBreak/>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contributions, [Huawei, Intel, ZTE, Apple, CATT, Qualcomm,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 xml:space="preserve">Option 1: Reduced power [Huawei, Apple, Qualcomm, </w:t>
      </w:r>
      <w:proofErr w:type="spellStart"/>
      <w:r>
        <w:rPr>
          <w:lang w:val="en-US"/>
        </w:rPr>
        <w:t>CEWiT</w:t>
      </w:r>
      <w:proofErr w:type="spellEnd"/>
      <w:r>
        <w:rPr>
          <w:lang w:val="en-US"/>
        </w:rPr>
        <w: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near-field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w:t>
      </w:r>
      <w:proofErr w:type="spellStart"/>
      <w:r>
        <w:rPr>
          <w:lang w:val="en-US"/>
        </w:rPr>
        <w:t>CEWiT</w:t>
      </w:r>
      <w:proofErr w:type="spellEnd"/>
      <w:r>
        <w:rPr>
          <w:lang w:val="en-US"/>
        </w:rPr>
        <w:t xml:space="preserve">]: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it can be seen that the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Additionally, [Intel] highlights that large-scale properties such as pathloss, shadowing, LOS/NLOS state and other may also vary between antenna elements of a relatively large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antenna on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-UE link, 2D spatial random correlated process may be applied to LOS/NLOS state and shadowing per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-UE antenna element pair if these large-scale parameters are considered for non-stationarity modeling.</w:t>
      </w:r>
    </w:p>
    <w:p w14:paraId="0DB81E9E"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2-2-1:</w:t>
      </w:r>
      <w:r>
        <w:rPr>
          <w:rFonts w:ascii="Times New Roman" w:hAnsi="Times New Roman" w:cs="Times New Roman"/>
          <w:i/>
          <w:iCs/>
          <w:sz w:val="20"/>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 w:val="20"/>
                <w:szCs w:val="20"/>
              </w:rPr>
            </w:pPr>
            <w:r>
              <w:rPr>
                <w:rFonts w:ascii="Times New Roman" w:hAnsi="Times New Roman" w:cs="Times New Roman"/>
                <w:sz w:val="20"/>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 w:val="20"/>
                <w:szCs w:val="20"/>
              </w:rPr>
            </w:pPr>
            <w:r w:rsidRPr="005B372B">
              <w:rPr>
                <w:rFonts w:ascii="Times New Roman" w:hAnsi="Times New Roman" w:cs="Times New Roman"/>
                <w:i/>
                <w:iCs/>
                <w:sz w:val="20"/>
                <w:szCs w:val="20"/>
              </w:rPr>
              <w:t>Support with one small change:</w:t>
            </w:r>
            <w:r w:rsidR="00F5410D" w:rsidRPr="005B372B">
              <w:rPr>
                <w:rFonts w:ascii="Times New Roman" w:hAnsi="Times New Roman" w:cs="Times New Roman"/>
                <w:i/>
                <w:iCs/>
                <w:sz w:val="20"/>
                <w:szCs w:val="20"/>
              </w:rPr>
              <w:t xml:space="preserve"> </w:t>
            </w:r>
            <w:r>
              <w:rPr>
                <w:rFonts w:ascii="Times New Roman" w:hAnsi="Times New Roman" w:cs="Times New Roman"/>
                <w:i/>
                <w:iCs/>
                <w:sz w:val="20"/>
                <w:szCs w:val="20"/>
              </w:rPr>
              <w:t>“</w:t>
            </w:r>
            <w:r w:rsidR="00F5410D" w:rsidRPr="005B372B">
              <w:rPr>
                <w:rFonts w:ascii="Times New Roman" w:hAnsi="Times New Roman" w:cs="Times New Roman"/>
                <w:i/>
                <w:iCs/>
                <w:sz w:val="20"/>
                <w:szCs w:val="20"/>
              </w:rPr>
              <w:t xml:space="preserve">For the modelling of spatial non-stationary </w:t>
            </w:r>
            <w:r w:rsidR="00F5410D" w:rsidRPr="005B372B">
              <w:rPr>
                <w:rFonts w:ascii="Times New Roman" w:hAnsi="Times New Roman" w:cs="Times New Roman"/>
                <w:i/>
                <w:iCs/>
                <w:color w:val="FF0000"/>
                <w:sz w:val="20"/>
                <w:szCs w:val="20"/>
              </w:rPr>
              <w:t>caused by blockage</w:t>
            </w:r>
            <w:r w:rsidR="00F5410D" w:rsidRPr="005B372B">
              <w:rPr>
                <w:rFonts w:ascii="Times New Roman" w:hAnsi="Times New Roman" w:cs="Times New Roman"/>
                <w:i/>
                <w:iCs/>
                <w:sz w:val="20"/>
                <w:szCs w:val="20"/>
              </w:rPr>
              <w:t>, the reduction of power for the impacted ray/cluster within the element-pair link should be modelled.</w:t>
            </w:r>
            <w:r>
              <w:rPr>
                <w:rFonts w:ascii="Times New Roman" w:hAnsi="Times New Roman" w:cs="Times New Roman"/>
                <w:i/>
                <w:iCs/>
                <w:sz w:val="20"/>
                <w:szCs w:val="20"/>
              </w:rPr>
              <w:t>”</w:t>
            </w:r>
          </w:p>
          <w:p w14:paraId="5B351AAD" w14:textId="7119992B" w:rsidR="00E51C28" w:rsidRDefault="00E51C28">
            <w:pPr>
              <w:spacing w:before="120" w:line="280" w:lineRule="atLeast"/>
              <w:rPr>
                <w:rFonts w:ascii="Times New Roman" w:hAnsi="Times New Roman" w:cs="Times New Roman"/>
                <w:sz w:val="20"/>
                <w:szCs w:val="20"/>
              </w:rPr>
            </w:pPr>
          </w:p>
          <w:p w14:paraId="0B882B01" w14:textId="77777777" w:rsidR="005B372B" w:rsidRDefault="005B372B">
            <w:pPr>
              <w:spacing w:before="120" w:line="280" w:lineRule="atLeast"/>
              <w:rPr>
                <w:rFonts w:ascii="Times New Roman" w:hAnsi="Times New Roman" w:cs="Times New Roman"/>
                <w:sz w:val="20"/>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 w:val="20"/>
                <w:szCs w:val="20"/>
              </w:rPr>
            </w:pPr>
            <w:r>
              <w:rPr>
                <w:rFonts w:ascii="Times New Roman" w:hAnsi="Times New Roman" w:cs="Times New Roman" w:hint="eastAsia"/>
                <w:sz w:val="20"/>
                <w:szCs w:val="20"/>
              </w:rPr>
              <w:lastRenderedPageBreak/>
              <w:t>CATT</w:t>
            </w:r>
          </w:p>
        </w:tc>
        <w:tc>
          <w:tcPr>
            <w:tcW w:w="6472" w:type="dxa"/>
          </w:tcPr>
          <w:p w14:paraId="0177E52A" w14:textId="6714BDBE" w:rsidR="00ED023A" w:rsidRDefault="00ED023A" w:rsidP="00ED023A">
            <w:pPr>
              <w:spacing w:before="120" w:line="280" w:lineRule="atLeast"/>
              <w:rPr>
                <w:rFonts w:ascii="Times New Roman" w:hAnsi="Times New Roman" w:cs="Times New Roman"/>
                <w:sz w:val="20"/>
                <w:szCs w:val="20"/>
              </w:rPr>
            </w:pPr>
            <w:r>
              <w:rPr>
                <w:rFonts w:ascii="Times New Roman" w:hAnsi="Times New Roman" w:cs="Times New Roman"/>
                <w:sz w:val="20"/>
                <w:szCs w:val="20"/>
              </w:rPr>
              <w:t>Support</w:t>
            </w:r>
            <w:r>
              <w:rPr>
                <w:rFonts w:ascii="Times New Roman" w:hAnsi="Times New Roman" w:cs="Times New Roman" w:hint="eastAsia"/>
                <w:sz w:val="20"/>
                <w:szCs w:val="20"/>
              </w:rPr>
              <w:t xml:space="preserve">.  </w:t>
            </w:r>
          </w:p>
        </w:tc>
      </w:tr>
      <w:tr w:rsidR="00ED023A" w14:paraId="4F09DE98" w14:textId="77777777">
        <w:trPr>
          <w:trHeight w:val="335"/>
          <w:jc w:val="center"/>
        </w:trPr>
        <w:tc>
          <w:tcPr>
            <w:tcW w:w="1926" w:type="dxa"/>
          </w:tcPr>
          <w:p w14:paraId="52AAEEBF" w14:textId="3C94DF11" w:rsidR="00ED023A" w:rsidRDefault="00ED023A" w:rsidP="00ED023A">
            <w:pPr>
              <w:spacing w:before="120" w:line="280" w:lineRule="atLeast"/>
              <w:rPr>
                <w:rFonts w:ascii="Times New Roman" w:hAnsi="Times New Roman" w:cs="Times New Roman"/>
                <w:sz w:val="20"/>
                <w:szCs w:val="20"/>
              </w:rPr>
            </w:pPr>
          </w:p>
        </w:tc>
        <w:tc>
          <w:tcPr>
            <w:tcW w:w="6472" w:type="dxa"/>
          </w:tcPr>
          <w:p w14:paraId="0295FCA4" w14:textId="4EE83061" w:rsidR="00ED023A" w:rsidRDefault="00ED023A" w:rsidP="00ED023A">
            <w:pPr>
              <w:spacing w:before="120" w:line="280" w:lineRule="atLeast"/>
              <w:rPr>
                <w:rFonts w:ascii="Times New Roman" w:hAnsi="Times New Roman" w:cs="Times New Roman"/>
                <w:sz w:val="20"/>
                <w:szCs w:val="20"/>
              </w:rPr>
            </w:pPr>
          </w:p>
        </w:tc>
      </w:tr>
    </w:tbl>
    <w:p w14:paraId="472537EE" w14:textId="77777777" w:rsidR="00E51C28" w:rsidRDefault="00D04239" w:rsidP="00645B72">
      <w:pPr>
        <w:spacing w:before="120" w:after="120"/>
        <w:rPr>
          <w:rFonts w:ascii="Times New Roman" w:hAnsi="Times New Roman" w:cs="Times New Roman"/>
          <w:sz w:val="20"/>
          <w:szCs w:val="20"/>
        </w:rPr>
      </w:pPr>
      <w:r>
        <w:rPr>
          <w:rFonts w:ascii="Times New Roman" w:hAnsi="Times New Roman" w:cs="Times New Roman"/>
          <w:sz w:val="20"/>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 w:val="20"/>
          <w:szCs w:val="20"/>
        </w:rPr>
      </w:pPr>
      <w:r>
        <w:rPr>
          <w:rFonts w:ascii="Times New Roman" w:hAnsi="Times New Roman" w:cs="Times New Roman"/>
          <w:sz w:val="20"/>
          <w:szCs w:val="20"/>
          <w:lang w:eastAsia="ja-JP"/>
        </w:rPr>
        <w:t>Option 1</w:t>
      </w:r>
      <w:r>
        <w:rPr>
          <w:rFonts w:ascii="Times New Roman" w:hAnsi="Times New Roman" w:cs="Times New Roman"/>
          <w:sz w:val="20"/>
          <w:szCs w:val="20"/>
        </w:rPr>
        <w:t>: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 w:val="20"/>
          <w:szCs w:val="20"/>
        </w:rPr>
      </w:pPr>
      <w:r>
        <w:rPr>
          <w:rFonts w:ascii="Times New Roman" w:hAnsi="Times New Roman" w:cs="Times New Roman"/>
          <w:sz w:val="20"/>
          <w:szCs w:val="20"/>
          <w:lang w:eastAsia="ja-JP"/>
        </w:rPr>
        <w:t xml:space="preserve">Option </w:t>
      </w:r>
      <w:r>
        <w:rPr>
          <w:rFonts w:ascii="Times New Roman" w:hAnsi="Times New Roman" w:cs="Times New Roman"/>
          <w:sz w:val="20"/>
          <w:szCs w:val="20"/>
        </w:rPr>
        <w:t>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on whether or not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 w:val="20"/>
                <w:szCs w:val="20"/>
              </w:rPr>
            </w:pPr>
          </w:p>
        </w:tc>
        <w:tc>
          <w:tcPr>
            <w:tcW w:w="6472" w:type="dxa"/>
          </w:tcPr>
          <w:p w14:paraId="0E2E9983" w14:textId="77777777" w:rsidR="00E51C28" w:rsidRDefault="00E51C28">
            <w:pPr>
              <w:spacing w:before="120" w:line="280" w:lineRule="atLeast"/>
              <w:rPr>
                <w:rFonts w:ascii="Times New Roman" w:hAnsi="Times New Roman" w:cs="Times New Roman"/>
                <w:sz w:val="20"/>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 w:val="20"/>
                <w:szCs w:val="20"/>
              </w:rPr>
            </w:pPr>
          </w:p>
        </w:tc>
        <w:tc>
          <w:tcPr>
            <w:tcW w:w="6472" w:type="dxa"/>
          </w:tcPr>
          <w:p w14:paraId="678DADFA" w14:textId="77777777" w:rsidR="00E51C28" w:rsidRDefault="00E51C28">
            <w:pPr>
              <w:spacing w:before="120" w:line="280" w:lineRule="atLeast"/>
              <w:rPr>
                <w:rFonts w:ascii="Times New Roman" w:hAnsi="Times New Roman" w:cs="Times New Roman"/>
                <w:sz w:val="20"/>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5E283981" w14:textId="77777777" w:rsidR="00E51C28" w:rsidRDefault="00D04239">
            <w:pPr>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 xml:space="preserve">Supported by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Huawei, vivo, Apple, BUPT, CMCC, Qualcomm, </w:t>
      </w:r>
      <w:proofErr w:type="spellStart"/>
      <w:r>
        <w:rPr>
          <w:rFonts w:ascii="Times New Roman" w:hAnsi="Times New Roman" w:cs="Times New Roman"/>
          <w:sz w:val="20"/>
          <w:szCs w:val="20"/>
        </w:rPr>
        <w:t>CEWiT</w:t>
      </w:r>
      <w:proofErr w:type="spellEnd"/>
    </w:p>
    <w:p w14:paraId="44463D95"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Supported by Intel, ZTE, Ericsson, Lenovo, MediaTek, Qualcomm</w:t>
      </w:r>
    </w:p>
    <w:p w14:paraId="26B6F236"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2C3349"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[Qualcomm, Apple,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5D232"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Moreover, [BUPT, CMCC, vivo] also propose to study the VR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2-3-1-1: </w:t>
      </w:r>
      <w:r>
        <w:rPr>
          <w:rFonts w:ascii="Times New Roman" w:hAnsi="Times New Roman" w:cs="Times New Roman"/>
          <w:i/>
          <w:iCs/>
          <w:sz w:val="20"/>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 w:val="20"/>
                <w:szCs w:val="20"/>
              </w:rPr>
            </w:pPr>
            <w:r>
              <w:rPr>
                <w:rFonts w:ascii="Times New Roman" w:hAnsi="Times New Roman" w:cs="Times New Roman"/>
                <w:sz w:val="20"/>
                <w:szCs w:val="20"/>
              </w:rPr>
              <w:t>Suppo</w:t>
            </w:r>
            <w:r>
              <w:rPr>
                <w:rFonts w:ascii="Times New Roman" w:hAnsi="Times New Roman" w:cs="Times New Roman" w:hint="eastAsia"/>
                <w:sz w:val="20"/>
                <w:szCs w:val="20"/>
              </w:rPr>
              <w:t>rt.</w:t>
            </w:r>
          </w:p>
        </w:tc>
      </w:tr>
      <w:tr w:rsidR="00ED023A" w14:paraId="0175AD99" w14:textId="77777777">
        <w:trPr>
          <w:trHeight w:val="335"/>
          <w:jc w:val="center"/>
        </w:trPr>
        <w:tc>
          <w:tcPr>
            <w:tcW w:w="1926" w:type="dxa"/>
          </w:tcPr>
          <w:p w14:paraId="0700F78E" w14:textId="77777777" w:rsidR="00ED023A" w:rsidRDefault="00ED023A" w:rsidP="00ED023A">
            <w:pPr>
              <w:spacing w:before="120" w:after="120"/>
              <w:rPr>
                <w:rFonts w:ascii="Times New Roman" w:hAnsi="Times New Roman" w:cs="Times New Roman"/>
                <w:sz w:val="20"/>
                <w:szCs w:val="20"/>
              </w:rPr>
            </w:pPr>
          </w:p>
        </w:tc>
        <w:tc>
          <w:tcPr>
            <w:tcW w:w="6472" w:type="dxa"/>
          </w:tcPr>
          <w:p w14:paraId="4B25BAA2" w14:textId="77777777" w:rsidR="00ED023A" w:rsidRDefault="00ED023A" w:rsidP="00ED023A">
            <w:pPr>
              <w:spacing w:before="120" w:after="120"/>
              <w:rPr>
                <w:rFonts w:ascii="Times New Roman" w:hAnsi="Times New Roman" w:cs="Times New Roman"/>
                <w:sz w:val="20"/>
                <w:szCs w:val="20"/>
              </w:rPr>
            </w:pPr>
          </w:p>
        </w:tc>
      </w:tr>
    </w:tbl>
    <w:p w14:paraId="1A918AC5"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t>Methodology</w:t>
      </w:r>
    </w:p>
    <w:p w14:paraId="5C856648"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In addition, more detailed approaches are proposed for generat</w:t>
      </w:r>
      <w:r>
        <w:rPr>
          <w:rFonts w:ascii="Times New Roman" w:hAnsi="Times New Roman" w:cs="Times New Roman" w:hint="eastAsia"/>
          <w:sz w:val="20"/>
          <w:szCs w:val="20"/>
        </w:rPr>
        <w:t>ing</w:t>
      </w:r>
      <w:r>
        <w:rPr>
          <w:rFonts w:ascii="Times New Roman" w:hAnsi="Times New Roman" w:cs="Times New Roman"/>
          <w:sz w:val="20"/>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[Huawei]: For each ray: (1) Locate the first-bounce scatterer. (</w:t>
      </w:r>
      <w:r>
        <w:rPr>
          <w:rFonts w:ascii="Times New Roman" w:hAnsi="Times New Roman" w:cs="Times New Roman" w:hint="eastAsia"/>
          <w:sz w:val="20"/>
          <w:szCs w:val="20"/>
        </w:rPr>
        <w:t>2</w:t>
      </w:r>
      <w:r>
        <w:rPr>
          <w:rFonts w:ascii="Times New Roman" w:hAnsi="Times New Roman" w:cs="Times New Roman"/>
          <w:sz w:val="20"/>
          <w:szCs w:val="20"/>
        </w:rPr>
        <w:t>) Calculate the visible probability as well as the distances between the first-bounce scatterer and each BS antenna elements. (</w:t>
      </w:r>
      <w:r>
        <w:rPr>
          <w:rFonts w:ascii="Times New Roman" w:hAnsi="Times New Roman" w:cs="Times New Roman" w:hint="eastAsia"/>
          <w:sz w:val="20"/>
          <w:szCs w:val="20"/>
        </w:rPr>
        <w:t>3</w:t>
      </w:r>
      <w:r>
        <w:rPr>
          <w:rFonts w:ascii="Times New Roman" w:hAnsi="Times New Roman" w:cs="Times New Roman"/>
          <w:sz w:val="20"/>
          <w:szCs w:val="20"/>
        </w:rPr>
        <w:t>) Calculate the power attenuation factor.</w:t>
      </w:r>
    </w:p>
    <w:p w14:paraId="6FE7A78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20" w:firstLineChars="230" w:firstLine="46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m</m:t>
            </m:r>
          </m:sub>
        </m:sSub>
        <m:r>
          <m:rPr>
            <m:sty m:val="p"/>
          </m:rPr>
          <w:rPr>
            <w:rFonts w:ascii="Cambria Math" w:hAnsi="Cambria Math" w:cs="Times New Roman"/>
            <w:sz w:val="20"/>
            <w:szCs w:val="20"/>
          </w:rPr>
          <m:t>=Α*</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max</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num>
              <m:den>
                <m:r>
                  <m:rPr>
                    <m:sty m:val="p"/>
                  </m:rPr>
                  <w:rPr>
                    <w:rFonts w:ascii="Cambria Math" w:hAnsi="Cambria Math" w:cs="Times New Roman"/>
                    <w:sz w:val="20"/>
                    <w:szCs w:val="20"/>
                  </w:rPr>
                  <m:t>λ</m:t>
                </m:r>
              </m:den>
            </m:f>
          </m:sup>
        </m:sSup>
        <m:r>
          <m:rPr>
            <m:sty m:val="p"/>
          </m:rPr>
          <w:rPr>
            <w:rFonts w:ascii="Cambria Math" w:hAnsi="Cambria Math" w:cs="Times New Roman"/>
            <w:sz w:val="20"/>
            <w:szCs w:val="20"/>
          </w:rPr>
          <m:t>+Β+δ</m:t>
        </m:r>
      </m:oMath>
      <w:r w:rsidR="00D04239">
        <w:rPr>
          <w:rFonts w:ascii="Times New Roman" w:hAnsi="Times New Roman" w:cs="Times New Roman"/>
          <w:sz w:val="20"/>
          <w:szCs w:val="20"/>
        </w:rPr>
        <w:t xml:space="preserve">                                                                      </w:t>
      </w:r>
    </w:p>
    <w:p w14:paraId="43DD813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where A and λ are the parameters of exponential distribution, Pm is the ray power, B is the lower bound of visible probability, and </w:t>
      </w:r>
      <m:oMath>
        <m:r>
          <m:rPr>
            <m:sty m:val="p"/>
          </m:rPr>
          <w:rPr>
            <w:rFonts w:ascii="Cambria Math" w:hAnsi="Cambria Math" w:cs="Times New Roman"/>
            <w:sz w:val="20"/>
            <w:szCs w:val="20"/>
          </w:rPr>
          <m:t xml:space="preserve">δ~N(0, </m:t>
        </m:r>
        <m:sSup>
          <m:sSupPr>
            <m:ctrlPr>
              <w:rPr>
                <w:rFonts w:ascii="Cambria Math" w:hAnsi="Cambria Math" w:cs="Times New Roman"/>
                <w:sz w:val="20"/>
                <w:szCs w:val="20"/>
              </w:rPr>
            </m:ctrlPr>
          </m:sSupPr>
          <m:e>
            <m:r>
              <m:rPr>
                <m:sty m:val="p"/>
              </m:rPr>
              <w:rPr>
                <w:rFonts w:ascii="Cambria Math" w:hAnsi="Cambria Math" w:cs="Times New Roman"/>
                <w:sz w:val="20"/>
                <w:szCs w:val="20"/>
              </w:rPr>
              <m:t>ξ</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oMath>
      <w:r>
        <w:rPr>
          <w:rFonts w:ascii="Times New Roman" w:hAnsi="Times New Roman" w:cs="Times New Roman"/>
          <w:sz w:val="20"/>
          <w:szCs w:val="20"/>
        </w:rPr>
        <w:t>.</w:t>
      </w:r>
    </w:p>
    <w:p w14:paraId="23B225F2" w14:textId="77777777" w:rsidR="00E51C28" w:rsidRDefault="00D04239">
      <w:pPr>
        <w:numPr>
          <w:ilvl w:val="7"/>
          <w:numId w:val="0"/>
        </w:numPr>
        <w:spacing w:before="120" w:after="120"/>
        <w:ind w:leftChars="400" w:left="840"/>
        <w:rPr>
          <w:rFonts w:ascii="Times New Roman" w:hAnsi="Times New Roman" w:cs="Times New Roman"/>
          <w:sz w:val="20"/>
          <w:szCs w:val="20"/>
        </w:rPr>
      </w:pPr>
      <w:r>
        <w:rPr>
          <w:rFonts w:ascii="Times New Roman" w:hAnsi="Times New Roman" w:cs="Times New Roman"/>
          <w:sz w:val="20"/>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[BUPT, CMCC, vivo]: Initializes the visible probability of each cluster in the reference element/subarray, and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[BUPT, CMCC, vivo]: Determines the visible region of each cluster in the antenna array, the size of the visible region depends on the distance between the TRP and that cluster. In addition, it is necessary to consider the shape of the VR, the VR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point and the rules of VR arrangement.</w:t>
      </w:r>
    </w:p>
    <w:p w14:paraId="37A73ABD"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 w:val="20"/>
          <w:szCs w:val="20"/>
        </w:rPr>
      </w:pPr>
      <w:r>
        <w:rPr>
          <w:rFonts w:ascii="Times New Roman" w:hAnsi="Times New Roman" w:cs="Times New Roman"/>
          <w:sz w:val="20"/>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2-3-1-2: </w:t>
      </w:r>
      <w:r>
        <w:rPr>
          <w:rFonts w:ascii="Times New Roman" w:hAnsi="Times New Roman" w:cs="Times New Roman"/>
          <w:i/>
          <w:iCs/>
          <w:sz w:val="20"/>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region, to generate the visible </w:t>
      </w:r>
      <w:r w:rsidR="00645B72">
        <w:rPr>
          <w:rFonts w:ascii="Times New Roman" w:hAnsi="Times New Roman" w:cs="Times New Roman"/>
          <w:i/>
          <w:iCs/>
          <w:sz w:val="20"/>
          <w:szCs w:val="20"/>
          <w:highlight w:val="yellow"/>
        </w:rPr>
        <w:t xml:space="preserve">region </w:t>
      </w:r>
      <w:r>
        <w:rPr>
          <w:rFonts w:ascii="Times New Roman" w:hAnsi="Times New Roman" w:cs="Times New Roman"/>
          <w:i/>
          <w:iCs/>
          <w:sz w:val="20"/>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Alt 2-1: Visibility regions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randomly determined with </w:t>
      </w:r>
      <w:r>
        <w:rPr>
          <w:rFonts w:ascii="Times New Roman" w:hAnsi="Times New Roman" w:cs="Times New Roman" w:hint="eastAsia"/>
          <w:i/>
          <w:iCs/>
          <w:sz w:val="20"/>
          <w:szCs w:val="20"/>
          <w:highlight w:val="yellow"/>
        </w:rPr>
        <w:t>certain</w:t>
      </w:r>
      <w:r>
        <w:rPr>
          <w:rFonts w:ascii="Times New Roman" w:hAnsi="Times New Roman" w:cs="Times New Roman"/>
          <w:i/>
          <w:iCs/>
          <w:sz w:val="20"/>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5241314" w14:textId="77777777">
        <w:trPr>
          <w:trHeight w:val="342"/>
          <w:jc w:val="center"/>
        </w:trPr>
        <w:tc>
          <w:tcPr>
            <w:tcW w:w="1926" w:type="dxa"/>
          </w:tcPr>
          <w:p w14:paraId="73D1ED58" w14:textId="77777777" w:rsidR="00E51C28" w:rsidRDefault="00E51C28">
            <w:pPr>
              <w:spacing w:before="120" w:after="120"/>
              <w:rPr>
                <w:rFonts w:ascii="Times New Roman" w:hAnsi="Times New Roman" w:cs="Times New Roman"/>
                <w:sz w:val="20"/>
                <w:szCs w:val="20"/>
              </w:rPr>
            </w:pPr>
          </w:p>
        </w:tc>
        <w:tc>
          <w:tcPr>
            <w:tcW w:w="6472" w:type="dxa"/>
          </w:tcPr>
          <w:p w14:paraId="578B46B3" w14:textId="77777777" w:rsidR="00E51C28" w:rsidRDefault="00E51C28">
            <w:pPr>
              <w:spacing w:before="120" w:after="120"/>
              <w:rPr>
                <w:rFonts w:ascii="Times New Roman" w:hAnsi="Times New Roman" w:cs="Times New Roman"/>
                <w:sz w:val="20"/>
                <w:szCs w:val="20"/>
              </w:rPr>
            </w:pPr>
          </w:p>
        </w:tc>
      </w:tr>
      <w:tr w:rsidR="00E51C28" w14:paraId="2AD89CDA" w14:textId="77777777">
        <w:trPr>
          <w:trHeight w:val="335"/>
          <w:jc w:val="center"/>
        </w:trPr>
        <w:tc>
          <w:tcPr>
            <w:tcW w:w="1926" w:type="dxa"/>
          </w:tcPr>
          <w:p w14:paraId="23FC95C6" w14:textId="77777777" w:rsidR="00E51C28" w:rsidRDefault="00E51C28">
            <w:pPr>
              <w:spacing w:before="120" w:after="120"/>
              <w:rPr>
                <w:rFonts w:ascii="Times New Roman" w:hAnsi="Times New Roman" w:cs="Times New Roman"/>
                <w:sz w:val="20"/>
                <w:szCs w:val="20"/>
              </w:rPr>
            </w:pPr>
          </w:p>
        </w:tc>
        <w:tc>
          <w:tcPr>
            <w:tcW w:w="6472" w:type="dxa"/>
          </w:tcPr>
          <w:p w14:paraId="2C0A868D" w14:textId="77777777" w:rsidR="00E51C28" w:rsidRDefault="00E51C28">
            <w:pPr>
              <w:spacing w:before="120" w:after="120"/>
              <w:rPr>
                <w:rFonts w:ascii="Times New Roman" w:hAnsi="Times New Roman" w:cs="Times New Roman"/>
                <w:sz w:val="20"/>
                <w:szCs w:val="20"/>
              </w:rPr>
            </w:pPr>
          </w:p>
        </w:tc>
      </w:tr>
    </w:tbl>
    <w:p w14:paraId="53061190"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2ADCAE4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宋体" w:hAnsi="Times New Roman" w:cs="Times New Roman"/>
          <w:sz w:val="20"/>
          <w:szCs w:val="20"/>
        </w:rPr>
      </w:pPr>
      <w:r>
        <w:rPr>
          <w:rFonts w:ascii="Times New Roman" w:hAnsi="Times New Roman" w:cs="Times New Roman"/>
          <w:sz w:val="20"/>
          <w:szCs w:val="20"/>
        </w:rPr>
        <w:t>[Huawei]: Define the attenuation factor as a function of distance between the elements and the first-bounce scatterer so as to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[BUPT, CMCC, vivo]: Markov process can be used to guarantee the consistency across antenna elements. And the initial VP of adjacent clusters are similar to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whether or how to guarantee the consistency for each alternative listed in </w:t>
      </w:r>
      <w:r>
        <w:rPr>
          <w:rFonts w:ascii="Times New Roman" w:hAnsi="Times New Roman" w:cs="Times New Roman"/>
          <w:b/>
          <w:bCs/>
          <w:i/>
          <w:iCs/>
          <w:sz w:val="20"/>
          <w:szCs w:val="20"/>
          <w:highlight w:val="yellow"/>
        </w:rPr>
        <w:t>Proposal 2-3-1-2</w:t>
      </w:r>
      <w:r>
        <w:rPr>
          <w:rFonts w:ascii="Times New Roman" w:hAnsi="Times New Roman" w:cs="Times New Roman"/>
          <w:sz w:val="20"/>
          <w:szCs w:val="20"/>
        </w:rPr>
        <w:t>.</w:t>
      </w:r>
    </w:p>
    <w:p w14:paraId="09073000" w14:textId="77777777" w:rsidR="00E51C28" w:rsidRDefault="00E51C28">
      <w:pPr>
        <w:spacing w:before="120" w:after="120"/>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lastRenderedPageBreak/>
              <w:t>Companies</w:t>
            </w:r>
          </w:p>
        </w:tc>
        <w:tc>
          <w:tcPr>
            <w:tcW w:w="6472" w:type="dxa"/>
          </w:tcPr>
          <w:p w14:paraId="06D2EBF4"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666BE680" w14:textId="77777777">
        <w:trPr>
          <w:trHeight w:val="342"/>
          <w:jc w:val="center"/>
        </w:trPr>
        <w:tc>
          <w:tcPr>
            <w:tcW w:w="1926" w:type="dxa"/>
          </w:tcPr>
          <w:p w14:paraId="330354C3" w14:textId="77777777" w:rsidR="00E51C28" w:rsidRDefault="00E51C28">
            <w:pPr>
              <w:spacing w:before="120" w:after="120"/>
              <w:rPr>
                <w:rFonts w:ascii="Times New Roman" w:hAnsi="Times New Roman" w:cs="Times New Roman"/>
                <w:sz w:val="20"/>
                <w:szCs w:val="20"/>
              </w:rPr>
            </w:pPr>
          </w:p>
        </w:tc>
        <w:tc>
          <w:tcPr>
            <w:tcW w:w="6472" w:type="dxa"/>
          </w:tcPr>
          <w:p w14:paraId="21D79495" w14:textId="77777777" w:rsidR="00E51C28" w:rsidRDefault="00E51C28">
            <w:pPr>
              <w:spacing w:before="120" w:after="120"/>
              <w:rPr>
                <w:rFonts w:ascii="Times New Roman" w:hAnsi="Times New Roman" w:cs="Times New Roman"/>
                <w:sz w:val="20"/>
                <w:szCs w:val="20"/>
              </w:rPr>
            </w:pPr>
          </w:p>
        </w:tc>
      </w:tr>
      <w:tr w:rsidR="00E51C28" w14:paraId="421EC66C" w14:textId="77777777">
        <w:trPr>
          <w:trHeight w:val="335"/>
          <w:jc w:val="center"/>
        </w:trPr>
        <w:tc>
          <w:tcPr>
            <w:tcW w:w="1926" w:type="dxa"/>
          </w:tcPr>
          <w:p w14:paraId="5476BC8D" w14:textId="77777777" w:rsidR="00E51C28" w:rsidRDefault="00E51C28">
            <w:pPr>
              <w:spacing w:before="120" w:after="120"/>
              <w:rPr>
                <w:rFonts w:ascii="Times New Roman" w:hAnsi="Times New Roman" w:cs="Times New Roman"/>
                <w:sz w:val="20"/>
                <w:szCs w:val="20"/>
              </w:rPr>
            </w:pPr>
          </w:p>
        </w:tc>
        <w:tc>
          <w:tcPr>
            <w:tcW w:w="6472" w:type="dxa"/>
          </w:tcPr>
          <w:p w14:paraId="6A2C5752" w14:textId="77777777" w:rsidR="00E51C28" w:rsidRDefault="00E51C28">
            <w:pPr>
              <w:spacing w:before="120" w:after="120"/>
              <w:rPr>
                <w:rFonts w:ascii="Times New Roman" w:hAnsi="Times New Roman" w:cs="Times New Roman"/>
                <w:sz w:val="20"/>
                <w:szCs w:val="20"/>
              </w:rPr>
            </w:pPr>
          </w:p>
        </w:tc>
      </w:tr>
    </w:tbl>
    <w:p w14:paraId="31AEEAB6" w14:textId="77777777" w:rsidR="00E51C28" w:rsidRDefault="00E51C28">
      <w:pPr>
        <w:spacing w:before="120" w:after="120"/>
        <w:rPr>
          <w:rFonts w:ascii="Times New Roman" w:hAnsi="Times New Roman" w:cs="Times New Roman"/>
          <w:sz w:val="20"/>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C9DA54"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 w:val="20"/>
          <w:szCs w:val="20"/>
        </w:rPr>
      </w:pPr>
      <w:r>
        <w:rPr>
          <w:rFonts w:ascii="Times New Roman" w:hAnsi="Times New Roman" w:cs="Times New Roman"/>
          <w:sz w:val="20"/>
          <w:szCs w:val="20"/>
        </w:rPr>
        <w:t xml:space="preserve"> Size of blockage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2-3-2-1: </w:t>
      </w:r>
      <w:r>
        <w:rPr>
          <w:rFonts w:ascii="Times New Roman" w:hAnsi="Times New Roman" w:cs="Times New Roman"/>
          <w:i/>
          <w:iCs/>
          <w:sz w:val="20"/>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location, e.g. relative distance between </w:t>
      </w:r>
      <w:r>
        <w:rPr>
          <w:rFonts w:ascii="Times New Roman" w:hAnsi="Times New Roman" w:cs="Times New Roman" w:hint="eastAsia"/>
          <w:i/>
          <w:iCs/>
          <w:sz w:val="20"/>
          <w:szCs w:val="20"/>
          <w:highlight w:val="yellow"/>
        </w:rPr>
        <w:t>blocker</w:t>
      </w:r>
      <w:r>
        <w:rPr>
          <w:rFonts w:ascii="Times New Roman" w:hAnsi="Times New Roman" w:cs="Times New Roman"/>
          <w:i/>
          <w:iCs/>
          <w:sz w:val="20"/>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 w:val="20"/>
                <w:szCs w:val="20"/>
              </w:rPr>
            </w:pPr>
            <w:r>
              <w:rPr>
                <w:rFonts w:ascii="Times New Roman" w:hAnsi="Times New Roman" w:cs="Times New Roman"/>
                <w:sz w:val="20"/>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Support. </w:t>
            </w:r>
            <w:r>
              <w:rPr>
                <w:rFonts w:ascii="Times New Roman" w:hAnsi="Times New Roman" w:cs="Times New Roman"/>
                <w:sz w:val="20"/>
                <w:szCs w:val="20"/>
              </w:rPr>
              <w:t>For the sub-bullet, t</w:t>
            </w:r>
            <w:r>
              <w:rPr>
                <w:rFonts w:ascii="Times New Roman" w:hAnsi="Times New Roman" w:cs="Times New Roman" w:hint="eastAsia"/>
                <w:sz w:val="20"/>
                <w:szCs w:val="20"/>
              </w:rPr>
              <w:t>he distribution method is also needed to 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 w:val="20"/>
                <w:szCs w:val="20"/>
              </w:rPr>
            </w:pPr>
          </w:p>
        </w:tc>
        <w:tc>
          <w:tcPr>
            <w:tcW w:w="6472" w:type="dxa"/>
          </w:tcPr>
          <w:p w14:paraId="0F13BA33" w14:textId="77777777" w:rsidR="00ED023A" w:rsidRDefault="00ED023A" w:rsidP="00ED023A">
            <w:pPr>
              <w:spacing w:before="120" w:after="120"/>
              <w:rPr>
                <w:rFonts w:ascii="Times New Roman" w:hAnsi="Times New Roman" w:cs="Times New Roman"/>
                <w:sz w:val="20"/>
                <w:szCs w:val="20"/>
              </w:rPr>
            </w:pPr>
          </w:p>
        </w:tc>
      </w:tr>
    </w:tbl>
    <w:p w14:paraId="243E8F4E"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t>Methodology</w:t>
      </w:r>
    </w:p>
    <w:p w14:paraId="0F0C5997"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 w:val="20"/>
          <w:szCs w:val="20"/>
        </w:rPr>
      </w:pPr>
      <w:r>
        <w:rPr>
          <w:rFonts w:ascii="Times New Roman" w:hAnsi="Times New Roman" w:cs="Times New Roman"/>
          <w:sz w:val="20"/>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t xml:space="preserve">[Intel]: Given that the blockage framework is already implemented in TR 38.901 but requires updates for </w:t>
      </w:r>
      <w:proofErr w:type="spellStart"/>
      <w:r>
        <w:rPr>
          <w:rFonts w:ascii="Times New Roman" w:hAnsi="Times New Roman" w:cs="Times New Roman"/>
          <w:sz w:val="20"/>
          <w:szCs w:val="20"/>
        </w:rPr>
        <w:t>SnS</w:t>
      </w:r>
      <w:proofErr w:type="spellEnd"/>
      <w:r>
        <w:rPr>
          <w:rFonts w:ascii="Times New Roman" w:hAnsi="Times New Roman" w:cs="Times New Roman"/>
          <w:sz w:val="20"/>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3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1"/>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1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2"/>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8D15BEB"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2: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 w:val="20"/>
          <w:szCs w:val="20"/>
          <w:highlight w:val="yellow"/>
        </w:rPr>
        <w:t xml:space="preserve"> element</w:t>
      </w:r>
      <w:r>
        <w:rPr>
          <w:rFonts w:ascii="Times New Roman" w:hAnsi="Times New Roman" w:cs="Times New Roman"/>
          <w:i/>
          <w:iCs/>
          <w:sz w:val="20"/>
          <w:szCs w:val="20"/>
          <w:highlight w:val="yellow"/>
        </w:rPr>
        <w:t xml:space="preserve">s, the blockage conditions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 w:val="20"/>
                <w:szCs w:val="20"/>
              </w:rPr>
            </w:pPr>
          </w:p>
        </w:tc>
        <w:tc>
          <w:tcPr>
            <w:tcW w:w="6472" w:type="dxa"/>
          </w:tcPr>
          <w:p w14:paraId="723FF8E9" w14:textId="77777777" w:rsidR="00E51C28" w:rsidRDefault="00E51C28">
            <w:pPr>
              <w:spacing w:before="120" w:after="120"/>
              <w:rPr>
                <w:rFonts w:ascii="Times New Roman" w:hAnsi="Times New Roman" w:cs="Times New Roman"/>
                <w:sz w:val="20"/>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 w:val="20"/>
                <w:szCs w:val="20"/>
              </w:rPr>
            </w:pPr>
          </w:p>
        </w:tc>
        <w:tc>
          <w:tcPr>
            <w:tcW w:w="6472" w:type="dxa"/>
          </w:tcPr>
          <w:p w14:paraId="248DA641" w14:textId="77777777" w:rsidR="00E51C28" w:rsidRDefault="00E51C28">
            <w:pPr>
              <w:spacing w:before="120" w:after="120"/>
              <w:rPr>
                <w:rFonts w:ascii="Times New Roman" w:hAnsi="Times New Roman" w:cs="Times New Roman"/>
                <w:sz w:val="20"/>
                <w:szCs w:val="20"/>
              </w:rPr>
            </w:pPr>
          </w:p>
        </w:tc>
      </w:tr>
    </w:tbl>
    <w:p w14:paraId="6971D3A0" w14:textId="77777777" w:rsidR="00E51C28" w:rsidRDefault="00D0423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Consistency</w:t>
      </w:r>
    </w:p>
    <w:p w14:paraId="4ED09C88" w14:textId="77777777" w:rsidR="00E51C28" w:rsidRDefault="00D04239">
      <w:pPr>
        <w:spacing w:before="120" w:after="120"/>
        <w:rPr>
          <w:rFonts w:ascii="Times New Roman" w:hAnsi="Times New Roman" w:cs="Times New Roman"/>
          <w:i/>
          <w:iCs/>
          <w:sz w:val="20"/>
          <w:szCs w:val="20"/>
          <w:highlight w:val="yellow"/>
        </w:rPr>
      </w:pPr>
      <w:r>
        <w:rPr>
          <w:rFonts w:ascii="Times New Roman" w:hAnsi="Times New Roman" w:cs="Times New Roman"/>
          <w:sz w:val="20"/>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7371F543"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details of model is stable. </w:t>
      </w:r>
    </w:p>
    <w:p w14:paraId="6C8245D5"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34640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4BB1C1E" w14:textId="3EDD18DF" w:rsidR="00ED023A" w:rsidRDefault="00ED023A" w:rsidP="00ED023A">
            <w:pPr>
              <w:rPr>
                <w:rFonts w:ascii="Times New Roman" w:hAnsi="Times New Roman" w:cs="Times New Roman"/>
                <w:sz w:val="20"/>
                <w:szCs w:val="20"/>
              </w:rPr>
            </w:pPr>
            <w:r>
              <w:rPr>
                <w:rFonts w:ascii="Times New Roman" w:hAnsi="Times New Roman" w:cs="Times New Roman"/>
                <w:sz w:val="20"/>
                <w:szCs w:val="20"/>
              </w:rPr>
              <w:t>T</w:t>
            </w:r>
            <w:r w:rsidRPr="00C70C5C">
              <w:rPr>
                <w:rFonts w:ascii="Times New Roman" w:hAnsi="Times New Roman" w:cs="Times New Roman"/>
                <w:sz w:val="20"/>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R1-2403857</w:t>
      </w:r>
      <w:r>
        <w:rPr>
          <w:rFonts w:ascii="Times New Roman" w:hAnsi="Times New Roman" w:cs="Times New Roman" w:hint="eastAsia"/>
          <w:sz w:val="20"/>
          <w:szCs w:val="20"/>
        </w:rPr>
        <w:tab/>
        <w:t xml:space="preserve">Discussion </w:t>
      </w:r>
      <w:r>
        <w:rPr>
          <w:rFonts w:ascii="Times New Roman" w:hAnsi="Times New Roman" w:cs="Times New Roman"/>
          <w:sz w:val="20"/>
          <w:szCs w:val="20"/>
        </w:rPr>
        <w:t>on Channel</w:t>
      </w:r>
      <w:r>
        <w:rPr>
          <w:rFonts w:ascii="Times New Roman" w:hAnsi="Times New Roman" w:cs="Times New Roman" w:hint="eastAsia"/>
          <w:sz w:val="20"/>
          <w:szCs w:val="20"/>
        </w:rPr>
        <w:t xml:space="preserve"> Model Extension of TR38.901 for FR3</w:t>
      </w:r>
      <w:r>
        <w:rPr>
          <w:rFonts w:ascii="Times New Roman" w:hAnsi="Times New Roman" w:cs="Times New Roman" w:hint="eastAsia"/>
          <w:sz w:val="20"/>
          <w:szCs w:val="20"/>
        </w:rPr>
        <w:tab/>
        <w:t xml:space="preserv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R1-2403908</w:t>
      </w:r>
      <w:r>
        <w:rPr>
          <w:rFonts w:ascii="Times New Roman" w:hAnsi="Times New Roman" w:cs="Times New Roman" w:hint="eastAsia"/>
          <w:sz w:val="20"/>
          <w:szCs w:val="20"/>
        </w:rPr>
        <w:tab/>
        <w:t>Discussion on channel modelling adaptation/extension for 7-24GHz</w:t>
      </w:r>
      <w:r>
        <w:rPr>
          <w:rFonts w:ascii="Times New Roman" w:hAnsi="Times New Roman" w:cs="Times New Roman" w:hint="eastAsia"/>
          <w:sz w:val="20"/>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R1-2403926</w:t>
      </w:r>
      <w:r>
        <w:rPr>
          <w:rFonts w:ascii="Times New Roman" w:hAnsi="Times New Roman" w:cs="Times New Roman" w:hint="eastAsia"/>
          <w:sz w:val="20"/>
          <w:szCs w:val="20"/>
        </w:rPr>
        <w:tab/>
        <w:t>Considerations on the 7-24GHz channel model extension</w:t>
      </w:r>
      <w:r>
        <w:rPr>
          <w:rFonts w:ascii="Times New Roman" w:hAnsi="Times New Roman" w:cs="Times New Roman" w:hint="eastAsia"/>
          <w:sz w:val="20"/>
          <w:szCs w:val="20"/>
        </w:rPr>
        <w:tab/>
        <w:t xml:space="preserve"> Huawei, </w:t>
      </w:r>
      <w:proofErr w:type="spellStart"/>
      <w:r>
        <w:rPr>
          <w:rFonts w:ascii="Times New Roman" w:hAnsi="Times New Roman" w:cs="Times New Roman" w:hint="eastAsia"/>
          <w:sz w:val="20"/>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R1-2403963</w:t>
      </w:r>
      <w:r>
        <w:rPr>
          <w:rFonts w:ascii="Times New Roman" w:hAnsi="Times New Roman" w:cs="Times New Roman" w:hint="eastAsia"/>
          <w:sz w:val="20"/>
          <w:szCs w:val="20"/>
        </w:rPr>
        <w:tab/>
        <w:t>Discussion on channel model adaptation/extension</w:t>
      </w:r>
      <w:r>
        <w:rPr>
          <w:rFonts w:ascii="Times New Roman" w:hAnsi="Times New Roman" w:cs="Times New Roman" w:hint="eastAsia"/>
          <w:sz w:val="20"/>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R1-2403992</w:t>
      </w:r>
      <w:r>
        <w:rPr>
          <w:rFonts w:ascii="Times New Roman" w:hAnsi="Times New Roman" w:cs="Times New Roman" w:hint="eastAsia"/>
          <w:sz w:val="20"/>
          <w:szCs w:val="20"/>
        </w:rPr>
        <w:tab/>
        <w:t>Discussion on adaptation and extension of channel model</w:t>
      </w:r>
      <w:r>
        <w:rPr>
          <w:rFonts w:ascii="Times New Roman" w:hAnsi="Times New Roman" w:cs="Times New Roman" w:hint="eastAsia"/>
          <w:sz w:val="20"/>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R1-2403997</w:t>
      </w:r>
      <w:r>
        <w:rPr>
          <w:rFonts w:ascii="Times New Roman" w:hAnsi="Times New Roman" w:cs="Times New Roman" w:hint="eastAsia"/>
          <w:sz w:val="20"/>
          <w:szCs w:val="20"/>
        </w:rPr>
        <w:tab/>
        <w:t>Discussion on Channel model adaptation/extension of TR38.901 for 7-24GHz</w:t>
      </w:r>
      <w:r>
        <w:rPr>
          <w:rFonts w:ascii="Times New Roman" w:hAnsi="Times New Roman" w:cs="Times New Roman" w:hint="eastAsia"/>
          <w:sz w:val="20"/>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R1-2404130</w:t>
      </w:r>
      <w:r>
        <w:rPr>
          <w:rFonts w:ascii="Times New Roman" w:hAnsi="Times New Roman" w:cs="Times New Roman" w:hint="eastAsia"/>
          <w:sz w:val="20"/>
          <w:szCs w:val="20"/>
        </w:rPr>
        <w:tab/>
        <w:t>Discussion on channel model adaptation/extension of TR38.901 for 7 - 24 GHz</w:t>
      </w:r>
      <w:r>
        <w:rPr>
          <w:rFonts w:ascii="Times New Roman" w:hAnsi="Times New Roman" w:cs="Times New Roman" w:hint="eastAsia"/>
          <w:sz w:val="20"/>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R1-2404192</w:t>
      </w:r>
      <w:r>
        <w:rPr>
          <w:rFonts w:ascii="Times New Roman" w:hAnsi="Times New Roman" w:cs="Times New Roman" w:hint="eastAsia"/>
          <w:sz w:val="20"/>
          <w:szCs w:val="20"/>
        </w:rPr>
        <w:tab/>
        <w:t>Views on channel model adaptation/extension of TR38.901 for 7-24GHz</w:t>
      </w:r>
      <w:r>
        <w:rPr>
          <w:rFonts w:ascii="Times New Roman" w:hAnsi="Times New Roman" w:cs="Times New Roman" w:hint="eastAsia"/>
          <w:sz w:val="20"/>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R1-2404213</w:t>
      </w:r>
      <w:r>
        <w:rPr>
          <w:rFonts w:ascii="Times New Roman" w:hAnsi="Times New Roman" w:cs="Times New Roman" w:hint="eastAsia"/>
          <w:sz w:val="20"/>
          <w:szCs w:val="20"/>
        </w:rPr>
        <w:tab/>
        <w:t>Discussion on the channel model adaptation and extension</w:t>
      </w:r>
      <w:r>
        <w:rPr>
          <w:rFonts w:ascii="Times New Roman" w:hAnsi="Times New Roman" w:cs="Times New Roman" w:hint="eastAsia"/>
          <w:sz w:val="20"/>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R1-2404305</w:t>
      </w:r>
      <w:r>
        <w:rPr>
          <w:rFonts w:ascii="Times New Roman" w:hAnsi="Times New Roman" w:cs="Times New Roman" w:hint="eastAsia"/>
          <w:sz w:val="20"/>
          <w:szCs w:val="20"/>
        </w:rPr>
        <w:tab/>
        <w:t>Channel Model Adaptation and Extension of TR38.901 for 7-24 GHz</w:t>
      </w:r>
      <w:r>
        <w:rPr>
          <w:rFonts w:ascii="Times New Roman" w:hAnsi="Times New Roman" w:cs="Times New Roman" w:hint="eastAsia"/>
          <w:sz w:val="20"/>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R1-2404330</w:t>
      </w:r>
      <w:r>
        <w:rPr>
          <w:rFonts w:ascii="Times New Roman" w:hAnsi="Times New Roman" w:cs="Times New Roman" w:hint="eastAsia"/>
          <w:sz w:val="20"/>
          <w:szCs w:val="20"/>
        </w:rPr>
        <w:tab/>
        <w:t>Discussion on modeling near-field propagation and spatial non-stationarity in TR38.901 for 7-24GHz</w:t>
      </w:r>
      <w:r>
        <w:rPr>
          <w:rFonts w:ascii="Times New Roman" w:hAnsi="Times New Roman" w:cs="Times New Roman" w:hint="eastAsia"/>
          <w:sz w:val="20"/>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R1-2404340</w:t>
      </w:r>
      <w:r>
        <w:rPr>
          <w:rFonts w:ascii="Times New Roman" w:hAnsi="Times New Roman" w:cs="Times New Roman" w:hint="eastAsia"/>
          <w:sz w:val="20"/>
          <w:szCs w:val="20"/>
        </w:rPr>
        <w:tab/>
        <w:t>Discussion of FR3 channel model</w:t>
      </w:r>
      <w:r>
        <w:rPr>
          <w:rFonts w:ascii="Times New Roman" w:hAnsi="Times New Roman" w:cs="Times New Roman" w:hint="eastAsia"/>
          <w:sz w:val="20"/>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R1-2404416</w:t>
      </w:r>
      <w:r>
        <w:rPr>
          <w:rFonts w:ascii="Times New Roman" w:hAnsi="Times New Roman" w:cs="Times New Roman" w:hint="eastAsia"/>
          <w:sz w:val="20"/>
          <w:szCs w:val="20"/>
        </w:rPr>
        <w:tab/>
        <w:t>On channel model adaptation/extension of TR38.901 for 7-24GHz</w:t>
      </w:r>
      <w:r>
        <w:rPr>
          <w:rFonts w:ascii="Times New Roman" w:hAnsi="Times New Roman" w:cs="Times New Roman" w:hint="eastAsia"/>
          <w:sz w:val="20"/>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R1-2404437</w:t>
      </w:r>
      <w:r>
        <w:rPr>
          <w:rFonts w:ascii="Times New Roman" w:hAnsi="Times New Roman" w:cs="Times New Roman" w:hint="eastAsia"/>
          <w:sz w:val="20"/>
          <w:szCs w:val="20"/>
        </w:rPr>
        <w:tab/>
        <w:t>Discussion on channel modeling for single road bridge (SRB) scenario</w:t>
      </w:r>
      <w:r>
        <w:rPr>
          <w:rFonts w:ascii="Times New Roman" w:hAnsi="Times New Roman" w:cs="Times New Roman" w:hint="eastAsia"/>
          <w:sz w:val="20"/>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R1-2404544</w:t>
      </w:r>
      <w:r>
        <w:rPr>
          <w:rFonts w:ascii="Times New Roman" w:hAnsi="Times New Roman" w:cs="Times New Roman" w:hint="eastAsia"/>
          <w:sz w:val="20"/>
          <w:szCs w:val="20"/>
        </w:rPr>
        <w:tab/>
        <w:t>Channel model adaptation of TR 38901 for 7-24 GHz</w:t>
      </w:r>
      <w:r>
        <w:rPr>
          <w:rFonts w:ascii="Times New Roman" w:hAnsi="Times New Roman" w:cs="Times New Roman" w:hint="eastAsia"/>
          <w:sz w:val="20"/>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R1-2405082</w:t>
      </w:r>
      <w:r>
        <w:rPr>
          <w:rFonts w:ascii="Times New Roman" w:hAnsi="Times New Roman" w:cs="Times New Roman" w:hint="eastAsia"/>
          <w:sz w:val="20"/>
          <w:szCs w:val="20"/>
        </w:rPr>
        <w:tab/>
        <w:t>Discussion on channel modelling enhancements for 7-24GHz for NR</w:t>
      </w:r>
      <w:r>
        <w:rPr>
          <w:rFonts w:ascii="Times New Roman" w:hAnsi="Times New Roman" w:cs="Times New Roman" w:hint="eastAsia"/>
          <w:sz w:val="20"/>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R1-2405170</w:t>
      </w:r>
      <w:r>
        <w:rPr>
          <w:rFonts w:ascii="Times New Roman" w:hAnsi="Times New Roman" w:cs="Times New Roman" w:hint="eastAsia"/>
          <w:sz w:val="20"/>
          <w:szCs w:val="20"/>
        </w:rPr>
        <w:tab/>
        <w:t>Channel Model Adaptation/Extension of TR38.901 for 7-24GHz</w:t>
      </w:r>
      <w:r>
        <w:rPr>
          <w:rFonts w:ascii="Times New Roman" w:hAnsi="Times New Roman" w:cs="Times New Roman" w:hint="eastAsia"/>
          <w:sz w:val="20"/>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R1-2405250</w:t>
      </w:r>
      <w:r>
        <w:rPr>
          <w:rFonts w:ascii="Times New Roman" w:hAnsi="Times New Roman" w:cs="Times New Roman" w:hint="eastAsia"/>
          <w:sz w:val="20"/>
          <w:szCs w:val="20"/>
        </w:rPr>
        <w:tab/>
        <w:t>Channel model adaptation/extension of TR38.901 for 7-24 GHz</w:t>
      </w:r>
      <w:r>
        <w:rPr>
          <w:rFonts w:ascii="Times New Roman" w:hAnsi="Times New Roman" w:cs="Times New Roman" w:hint="eastAsia"/>
          <w:sz w:val="20"/>
          <w:szCs w:val="20"/>
        </w:rPr>
        <w:tab/>
      </w:r>
      <w:proofErr w:type="spellStart"/>
      <w:r>
        <w:rPr>
          <w:rFonts w:ascii="Times New Roman" w:hAnsi="Times New Roman" w:cs="Times New Roman" w:hint="eastAsia"/>
          <w:sz w:val="20"/>
          <w:szCs w:val="20"/>
        </w:rPr>
        <w:t>CEWiT</w:t>
      </w:r>
      <w:proofErr w:type="spellEnd"/>
    </w:p>
    <w:p w14:paraId="215CE40F" w14:textId="77777777" w:rsidR="00E51C28" w:rsidRDefault="00D04239">
      <w:pPr>
        <w:pStyle w:val="Heading1"/>
        <w:rPr>
          <w:rFonts w:ascii="Times New Roman" w:eastAsia="宋体" w:hAnsi="Times New Roman"/>
          <w:kern w:val="28"/>
          <w:sz w:val="28"/>
        </w:rPr>
      </w:pPr>
      <w:r>
        <w:rPr>
          <w:rFonts w:ascii="Times New Roman" w:eastAsia="宋体" w:hAnsi="Times New Roman" w:hint="eastAsia"/>
          <w:kern w:val="28"/>
          <w:sz w:val="28"/>
        </w:rPr>
        <w:lastRenderedPageBreak/>
        <w:t>Appendix</w:t>
      </w:r>
      <w:r>
        <w:rPr>
          <w:rFonts w:ascii="Times New Roman" w:eastAsia="宋体"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宋体"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w:t>
      </w:r>
      <w:proofErr w:type="spellStart"/>
      <w:r>
        <w:rPr>
          <w:rFonts w:ascii="Times New Roman" w:hAnsi="Times New Roman" w:cs="Times New Roman"/>
          <w:bCs/>
          <w:sz w:val="20"/>
          <w:szCs w:val="20"/>
        </w:rPr>
        <w:t>InterDigital</w:t>
      </w:r>
      <w:proofErr w:type="spellEnd"/>
      <w:r>
        <w:rPr>
          <w:rFonts w:ascii="Times New Roman" w:hAnsi="Times New Roman" w:cs="Times New Roman"/>
          <w:bCs/>
          <w:sz w:val="20"/>
          <w:szCs w:val="20"/>
        </w:rPr>
        <w:t>]:</w:t>
      </w:r>
    </w:p>
    <w:p w14:paraId="0D073A9E" w14:textId="77777777" w:rsidR="00E51C28" w:rsidRDefault="00ED023A">
      <w:pPr>
        <w:tabs>
          <w:tab w:val="left" w:pos="576"/>
        </w:tabs>
        <w:spacing w:before="120" w:after="60"/>
        <w:jc w:val="center"/>
        <w:rPr>
          <w:rFonts w:ascii="Times New Roman" w:hAnsi="Times New Roman" w:cs="Times New Roman"/>
          <w:bCs/>
          <w:sz w:val="20"/>
          <w:szCs w:val="20"/>
        </w:rPr>
      </w:pPr>
      <w:r>
        <w:rPr>
          <w:rFonts w:ascii="Times New Roman" w:hAnsi="Times New Roman" w:cs="Times New Roman"/>
          <w:sz w:val="20"/>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230.25pt">
            <v:imagedata r:id="rId13"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 w:val="20"/>
          <w:szCs w:val="20"/>
        </w:rPr>
      </w:pPr>
      <w:r>
        <w:rPr>
          <w:rFonts w:ascii="Times New Roman" w:hAnsi="Times New Roman" w:cs="Times New Roman"/>
          <w:bCs/>
          <w:sz w:val="20"/>
          <w:szCs w:val="20"/>
        </w:rPr>
        <w:t xml:space="preserve">[Huawei]: </w:t>
      </w:r>
      <w:r>
        <w:rPr>
          <w:rFonts w:ascii="Times New Roman" w:hAnsi="Times New Roman" w:cs="Times New Roman"/>
          <w:sz w:val="20"/>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 w:val="20"/>
          <w:szCs w:val="20"/>
          <w:lang w:val="zh-CN"/>
        </w:rPr>
      </w:pPr>
      <w:r>
        <w:rPr>
          <w:rFonts w:ascii="Times New Roman" w:hAnsi="Times New Roman" w:cs="Times New Roman"/>
          <w:noProof/>
          <w:sz w:val="20"/>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E51C28"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E51C28" w:rsidRDefault="00D04239">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E51C28"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E51C28" w:rsidRDefault="00D04239">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 w:val="20"/>
          <w:szCs w:val="20"/>
          <w:lang w:val="zh-CN"/>
        </w:rPr>
        <w:t>(1)</w:t>
      </w:r>
    </w:p>
    <w:p w14:paraId="2B9B98FA"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 w:val="20"/>
          <w:szCs w:val="20"/>
          <w:lang w:val="zh-CN"/>
        </w:rPr>
        <w:t xml:space="preserve">       (2)</w:t>
      </w:r>
    </w:p>
    <w:p w14:paraId="0B488478"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 w:val="20"/>
          <w:szCs w:val="20"/>
          <w:lang w:val="zh-CN"/>
        </w:rPr>
        <w:t>(3)</w:t>
      </w:r>
    </w:p>
    <w:p w14:paraId="780E944E" w14:textId="77777777" w:rsidR="00E51C28" w:rsidRDefault="00E51C28">
      <w:pPr>
        <w:rPr>
          <w:rFonts w:ascii="Times New Roman" w:hAnsi="Times New Roman" w:cs="Times New Roman"/>
          <w:sz w:val="20"/>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[Vivo]:</w:t>
      </w:r>
    </w:p>
    <w:p w14:paraId="0FF563A0"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For direct-path:</w:t>
      </w:r>
    </w:p>
    <w:tbl>
      <w:tblPr>
        <w:tblStyle w:val="TableGrid"/>
        <w:tblW w:w="0" w:type="auto"/>
        <w:jc w:val="center"/>
        <w:tblLook w:val="04A0" w:firstRow="1" w:lastRow="0" w:firstColumn="1" w:lastColumn="0" w:noHBand="0" w:noVBand="1"/>
      </w:tblPr>
      <w:tblGrid>
        <w:gridCol w:w="1271"/>
        <w:gridCol w:w="4394"/>
        <w:gridCol w:w="339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ZOA</m:t>
                        </m:r>
                      </m:sub>
                    </m:sSub>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394" w:type="dxa"/>
          </w:tcPr>
          <w:p w14:paraId="30092EE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r>
                  <w:rPr>
                    <w:rFonts w:ascii="Cambria Math" w:hAnsi="Cambria Math" w:cs="Times New Roman"/>
                    <w:sz w:val="20"/>
                    <w:szCs w:val="20"/>
                  </w:rPr>
                  <m:t>∙</m:t>
                </m:r>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u,s</m:t>
                                </m:r>
                              </m:sub>
                            </m:sSub>
                          </m:e>
                        </m:d>
                        <m:r>
                          <m:rPr>
                            <m:sty m:val="p"/>
                          </m:rPr>
                          <w:rPr>
                            <w:rFonts w:ascii="Cambria Math" w:eastAsia="MS Mincho" w:hAnsi="Cambria Math" w:cs="Times New Roman"/>
                            <w:sz w:val="20"/>
                            <w:szCs w:val="20"/>
                            <w:lang w:eastAsia="ja-JP"/>
                          </w:rPr>
                          <m:t>-</m:t>
                        </m:r>
                        <m:d>
                          <m:dPr>
                            <m:begChr m:val="|"/>
                            <m:endChr m:val="|"/>
                            <m:ctrlPr>
                              <w:rPr>
                                <w:rFonts w:ascii="Cambria Math" w:hAnsi="Cambria Math" w:cs="Times New Roman"/>
                                <w:bCs/>
                                <w:i/>
                                <w:sz w:val="20"/>
                                <w:szCs w:val="20"/>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lastRenderedPageBreak/>
              <w:t>Doppler shift</w:t>
            </w:r>
          </w:p>
        </w:tc>
        <w:tc>
          <w:tcPr>
            <w:tcW w:w="4394" w:type="dxa"/>
          </w:tcPr>
          <w:p w14:paraId="498F177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For non-direct path:</w:t>
      </w:r>
    </w:p>
    <w:tbl>
      <w:tblPr>
        <w:tblStyle w:val="TableGrid"/>
        <w:tblW w:w="0" w:type="auto"/>
        <w:jc w:val="center"/>
        <w:tblLook w:val="04A0" w:firstRow="1" w:lastRow="0" w:firstColumn="1" w:lastColumn="0" w:noHBand="0" w:noVBand="1"/>
      </w:tblPr>
      <w:tblGrid>
        <w:gridCol w:w="1413"/>
        <w:gridCol w:w="4252"/>
        <w:gridCol w:w="3395"/>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sSub>
                      <m:sSubPr>
                        <m:ctrlPr>
                          <w:rPr>
                            <w:rFonts w:ascii="Cambria Math" w:hAnsi="Cambria Math" w:cs="Times New Roman"/>
                            <w:sz w:val="20"/>
                            <w:szCs w:val="20"/>
                          </w:rPr>
                        </m:ctrlPr>
                      </m:sSub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ZOA</m:t>
                        </m:r>
                      </m:sub>
                    </m:sSub>
                    <m:r>
                      <m:rPr>
                        <m:sty m:val="p"/>
                      </m:rPr>
                      <w:rPr>
                        <w:rFonts w:ascii="Cambria Math" w:hAnsi="Cambria Math" w:cs="Times New Roman"/>
                        <w:sz w:val="20"/>
                        <w:szCs w:val="20"/>
                      </w:rPr>
                      <m:t>,</m:t>
                    </m:r>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ZOA</m:t>
                    </m:r>
                  </m:sub>
                  <m:sup>
                    <m:r>
                      <w:rPr>
                        <w:rFonts w:ascii="Cambria Math" w:hAnsi="Cambria Math" w:cs="Times New Roman"/>
                        <w:sz w:val="20"/>
                        <w:szCs w:val="20"/>
                      </w:rPr>
                      <m:t>u</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AOA</m:t>
                    </m:r>
                  </m:sub>
                  <m:sup>
                    <m:r>
                      <w:rPr>
                        <w:rFonts w:ascii="Cambria Math" w:hAnsi="Cambria Math" w:cs="Times New Roman"/>
                        <w:sz w:val="20"/>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252" w:type="dxa"/>
          </w:tcPr>
          <w:p w14:paraId="0FD7E92D"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 w:val="20"/>
                <w:szCs w:val="20"/>
                <w:lang w:eastAsia="ja-JP"/>
              </w:rPr>
            </w:pPr>
          </w:p>
        </w:tc>
        <w:tc>
          <w:tcPr>
            <w:tcW w:w="4252" w:type="dxa"/>
          </w:tcPr>
          <w:p w14:paraId="4DABAF1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u</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 w:val="20"/>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[CATT]:</w:t>
      </w:r>
    </w:p>
    <w:p w14:paraId="3B58354E" w14:textId="77777777" w:rsidR="00E51C28" w:rsidRDefault="00D04239">
      <w:pPr>
        <w:keepNext/>
        <w:spacing w:after="1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62F3C5E" wp14:editId="64718927">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 w:val="20"/>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w:t>
      </w:r>
      <w:proofErr w:type="spellStart"/>
      <w:r>
        <w:rPr>
          <w:rFonts w:ascii="Times New Roman" w:hAnsi="Times New Roman" w:cs="Times New Roman"/>
          <w:bCs/>
          <w:sz w:val="20"/>
          <w:szCs w:val="20"/>
        </w:rPr>
        <w:t>CEWiT</w:t>
      </w:r>
      <w:proofErr w:type="spellEnd"/>
      <w:r>
        <w:rPr>
          <w:rFonts w:ascii="Times New Roman" w:hAnsi="Times New Roman" w:cs="Times New Roman"/>
          <w:bCs/>
          <w:sz w:val="20"/>
          <w:szCs w:val="20"/>
        </w:rPr>
        <w:t>]:</w:t>
      </w:r>
    </w:p>
    <w:p w14:paraId="3891865E" w14:textId="77777777" w:rsidR="00E51C28" w:rsidRDefault="00D04239">
      <w:pPr>
        <w:tabs>
          <w:tab w:val="left" w:pos="576"/>
        </w:tabs>
        <w:spacing w:before="120" w:after="60"/>
        <w:jc w:val="center"/>
        <w:rPr>
          <w:rFonts w:ascii="Times New Roman" w:hAnsi="Times New Roman" w:cs="Times New Roman"/>
          <w:bCs/>
          <w:sz w:val="20"/>
          <w:szCs w:val="20"/>
        </w:rPr>
      </w:pPr>
      <w:r>
        <w:rPr>
          <w:rFonts w:ascii="Times New Roman" w:hAnsi="Times New Roman" w:cs="Times New Roman"/>
          <w:noProof/>
          <w:sz w:val="20"/>
          <w:szCs w:val="20"/>
        </w:rPr>
        <w:lastRenderedPageBreak/>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5"/>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t>[ZTE]:</w:t>
      </w:r>
    </w:p>
    <w:p w14:paraId="453600A5" w14:textId="77777777" w:rsidR="00E51C28" w:rsidRDefault="00E51C28">
      <w:pPr>
        <w:tabs>
          <w:tab w:val="left" w:pos="576"/>
        </w:tabs>
        <w:spacing w:before="120" w:after="60"/>
        <w:rPr>
          <w:rFonts w:ascii="Times New Roman" w:hAnsi="Times New Roman" w:cs="Times New Roman"/>
          <w:bCs/>
          <w:sz w:val="20"/>
          <w:szCs w:val="20"/>
        </w:rPr>
      </w:pPr>
    </w:p>
    <w:p w14:paraId="43C39F3F"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6"/>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 w:val="20"/>
          <w:szCs w:val="20"/>
        </w:rPr>
        <w:t xml:space="preserve">[ZTE]: </w:t>
      </w:r>
      <w:r>
        <w:rPr>
          <w:rFonts w:ascii="Times New Roman" w:hAnsi="Times New Roman" w:cs="Times New Roman" w:hint="eastAsia"/>
          <w:sz w:val="20"/>
          <w:szCs w:val="20"/>
        </w:rPr>
        <w:t>The blockage model B in TR 38.901</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can be reused to establish the spatial </w:t>
      </w:r>
      <w:r>
        <w:rPr>
          <w:rFonts w:ascii="Times New Roman" w:hAnsi="Times New Roman" w:cs="Times New Roman"/>
          <w:sz w:val="20"/>
          <w:szCs w:val="20"/>
        </w:rPr>
        <w:t>non-stationary</w:t>
      </w:r>
      <w:r>
        <w:rPr>
          <w:rFonts w:ascii="Times New Roman" w:hAnsi="Times New Roman" w:cs="Times New Roman" w:hint="eastAsia"/>
          <w:sz w:val="20"/>
          <w:szCs w:val="20"/>
        </w:rPr>
        <w:t xml:space="preserve"> model with the following step-wise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7"/>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 w:val="20"/>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E51C28"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E51C28" w:rsidRDefault="00D0423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E51C28"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E51C28" w:rsidRDefault="00D0423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 w:val="20"/>
          <w:szCs w:val="20"/>
        </w:rPr>
        <w:t xml:space="preserve">     </w:t>
      </w:r>
      <w:r>
        <w:rPr>
          <w:rFonts w:ascii="Times New Roman" w:hAnsi="Times New Roman" w:cs="Times New Roman" w:hint="eastAsia"/>
          <w:sz w:val="20"/>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E51C28"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s,n,m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E51C28"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s,n,m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 w:val="20"/>
          <w:szCs w:val="20"/>
        </w:rPr>
        <w:t xml:space="preserve">   </w:t>
      </w:r>
      <w:r>
        <w:rPr>
          <w:rFonts w:cs="Times New Roman" w:hint="eastAsia"/>
          <w:sz w:val="20"/>
          <w:szCs w:val="20"/>
        </w:rPr>
        <w:t xml:space="preserve">  </w:t>
      </w:r>
      <w:r>
        <w:rPr>
          <w:rFonts w:ascii="Times New Roman" w:hAnsi="Times New Roman" w:cs="Times New Roman" w:hint="eastAsia"/>
          <w:sz w:val="20"/>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 w:val="20"/>
          <w:szCs w:val="20"/>
        </w:rPr>
        <w:t>[Apple]</w:t>
      </w:r>
      <w:r>
        <w:rPr>
          <w:rFonts w:ascii="Times New Roman" w:hAnsi="Times New Roman" w:cs="Times New Roman" w:hint="eastAsia"/>
          <w:sz w:val="20"/>
          <w:szCs w:val="20"/>
        </w:rPr>
        <w:t xml:space="preserve">: To support spatial non-stationarity, in the step of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w:t>
      </w:r>
      <w:r>
        <w:rPr>
          <w:rFonts w:ascii="Times New Roman" w:hAnsi="Times New Roman" w:cs="Times New Roman" w:hint="eastAsia"/>
          <w:sz w:val="20"/>
          <w:szCs w:val="20"/>
        </w:rPr>
        <w:t>”</w:t>
      </w:r>
      <w:r>
        <w:rPr>
          <w:rFonts w:ascii="Times New Roman" w:hAnsi="Times New Roman" w:cs="Times New Roman" w:hint="eastAsia"/>
          <w:sz w:val="20"/>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 w:val="20"/>
          <w:szCs w:val="20"/>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w:t>
      </w:r>
      <w:r>
        <w:rPr>
          <w:rFonts w:ascii="Times New Roman" w:hAnsi="Times New Roman" w:cs="Times New Roman" w:hint="eastAsia"/>
          <w:sz w:val="20"/>
          <w:szCs w:val="20"/>
        </w:rPr>
        <w:t xml:space="preserve"> location information</w:t>
      </w:r>
      <w:r>
        <w:rPr>
          <w:rFonts w:ascii="Times New Roman" w:hAnsi="Times New Roman" w:cs="Times New Roman"/>
          <w:sz w:val="20"/>
          <w:szCs w:val="20"/>
        </w:rPr>
        <w:t xml:space="preserve"> for each cluster</w:t>
      </w:r>
      <w:r>
        <w:rPr>
          <w:rFonts w:ascii="Times New Roman" w:hAnsi="Times New Roman" w:cs="Times New Roman" w:hint="eastAsia"/>
          <w:sz w:val="20"/>
          <w:szCs w:val="20"/>
        </w:rPr>
        <w:t xml:space="preserve"> and each antenna element/sub-array in </w:t>
      </w:r>
      <w:r>
        <w:rPr>
          <w:rFonts w:ascii="Times New Roman" w:hAnsi="Times New Roman" w:cs="Times New Roman"/>
          <w:sz w:val="20"/>
          <w:szCs w:val="20"/>
        </w:rPr>
        <w:t>step-5</w:t>
      </w:r>
      <w:r>
        <w:rPr>
          <w:rFonts w:ascii="Times New Roman" w:hAnsi="Times New Roman" w:cs="Times New Roman" w:hint="eastAsia"/>
          <w:sz w:val="20"/>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 visibility region of the antenna array for each cluster</w:t>
      </w:r>
      <w:r>
        <w:rPr>
          <w:rFonts w:ascii="Times New Roman" w:hAnsi="Times New Roman" w:cs="Times New Roman" w:hint="eastAsia"/>
          <w:sz w:val="20"/>
          <w:szCs w:val="20"/>
        </w:rPr>
        <w:t xml:space="preserve"> in </w:t>
      </w:r>
      <w:r>
        <w:rPr>
          <w:rFonts w:ascii="Times New Roman" w:hAnsi="Times New Roman" w:cs="Times New Roman"/>
          <w:sz w:val="20"/>
          <w:szCs w:val="20"/>
        </w:rPr>
        <w:t>step-</w:t>
      </w:r>
      <w:r>
        <w:rPr>
          <w:rFonts w:ascii="Times New Roman" w:hAnsi="Times New Roman" w:cs="Times New Roman" w:hint="eastAsia"/>
          <w:sz w:val="20"/>
          <w:szCs w:val="20"/>
        </w:rPr>
        <w:t>7,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 xml:space="preserve">enerate the </w:t>
      </w:r>
      <w:r>
        <w:rPr>
          <w:rFonts w:ascii="Times New Roman" w:hAnsi="Times New Roman" w:cs="Times New Roman" w:hint="eastAsia"/>
          <w:sz w:val="20"/>
          <w:szCs w:val="20"/>
        </w:rPr>
        <w:t xml:space="preserve">blocker and blockage impact in </w:t>
      </w:r>
      <w:r>
        <w:rPr>
          <w:rFonts w:ascii="Times New Roman" w:hAnsi="Times New Roman" w:cs="Times New Roman"/>
          <w:sz w:val="20"/>
          <w:szCs w:val="20"/>
        </w:rPr>
        <w:t>step-</w:t>
      </w:r>
      <w:r>
        <w:rPr>
          <w:rFonts w:ascii="Times New Roman" w:hAnsi="Times New Roman" w:cs="Times New Roman" w:hint="eastAsia"/>
          <w:sz w:val="20"/>
          <w:szCs w:val="20"/>
        </w:rPr>
        <w:t>7,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0BD77A0A">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 w:val="20"/>
          <w:szCs w:val="20"/>
        </w:rPr>
        <w:t>[</w:t>
      </w:r>
      <w:proofErr w:type="spellStart"/>
      <w:r>
        <w:rPr>
          <w:rFonts w:ascii="Times New Roman" w:hAnsi="Times New Roman" w:cs="Times New Roman" w:hint="eastAsia"/>
          <w:bCs/>
          <w:sz w:val="20"/>
          <w:szCs w:val="20"/>
        </w:rPr>
        <w:t>CEWiT</w:t>
      </w:r>
      <w:proofErr w:type="spellEnd"/>
      <w:r>
        <w:rPr>
          <w:rFonts w:ascii="Times New Roman" w:hAnsi="Times New Roman" w:cs="Times New Roman" w:hint="eastAsia"/>
          <w:bCs/>
          <w:sz w:val="20"/>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5"/>
                    <a:stretch>
                      <a:fillRect/>
                    </a:stretch>
                  </pic:blipFill>
                  <pic:spPr>
                    <a:xfrm>
                      <a:off x="0" y="0"/>
                      <a:ext cx="3839845" cy="2566035"/>
                    </a:xfrm>
                    <a:prstGeom prst="rect">
                      <a:avLst/>
                    </a:prstGeom>
                  </pic:spPr>
                </pic:pic>
              </a:graphicData>
            </a:graphic>
          </wp:inline>
        </w:drawing>
      </w:r>
    </w:p>
    <w:sectPr w:rsidR="00E51C28">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A4B72" w14:textId="77777777" w:rsidR="00767E2F" w:rsidRDefault="00767E2F">
      <w:r>
        <w:separator/>
      </w:r>
    </w:p>
  </w:endnote>
  <w:endnote w:type="continuationSeparator" w:id="0">
    <w:p w14:paraId="70EAFFAE" w14:textId="77777777" w:rsidR="00767E2F" w:rsidRDefault="0076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1948" w14:textId="77777777" w:rsidR="00E51C28" w:rsidRDefault="00D0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E51C28" w:rsidRDefault="00E51C28">
    <w:pPr>
      <w:pStyle w:val="Footer"/>
      <w:ind w:right="360"/>
    </w:pPr>
  </w:p>
  <w:p w14:paraId="51BE8841" w14:textId="77777777" w:rsidR="00E51C28" w:rsidRDefault="00E51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564C" w14:textId="77777777" w:rsidR="00E51C28" w:rsidRDefault="00D0423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50006A84" w14:textId="77777777" w:rsidR="00E51C28" w:rsidRDefault="00E51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5A2B" w14:textId="77777777" w:rsidR="00767E2F" w:rsidRDefault="00767E2F">
      <w:r>
        <w:separator/>
      </w:r>
    </w:p>
  </w:footnote>
  <w:footnote w:type="continuationSeparator" w:id="0">
    <w:p w14:paraId="77131ED1" w14:textId="77777777" w:rsidR="00767E2F" w:rsidRDefault="0076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A635" w14:textId="77777777" w:rsidR="00E51C28" w:rsidRDefault="00D04239">
    <w:r>
      <w:t xml:space="preserve">Page </w:t>
    </w:r>
    <w:r>
      <w:fldChar w:fldCharType="begin"/>
    </w:r>
    <w:r>
      <w:instrText>PAGE</w:instrText>
    </w:r>
    <w:r>
      <w:fldChar w:fldCharType="separate"/>
    </w:r>
    <w:r>
      <w:t>1</w:t>
    </w:r>
    <w:r>
      <w:fldChar w:fldCharType="end"/>
    </w:r>
  </w:p>
  <w:p w14:paraId="4EB11E30" w14:textId="77777777" w:rsidR="00E51C28" w:rsidRDefault="00E51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6932414">
    <w:abstractNumId w:val="29"/>
  </w:num>
  <w:num w:numId="2" w16cid:durableId="2166424">
    <w:abstractNumId w:val="15"/>
  </w:num>
  <w:num w:numId="3" w16cid:durableId="410007065">
    <w:abstractNumId w:val="48"/>
  </w:num>
  <w:num w:numId="4" w16cid:durableId="2140222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463458">
    <w:abstractNumId w:val="10"/>
  </w:num>
  <w:num w:numId="6" w16cid:durableId="1635258585">
    <w:abstractNumId w:val="40"/>
  </w:num>
  <w:num w:numId="7" w16cid:durableId="1870994414">
    <w:abstractNumId w:val="11"/>
  </w:num>
  <w:num w:numId="8" w16cid:durableId="9551372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026074">
    <w:abstractNumId w:val="36"/>
  </w:num>
  <w:num w:numId="10" w16cid:durableId="1281300106">
    <w:abstractNumId w:val="42"/>
  </w:num>
  <w:num w:numId="11" w16cid:durableId="1265072194">
    <w:abstractNumId w:val="25"/>
  </w:num>
  <w:num w:numId="12" w16cid:durableId="1776092101">
    <w:abstractNumId w:val="44"/>
  </w:num>
  <w:num w:numId="13" w16cid:durableId="341859601">
    <w:abstractNumId w:val="23"/>
  </w:num>
  <w:num w:numId="14" w16cid:durableId="2095319257">
    <w:abstractNumId w:val="6"/>
  </w:num>
  <w:num w:numId="15" w16cid:durableId="416750415">
    <w:abstractNumId w:val="47"/>
  </w:num>
  <w:num w:numId="16" w16cid:durableId="839856848">
    <w:abstractNumId w:val="13"/>
  </w:num>
  <w:num w:numId="17" w16cid:durableId="1585799779">
    <w:abstractNumId w:val="21"/>
  </w:num>
  <w:num w:numId="18" w16cid:durableId="338192141">
    <w:abstractNumId w:val="27"/>
  </w:num>
  <w:num w:numId="19" w16cid:durableId="1289361139">
    <w:abstractNumId w:val="14"/>
  </w:num>
  <w:num w:numId="20" w16cid:durableId="301928734">
    <w:abstractNumId w:val="35"/>
  </w:num>
  <w:num w:numId="21" w16cid:durableId="1850563633">
    <w:abstractNumId w:val="16"/>
  </w:num>
  <w:num w:numId="22" w16cid:durableId="1294825621">
    <w:abstractNumId w:val="34"/>
  </w:num>
  <w:num w:numId="23" w16cid:durableId="1187140263">
    <w:abstractNumId w:val="2"/>
  </w:num>
  <w:num w:numId="24" w16cid:durableId="204760685">
    <w:abstractNumId w:val="0"/>
  </w:num>
  <w:num w:numId="25" w16cid:durableId="1187137866">
    <w:abstractNumId w:val="22"/>
  </w:num>
  <w:num w:numId="26" w16cid:durableId="740910539">
    <w:abstractNumId w:val="31"/>
  </w:num>
  <w:num w:numId="27" w16cid:durableId="1216966346">
    <w:abstractNumId w:val="20"/>
  </w:num>
  <w:num w:numId="28" w16cid:durableId="128717888">
    <w:abstractNumId w:val="30"/>
  </w:num>
  <w:num w:numId="29" w16cid:durableId="1883052107">
    <w:abstractNumId w:val="9"/>
  </w:num>
  <w:num w:numId="30" w16cid:durableId="1408960668">
    <w:abstractNumId w:val="28"/>
  </w:num>
  <w:num w:numId="31" w16cid:durableId="353657314">
    <w:abstractNumId w:val="3"/>
  </w:num>
  <w:num w:numId="32" w16cid:durableId="1040983428">
    <w:abstractNumId w:val="39"/>
  </w:num>
  <w:num w:numId="33" w16cid:durableId="915744205">
    <w:abstractNumId w:val="43"/>
  </w:num>
  <w:num w:numId="34" w16cid:durableId="864901508">
    <w:abstractNumId w:val="46"/>
  </w:num>
  <w:num w:numId="35" w16cid:durableId="1104762159">
    <w:abstractNumId w:val="49"/>
  </w:num>
  <w:num w:numId="36" w16cid:durableId="1525630821">
    <w:abstractNumId w:val="18"/>
  </w:num>
  <w:num w:numId="37" w16cid:durableId="601496959">
    <w:abstractNumId w:val="24"/>
  </w:num>
  <w:num w:numId="38" w16cid:durableId="1071807333">
    <w:abstractNumId w:val="19"/>
  </w:num>
  <w:num w:numId="39" w16cid:durableId="1679115917">
    <w:abstractNumId w:val="1"/>
  </w:num>
  <w:num w:numId="40" w16cid:durableId="887646526">
    <w:abstractNumId w:val="4"/>
  </w:num>
  <w:num w:numId="41" w16cid:durableId="1043870742">
    <w:abstractNumId w:val="26"/>
  </w:num>
  <w:num w:numId="42" w16cid:durableId="1721317837">
    <w:abstractNumId w:val="12"/>
  </w:num>
  <w:num w:numId="43" w16cid:durableId="252662887">
    <w:abstractNumId w:val="38"/>
  </w:num>
  <w:num w:numId="44" w16cid:durableId="448740861">
    <w:abstractNumId w:val="17"/>
  </w:num>
  <w:num w:numId="45" w16cid:durableId="1102728319">
    <w:abstractNumId w:val="41"/>
  </w:num>
  <w:num w:numId="46" w16cid:durableId="1268584173">
    <w:abstractNumId w:val="8"/>
  </w:num>
  <w:num w:numId="47" w16cid:durableId="979919762">
    <w:abstractNumId w:val="5"/>
  </w:num>
  <w:num w:numId="48" w16cid:durableId="842092376">
    <w:abstractNumId w:val="7"/>
  </w:num>
  <w:num w:numId="49" w16cid:durableId="2067870165">
    <w:abstractNumId w:val="37"/>
  </w:num>
  <w:num w:numId="50" w16cid:durableId="18371855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23A"/>
    <w:pPr>
      <w:widowControl w:val="0"/>
      <w:spacing w:after="0" w:line="240" w:lineRule="auto"/>
      <w:jc w:val="both"/>
    </w:pPr>
    <w:rPr>
      <w:rFonts w:asciiTheme="minorHAnsi" w:eastAsiaTheme="minorEastAsia" w:hAnsiTheme="minorHAnsi" w:cstheme="minorBidi"/>
      <w:kern w:val="2"/>
      <w:sz w:val="21"/>
      <w:szCs w:val="22"/>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黑体"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D0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023A"/>
  </w:style>
  <w:style w:type="paragraph" w:styleId="Header">
    <w:name w:val="header"/>
    <w:basedOn w:val="Normal"/>
    <w:link w:val="HeaderChar"/>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宋体"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Heading2Char">
    <w:name w:val="Heading 2 Char"/>
    <w:link w:val="Heading2"/>
    <w:uiPriority w:val="9"/>
    <w:qFormat/>
    <w:rPr>
      <w:rFonts w:ascii="Arial" w:eastAsia="黑体" w:hAnsi="Arial"/>
      <w:sz w:val="24"/>
      <w:szCs w:val="24"/>
      <w:lang w:val="en-US"/>
    </w:rPr>
  </w:style>
  <w:style w:type="character" w:customStyle="1" w:styleId="Heading3Char">
    <w:name w:val="Heading 3 Char"/>
    <w:link w:val="Heading3"/>
    <w:qFormat/>
    <w:rPr>
      <w:rFonts w:asciiTheme="minorHAnsi" w:eastAsia="黑体"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黑体" w:hAnsiTheme="minorHAnsi" w:cstheme="minorBidi"/>
      <w:bCs/>
      <w:kern w:val="2"/>
      <w:sz w:val="21"/>
      <w:szCs w:val="32"/>
      <w:lang w:val="en-US"/>
    </w:rPr>
  </w:style>
  <w:style w:type="character" w:customStyle="1" w:styleId="Heading5Char">
    <w:name w:val="Heading 5 Char"/>
    <w:link w:val="Heading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宋体"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宋体"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宋体"/>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宋体"/>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黑体"/>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黑体"/>
      <w:sz w:val="18"/>
    </w:rPr>
  </w:style>
  <w:style w:type="paragraph" w:customStyle="1" w:styleId="ab">
    <w:name w:val="注示文本"/>
    <w:basedOn w:val="Normal"/>
    <w:qFormat/>
    <w:pPr>
      <w:pBdr>
        <w:bottom w:val="single" w:sz="4" w:space="1" w:color="000000"/>
      </w:pBdr>
      <w:ind w:firstLine="360"/>
    </w:pPr>
    <w:rPr>
      <w:rFonts w:eastAsia="楷体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宋体" w:hAnsi="宋体"/>
      <w:b/>
      <w:bCs/>
      <w:color w:val="000000"/>
      <w:sz w:val="36"/>
    </w:rPr>
  </w:style>
  <w:style w:type="character" w:customStyle="1" w:styleId="ae">
    <w:name w:val="样式二"/>
    <w:basedOn w:val="ad"/>
    <w:qFormat/>
    <w:rPr>
      <w:rFonts w:ascii="宋体" w:hAnsi="宋体"/>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17CDA3-AB85-4AE9-9D71-D75AC98D8E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24</Pages>
  <Words>8428</Words>
  <Characters>48042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Shupeng Li</cp:lastModifiedBy>
  <cp:revision>5</cp:revision>
  <cp:lastPrinted>2011-11-11T01:49:00Z</cp:lastPrinted>
  <dcterms:created xsi:type="dcterms:W3CDTF">2024-05-20T00:35:00Z</dcterms:created>
  <dcterms:modified xsi:type="dcterms:W3CDTF">2024-05-20T01:03:00Z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0EF296C1E5624BB5BC2929DEE6130A8F</vt:lpwstr>
  </property>
</Properties>
</file>