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A6A6" w14:textId="79D6C6C1" w:rsidR="00D428A7" w:rsidRPr="005F59C6" w:rsidRDefault="00BF43C3">
      <w:pPr>
        <w:pStyle w:val="Header"/>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Header"/>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Heading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SimSun"/>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Heading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Heading3"/>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Heading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SimSun"/>
          <w:bCs/>
          <w:lang w:val="en-US" w:eastAsia="zh-CN" w:bidi="ar"/>
        </w:rPr>
        <w:t>Procedures to trigger PDCCH monitoring</w:t>
      </w:r>
    </w:p>
    <w:p w14:paraId="6F501BF2" w14:textId="18D9A12D" w:rsidR="006B4D80" w:rsidRPr="00F65163" w:rsidRDefault="006B4D80" w:rsidP="006B4D80">
      <w:pPr>
        <w:pStyle w:val="Heading3"/>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DengXian"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DengXian"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DengXian"/>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5pt;height:60.35pt;mso-width-percent:0;mso-height-percent:0;mso-width-percent:0;mso-height-percent:0" o:ole="">
                  <v:imagedata r:id="rId10" o:title=""/>
                </v:shape>
                <o:OLEObject Type="Embed" ProgID="Visio.Drawing.15" ShapeID="_x0000_i1025" DrawAspect="Content" ObjectID="_1777712955"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DengXian"/>
                <w:b/>
                <w:noProof/>
              </w:rPr>
              <w:object w:dxaOrig="9345" w:dyaOrig="1470" w14:anchorId="1911447A">
                <v:shape id="_x0000_i1026" type="#_x0000_t75" alt="" style="width:468.2pt;height:1in;mso-width-percent:0;mso-height-percent:0;mso-width-percent:0;mso-height-percent:0" o:ole="">
                  <v:imagedata r:id="rId12" o:title=""/>
                </v:shape>
                <o:OLEObject Type="Embed" ProgID="Visio.Drawing.15" ShapeID="_x0000_i1026" DrawAspect="Content" ObjectID="_1777712956"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9345" w:dyaOrig="1545" w14:anchorId="39C147A7">
                <v:shape id="_x0000_i1027" type="#_x0000_t75" alt="" style="width:468.2pt;height:78.25pt;mso-width-percent:0;mso-height-percent:0;mso-width-percent:0;mso-height-percent:0" o:ole="">
                  <v:imagedata r:id="rId14" o:title=""/>
                </v:shape>
                <o:OLEObject Type="Embed" ProgID="Visio.Drawing.15" ShapeID="_x0000_i1027" DrawAspect="Content" ObjectID="_1777712957"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DengXian"/>
                <w:b/>
                <w:noProof/>
              </w:rPr>
              <w:object w:dxaOrig="8115" w:dyaOrig="3585" w14:anchorId="16F8B250">
                <v:shape id="_x0000_i1028" type="#_x0000_t75" alt="" style="width:408.3pt;height:179.4pt;mso-width-percent:0;mso-height-percent:0;mso-width-percent:0;mso-height-percent:0" o:ole="">
                  <v:imagedata r:id="rId16" o:title=""/>
                </v:shape>
                <o:OLEObject Type="Embed" ProgID="Visio.Drawing.15" ShapeID="_x0000_i1028" DrawAspect="Content" ObjectID="_1777712958"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7980" w:dyaOrig="3960" w14:anchorId="0F4918EC">
                <v:shape id="_x0000_i1029" type="#_x0000_t75" alt="" style="width:395.8pt;height:196.85pt;mso-width-percent:0;mso-height-percent:0;mso-width-percent:0;mso-height-percent:0" o:ole="">
                  <v:imagedata r:id="rId18" o:title=""/>
                </v:shape>
                <o:OLEObject Type="Embed" ProgID="Visio.Drawing.15" ShapeID="_x0000_i1029" DrawAspect="Content" ObjectID="_1777712959"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SimSun"/>
                    </w:rPr>
                  </w:pPr>
                  <w:r>
                    <w:rPr>
                      <w:rFonts w:eastAsia="SimSu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SimSun"/>
                    </w:rPr>
                  </w:pPr>
                  <w:r>
                    <w:rPr>
                      <w:rFonts w:eastAsia="SimSu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SimSun"/>
                    </w:rPr>
                  </w:pPr>
                  <w:r>
                    <w:rPr>
                      <w:rFonts w:eastAsia="SimSun"/>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DengXian" w:cs="Arial"/>
                      <w:bCs/>
                    </w:rPr>
                  </w:pPr>
                  <w:r>
                    <w:rPr>
                      <w:rFonts w:eastAsia="Times New Roman" w:cs="Arial"/>
                      <w:bCs/>
                      <w:highlight w:val="cyan"/>
                    </w:rPr>
                    <w:t>Option 1</w:t>
                  </w:r>
                  <w:r>
                    <w:rPr>
                      <w:rFonts w:eastAsia="Times New Roman" w:cs="Arial"/>
                      <w:bCs/>
                    </w:rPr>
                    <w:t>:</w:t>
                  </w:r>
                  <w:r>
                    <w:rPr>
                      <w:rFonts w:eastAsia="SimSun"/>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SimSun"/>
                      <w:lang w:eastAsia="ja-JP"/>
                    </w:rPr>
                  </w:pPr>
                  <w:r>
                    <w:rPr>
                      <w:rFonts w:eastAsia="SimSun"/>
                      <w:lang w:eastAsia="ja-JP"/>
                    </w:rPr>
                    <w:t>It would result in having redundant mechanism for the same purpose.</w:t>
                  </w:r>
                </w:p>
                <w:p w14:paraId="2627C8EF" w14:textId="77777777" w:rsidR="00D428A7" w:rsidRDefault="00BF43C3">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SimSun"/>
                      <w:lang w:eastAsia="ja-JP"/>
                    </w:rPr>
                  </w:pPr>
                  <w:r>
                    <w:rPr>
                      <w:rFonts w:eastAsia="SimSun"/>
                      <w:lang w:eastAsia="ja-JP"/>
                    </w:rPr>
                    <w:t>Power saving gain is excepted compared to current C-DRX mechanism.</w:t>
                  </w:r>
                </w:p>
                <w:p w14:paraId="075D8EF8" w14:textId="77777777" w:rsidR="00D428A7" w:rsidRDefault="00BF43C3">
                  <w:pPr>
                    <w:pStyle w:val="TAL"/>
                    <w:rPr>
                      <w:rFonts w:eastAsia="SimSun"/>
                      <w:lang w:eastAsia="ja-JP"/>
                    </w:rPr>
                  </w:pPr>
                  <w:r>
                    <w:rPr>
                      <w:rFonts w:eastAsia="SimSun"/>
                      <w:lang w:eastAsia="ja-JP"/>
                    </w:rPr>
                    <w:t>LP-WUS configuration is more flexible than option 1 and option 3, e.g. since WUR duty-cycle is not locked to C-DRX cycle;</w:t>
                  </w:r>
                </w:p>
                <w:p w14:paraId="2B428242" w14:textId="77777777" w:rsidR="00D428A7" w:rsidRDefault="00BF43C3">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SimSun"/>
                      <w:lang w:eastAsia="ja-JP"/>
                    </w:rPr>
                  </w:pPr>
                  <w:r>
                    <w:rPr>
                      <w:rFonts w:eastAsia="SimSun"/>
                      <w:lang w:eastAsia="ja-JP"/>
                    </w:rPr>
                    <w:t>More complexity: how to coexist with current C-DRX mechanism;</w:t>
                  </w:r>
                </w:p>
                <w:p w14:paraId="5E2B2713" w14:textId="77777777" w:rsidR="00D428A7" w:rsidRDefault="00BF43C3">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SimSun"/>
                      <w:lang w:eastAsia="ja-JP"/>
                    </w:rPr>
                  </w:pPr>
                  <w:r>
                    <w:rPr>
                      <w:rFonts w:eastAsia="SimSun"/>
                      <w:lang w:eastAsia="ja-JP"/>
                    </w:rPr>
                    <w:t>More specification impacts considering it may change the current PDCCH monitoring behaviour</w:t>
                  </w:r>
                </w:p>
                <w:p w14:paraId="0B0E1B50" w14:textId="77777777" w:rsidR="00D428A7" w:rsidRDefault="00BF43C3">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SimSun" w:cs="Arial"/>
                      <w:bCs/>
                      <w:lang w:eastAsia="ja-JP"/>
                    </w:rPr>
                    <w:t>LP-WUS could be used</w:t>
                  </w:r>
                  <w:r>
                    <w:rPr>
                      <w:rFonts w:eastAsia="SimSun"/>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SimSun"/>
                      <w:lang w:eastAsia="ja-JP"/>
                    </w:rPr>
                  </w:pPr>
                  <w:r>
                    <w:rPr>
                      <w:rFonts w:eastAsia="SimSun"/>
                      <w:lang w:eastAsia="ja-JP"/>
                    </w:rPr>
                    <w:t>LP-WUS configuration is more flexible than other options above;</w:t>
                  </w:r>
                </w:p>
                <w:p w14:paraId="51C8A7C4" w14:textId="77777777" w:rsidR="00D428A7" w:rsidRDefault="00BF43C3">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SimSun"/>
                      <w:lang w:eastAsia="ja-JP"/>
                    </w:rPr>
                  </w:pPr>
                  <w:r>
                    <w:rPr>
                      <w:rFonts w:eastAsia="SimSun"/>
                      <w:lang w:eastAsia="ja-JP"/>
                    </w:rPr>
                    <w:t>More complexity: we need to discuss how to stop the PDCCH monitoring and how to configure the LP-WUS;</w:t>
                  </w:r>
                </w:p>
                <w:p w14:paraId="33ADE945" w14:textId="77777777" w:rsidR="00D428A7" w:rsidRDefault="00D428A7">
                  <w:pPr>
                    <w:pStyle w:val="TAL"/>
                    <w:rPr>
                      <w:rFonts w:eastAsia="SimSun"/>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TableGrid"/>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TableGrid"/>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ListParagraph"/>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ListParagraph"/>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ListParagraph"/>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ListParagraph"/>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ListParagraph"/>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ListParagraph"/>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ListParagraph"/>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ListParagraph"/>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ListParagraph"/>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ListParagraph"/>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ListParagraph"/>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ListParagraph"/>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ListParagraph"/>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ListParagraph"/>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ListParagraph"/>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ListParagraph"/>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ListParagraph"/>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ListParagraph"/>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ListParagraph"/>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ListParagraph"/>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ListParagraph"/>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ListParagraph"/>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ListParagraph"/>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ListParagraph"/>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ListParagraph"/>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ListParagraph"/>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ListParagraph"/>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ListParagraph"/>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DengXian" w:hAnsi="Times New Roman" w:cs="Arial"/>
                <w:sz w:val="20"/>
                <w:szCs w:val="20"/>
              </w:rPr>
              <w:t>in case the traffic arrives outside the C-DRX active time (vivo)</w:t>
            </w:r>
          </w:p>
          <w:p w14:paraId="67685BB3" w14:textId="76A3F8B3" w:rsidR="000062C8" w:rsidRPr="009F430F" w:rsidRDefault="000062C8" w:rsidP="00ED1EBA">
            <w:pPr>
              <w:pStyle w:val="ListParagraph"/>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ListParagraph"/>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ListParagraph"/>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ListParagraph"/>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ListParagraph"/>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ListParagraph"/>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ListParagraph"/>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ListParagraph"/>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ListParagraph"/>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ListParagraph"/>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ListParagraph"/>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ListParagraph"/>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ListParagraph"/>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ListParagraph"/>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ListParagraph"/>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SimSun"/>
          <w:highlight w:val="cyan"/>
          <w:lang w:eastAsia="zh-CN"/>
        </w:rPr>
        <w:t xml:space="preserve">Procedures for </w:t>
      </w:r>
      <w:r w:rsidR="00011CC9" w:rsidRPr="00EB3B5E">
        <w:rPr>
          <w:highlight w:val="cyan"/>
        </w:rPr>
        <w:t xml:space="preserve">LP-WUS </w:t>
      </w:r>
      <w:r w:rsidR="00011CC9" w:rsidRPr="00EB3B5E">
        <w:rPr>
          <w:rFonts w:eastAsia="SimSun"/>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Heading3"/>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TableGrid"/>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ListParagraph"/>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ListParagraph"/>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ListParagraph"/>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ListParagraph"/>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ListParagraph"/>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ListParagraph"/>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ListParagraph"/>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ListParagraph"/>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TableGrid"/>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Heading4"/>
        <w:rPr>
          <w:rFonts w:ascii="Times New Roman" w:hAnsi="Times New Roman"/>
          <w:b/>
          <w:bCs/>
          <w:sz w:val="20"/>
        </w:rPr>
      </w:pPr>
      <w:r w:rsidRPr="002245D4">
        <w:rPr>
          <w:rFonts w:ascii="Times New Roman" w:hAnsi="Times New Roman"/>
          <w:b/>
          <w:bCs/>
          <w:sz w:val="20"/>
          <w:highlight w:val="yellow"/>
        </w:rPr>
        <w:t>Proposal 3.2-1:</w:t>
      </w:r>
    </w:p>
    <w:p w14:paraId="0D563FE2" w14:textId="4845554F" w:rsidR="00B40067" w:rsidRPr="002245D4" w:rsidRDefault="00160C6B" w:rsidP="008D46C5">
      <w:pPr>
        <w:pStyle w:val="ListParagraph"/>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ListParagraph"/>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TableGrid"/>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DengXian"/>
                <w:iCs/>
              </w:rPr>
              <w:t>report</w:t>
            </w:r>
            <w:r w:rsidRPr="001472A4">
              <w:rPr>
                <w:rFonts w:eastAsia="DengXian"/>
                <w:iCs/>
              </w:rPr>
              <w:t xml:space="preserve"> </w:t>
            </w:r>
            <w:r>
              <w:rPr>
                <w:rFonts w:eastAsia="DengXian"/>
                <w:iCs/>
              </w:rPr>
              <w:t>its minimum time gap</w:t>
            </w:r>
            <w:r w:rsidRPr="001472A4">
              <w:rPr>
                <w:rFonts w:eastAsia="DengXian"/>
                <w:iCs/>
              </w:rPr>
              <w:t xml:space="preserve"> values for MR wake up.</w:t>
            </w:r>
            <w:r>
              <w:rPr>
                <w:rFonts w:eastAsia="DengXian"/>
                <w:iCs/>
              </w:rPr>
              <w:t xml:space="preserve"> And </w:t>
            </w:r>
            <w:r w:rsidRPr="00693590">
              <w:rPr>
                <w:rFonts w:eastAsia="DengXian"/>
                <w:iCs/>
              </w:rPr>
              <w:t>the network can</w:t>
            </w:r>
            <w:r>
              <w:rPr>
                <w:rFonts w:eastAsia="DengXian"/>
                <w:iCs/>
              </w:rPr>
              <w:t xml:space="preserve"> accordingly</w:t>
            </w:r>
            <w:r w:rsidRPr="00693590">
              <w:rPr>
                <w:rFonts w:eastAsia="DengXian"/>
                <w:iCs/>
              </w:rPr>
              <w:t xml:space="preserve"> configure UE with </w:t>
            </w:r>
            <w:r>
              <w:rPr>
                <w:rFonts w:eastAsia="DengXian"/>
                <w:iCs/>
              </w:rPr>
              <w:t xml:space="preserve">a </w:t>
            </w:r>
            <w:r w:rsidRPr="00693590">
              <w:rPr>
                <w:rFonts w:eastAsia="DengXian"/>
                <w:iCs/>
              </w:rPr>
              <w:t xml:space="preserve">time gap between </w:t>
            </w:r>
            <w:r>
              <w:rPr>
                <w:rFonts w:eastAsia="DengXian"/>
                <w:iCs/>
              </w:rPr>
              <w:t>LP-</w:t>
            </w:r>
            <w:r w:rsidRPr="00693590">
              <w:rPr>
                <w:rFonts w:eastAsia="DengXian"/>
                <w:iCs/>
              </w:rPr>
              <w:t xml:space="preserve">WUS </w:t>
            </w:r>
            <w:r>
              <w:rPr>
                <w:rFonts w:eastAsia="DengXian"/>
                <w:iCs/>
              </w:rPr>
              <w:t xml:space="preserve">reception </w:t>
            </w:r>
            <w:r w:rsidRPr="00693590">
              <w:rPr>
                <w:rFonts w:eastAsia="DengXian"/>
                <w:iCs/>
              </w:rPr>
              <w:t xml:space="preserve">and the time </w:t>
            </w:r>
            <w:r>
              <w:rPr>
                <w:rFonts w:eastAsia="DengXian"/>
                <w:iCs/>
              </w:rPr>
              <w:t>UE’s</w:t>
            </w:r>
            <w:r w:rsidRPr="00693590">
              <w:rPr>
                <w:rFonts w:eastAsia="DengXian"/>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Malgun Gothic"/>
                <w:lang w:val="en-US" w:eastAsia="ko-KR"/>
              </w:rPr>
              <w:t>Y</w:t>
            </w:r>
          </w:p>
        </w:tc>
        <w:tc>
          <w:tcPr>
            <w:tcW w:w="6780" w:type="dxa"/>
          </w:tcPr>
          <w:p w14:paraId="5C7F5718" w14:textId="77777777" w:rsidR="007D61C4" w:rsidRDefault="007D61C4" w:rsidP="006B64EE">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5A5CB4" w14:paraId="00C00364" w14:textId="77777777" w:rsidTr="007D61C4">
        <w:tc>
          <w:tcPr>
            <w:tcW w:w="1479" w:type="dxa"/>
          </w:tcPr>
          <w:p w14:paraId="3C33E2D8" w14:textId="63EEC47B" w:rsidR="005A5CB4" w:rsidRDefault="005A5CB4" w:rsidP="006B64EE">
            <w:pPr>
              <w:jc w:val="left"/>
              <w:rPr>
                <w:rFonts w:eastAsia="Malgun Gothic" w:hint="eastAsia"/>
                <w:lang w:val="en-US" w:eastAsia="ko-KR"/>
              </w:rPr>
            </w:pPr>
            <w:r>
              <w:rPr>
                <w:rFonts w:eastAsia="Malgun Gothic"/>
                <w:lang w:val="en-US" w:eastAsia="ko-KR"/>
              </w:rPr>
              <w:t>Nokia1</w:t>
            </w:r>
          </w:p>
        </w:tc>
        <w:tc>
          <w:tcPr>
            <w:tcW w:w="1372" w:type="dxa"/>
          </w:tcPr>
          <w:p w14:paraId="2D925408" w14:textId="77777777" w:rsidR="005A5CB4" w:rsidRDefault="005A5CB4" w:rsidP="006B64EE">
            <w:pPr>
              <w:tabs>
                <w:tab w:val="left" w:pos="551"/>
              </w:tabs>
              <w:jc w:val="left"/>
              <w:rPr>
                <w:rFonts w:eastAsia="Malgun Gothic"/>
                <w:lang w:val="en-US" w:eastAsia="ko-KR"/>
              </w:rPr>
            </w:pPr>
          </w:p>
        </w:tc>
        <w:tc>
          <w:tcPr>
            <w:tcW w:w="6780" w:type="dxa"/>
          </w:tcPr>
          <w:p w14:paraId="61AE8F65" w14:textId="61474D49" w:rsidR="005A5CB4" w:rsidRDefault="005A5CB4" w:rsidP="006B64EE">
            <w:pPr>
              <w:jc w:val="left"/>
              <w:rPr>
                <w:rFonts w:eastAsia="Malgun Gothic" w:hint="eastAsia"/>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w:t>
            </w:r>
            <w:r>
              <w:rPr>
                <w:rFonts w:eastAsiaTheme="minorEastAsia"/>
                <w:lang w:val="en-US" w:eastAsia="zh-CN"/>
              </w:rPr>
              <w:t>,</w:t>
            </w:r>
            <w:r>
              <w:rPr>
                <w:rFonts w:eastAsiaTheme="minorEastAsia"/>
                <w:lang w:val="en-US" w:eastAsia="zh-CN"/>
              </w:rPr>
              <w:t xml:space="preserve"> our preference would be to allow network configure the offset e.g. based on traffic KPIs. UE can optimize it’s applied power saving state accordingly to attain best possible power saving performance.</w:t>
            </w: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Heading3"/>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TableGrid"/>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7A1D5931">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0C537E34">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ListParagraph"/>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ListParagraph"/>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ListParagraph"/>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ListParagraph"/>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ListParagraph"/>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ListParagraph"/>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TableGrid"/>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ListParagraph"/>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ListParagraph"/>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ListParagraph"/>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DengXian"/>
                <w:b/>
                <w:bCs/>
                <w:highlight w:val="green"/>
                <w:lang w:val="en-US" w:eastAsia="zh-CN" w:bidi="ar"/>
              </w:rPr>
            </w:pPr>
          </w:p>
          <w:p w14:paraId="10FB9D23" w14:textId="48FB9A5B" w:rsidR="0062095E" w:rsidRPr="007726CB" w:rsidRDefault="0062095E" w:rsidP="0062095E">
            <w:pPr>
              <w:spacing w:after="0"/>
              <w:rPr>
                <w:rFonts w:eastAsia="DengXian"/>
                <w:b/>
                <w:bCs/>
                <w:highlight w:val="green"/>
                <w:lang w:val="en-US" w:eastAsia="zh-CN" w:bidi="ar"/>
              </w:rPr>
            </w:pPr>
            <w:r w:rsidRPr="007726CB">
              <w:rPr>
                <w:rFonts w:eastAsia="DengXian"/>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ListParagraph"/>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ListParagraph"/>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ListParagraph"/>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Heading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ListParagraph"/>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ListParagraph"/>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ListParagraph"/>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ListParagraph"/>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ListParagraph"/>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ListParagraph"/>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ListParagraph"/>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ListParagraph"/>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5A5CB4" w14:paraId="5401F5B9" w14:textId="77777777" w:rsidTr="007D61C4">
        <w:tc>
          <w:tcPr>
            <w:tcW w:w="1479" w:type="dxa"/>
          </w:tcPr>
          <w:p w14:paraId="4D88FE85" w14:textId="155F2D93" w:rsidR="005A5CB4" w:rsidRDefault="005A5CB4" w:rsidP="005A5CB4">
            <w:pPr>
              <w:jc w:val="left"/>
              <w:rPr>
                <w:rFonts w:eastAsia="Malgun Gothic" w:hint="eastAsia"/>
                <w:lang w:eastAsia="ko-KR"/>
              </w:rPr>
            </w:pPr>
            <w:r>
              <w:rPr>
                <w:rFonts w:eastAsiaTheme="minorEastAsia"/>
                <w:lang w:val="en-US" w:eastAsia="zh-CN"/>
              </w:rPr>
              <w:t>Nokia1</w:t>
            </w:r>
          </w:p>
        </w:tc>
        <w:tc>
          <w:tcPr>
            <w:tcW w:w="1372" w:type="dxa"/>
          </w:tcPr>
          <w:p w14:paraId="1B991C3F" w14:textId="77777777" w:rsidR="005A5CB4" w:rsidRDefault="005A5CB4" w:rsidP="005A5CB4">
            <w:pPr>
              <w:tabs>
                <w:tab w:val="left" w:pos="551"/>
              </w:tabs>
              <w:jc w:val="left"/>
              <w:rPr>
                <w:rFonts w:eastAsia="Malgun Gothic" w:hint="eastAsia"/>
                <w:lang w:val="en-US" w:eastAsia="ko-KR"/>
              </w:rPr>
            </w:pPr>
          </w:p>
        </w:tc>
        <w:tc>
          <w:tcPr>
            <w:tcW w:w="6780" w:type="dxa"/>
          </w:tcPr>
          <w:p w14:paraId="7F6427A8" w14:textId="77777777" w:rsidR="005A5CB4" w:rsidRDefault="005A5CB4" w:rsidP="005A5CB4">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40524E45" w14:textId="77777777" w:rsidR="005A5CB4" w:rsidRDefault="005A5CB4" w:rsidP="005A5CB4">
            <w:pPr>
              <w:jc w:val="left"/>
              <w:rPr>
                <w:rFonts w:eastAsiaTheme="minorEastAsia"/>
                <w:lang w:val="en-US" w:eastAsia="zh-CN"/>
              </w:rPr>
            </w:pPr>
            <w:r>
              <w:rPr>
                <w:rFonts w:eastAsiaTheme="minorEastAsia"/>
                <w:lang w:val="en-US" w:eastAsia="zh-CN"/>
              </w:rPr>
              <w:t>“</w:t>
            </w:r>
            <w:r w:rsidRPr="007B7F8D">
              <w:rPr>
                <w:rFonts w:eastAsiaTheme="minorEastAsia"/>
                <w:color w:val="FF0000"/>
                <w:u w:val="single"/>
                <w:lang w:val="en-US" w:eastAsia="zh-CN"/>
              </w:rPr>
              <w:t xml:space="preserve">In the scope of LP-WUS monitoring discussions in RRC CONNECTED mode </w:t>
            </w:r>
            <w:r w:rsidRPr="007726CB">
              <w:rPr>
                <w:b/>
                <w:lang w:val="en-US"/>
              </w:rPr>
              <w:t xml:space="preserve">LP-WUS occasions (LOs) are defined </w:t>
            </w:r>
            <w:r w:rsidRPr="007B7F8D">
              <w:rPr>
                <w:b/>
                <w:color w:val="FF0000"/>
                <w:u w:val="single"/>
                <w:lang w:val="en-US"/>
              </w:rPr>
              <w:t>as follows</w:t>
            </w:r>
            <w:r w:rsidRPr="007B7F8D">
              <w:rPr>
                <w:b/>
                <w:strike/>
                <w:color w:val="FF0000"/>
                <w:lang w:val="en-US"/>
              </w:rPr>
              <w:t>for LP-WUS monitoring in RRC CONNECTED mode</w:t>
            </w:r>
            <w:r>
              <w:rPr>
                <w:rFonts w:eastAsiaTheme="minorEastAsia"/>
                <w:lang w:val="en-US" w:eastAsia="zh-CN"/>
              </w:rPr>
              <w:t>”</w:t>
            </w:r>
          </w:p>
          <w:p w14:paraId="309178D2" w14:textId="77777777" w:rsidR="005A5CB4" w:rsidRDefault="005A5CB4" w:rsidP="005A5CB4">
            <w:pPr>
              <w:jc w:val="left"/>
              <w:rPr>
                <w:rFonts w:eastAsiaTheme="minorEastAsia"/>
                <w:lang w:val="en-US" w:eastAsia="zh-CN"/>
              </w:rPr>
            </w:pPr>
            <w:r>
              <w:rPr>
                <w:rFonts w:eastAsiaTheme="minorEastAsia"/>
                <w:lang w:val="en-US" w:eastAsia="zh-CN"/>
              </w:rPr>
              <w:t xml:space="preserve">. </w:t>
            </w:r>
          </w:p>
          <w:p w14:paraId="5BDD4DE3" w14:textId="04D3096E" w:rsidR="005A5CB4" w:rsidRDefault="005A5CB4" w:rsidP="005A5CB4">
            <w:pPr>
              <w:jc w:val="left"/>
              <w:rPr>
                <w:rFonts w:eastAsia="Malgun Gothic" w:hint="eastAsia"/>
                <w:lang w:val="en-US" w:eastAsia="ko-KR"/>
              </w:rPr>
            </w:pPr>
            <w:r>
              <w:rPr>
                <w:rFonts w:eastAsiaTheme="minorEastAsia"/>
                <w:lang w:val="en-US" w:eastAsia="zh-CN"/>
              </w:rPr>
              <w:t xml:space="preserve">Depending on the scheme, the applicability or need of defining LO periodicity does not seem fully clear. While not proponent of Option 1-1, it would also appear that for it there is no need to configure LO </w:t>
            </w:r>
            <w:r>
              <w:rPr>
                <w:rFonts w:eastAsiaTheme="minorEastAsia"/>
                <w:lang w:val="en-US" w:eastAsia="zh-CN"/>
              </w:rPr>
              <w:t>periodicity,</w:t>
            </w:r>
            <w:r>
              <w:rPr>
                <w:rFonts w:eastAsiaTheme="minorEastAsia"/>
                <w:lang w:val="en-US" w:eastAsia="zh-CN"/>
              </w:rPr>
              <w:t xml:space="preserve"> but an offset would suffice.</w:t>
            </w:r>
          </w:p>
        </w:tc>
      </w:tr>
    </w:tbl>
    <w:p w14:paraId="2B9EC19B" w14:textId="77777777" w:rsidR="006E0492" w:rsidRPr="007D61C4" w:rsidRDefault="006E0492">
      <w:pPr>
        <w:rPr>
          <w:rFonts w:eastAsia="Yu Mincho"/>
          <w:lang w:val="en-US"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ListParagraph"/>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ListParagraph"/>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ListParagraph"/>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ListParagraph"/>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ListParagraph"/>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ListParagraph"/>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ListParagraph"/>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ListParagraph"/>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Heading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ListParagraph"/>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ListParagraph"/>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TableGrid"/>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5A5CB4" w:rsidRPr="00D36BEC" w14:paraId="72951B40" w14:textId="77777777" w:rsidTr="007D61C4">
        <w:tc>
          <w:tcPr>
            <w:tcW w:w="1479" w:type="dxa"/>
          </w:tcPr>
          <w:p w14:paraId="758593C4" w14:textId="4FCA131C" w:rsidR="005A5CB4" w:rsidRDefault="005A5CB4" w:rsidP="005A5CB4">
            <w:pPr>
              <w:jc w:val="left"/>
              <w:rPr>
                <w:rFonts w:eastAsia="Malgun Gothic" w:hint="eastAsia"/>
                <w:lang w:eastAsia="ko-KR"/>
              </w:rPr>
            </w:pPr>
            <w:r>
              <w:rPr>
                <w:rFonts w:eastAsiaTheme="minorEastAsia"/>
                <w:lang w:eastAsia="zh-CN"/>
              </w:rPr>
              <w:t>Nokia1</w:t>
            </w:r>
          </w:p>
        </w:tc>
        <w:tc>
          <w:tcPr>
            <w:tcW w:w="1372" w:type="dxa"/>
          </w:tcPr>
          <w:p w14:paraId="2082C07D" w14:textId="70EBEAF9" w:rsidR="005A5CB4" w:rsidRDefault="005A5CB4" w:rsidP="005A5CB4">
            <w:pPr>
              <w:tabs>
                <w:tab w:val="left" w:pos="551"/>
              </w:tabs>
              <w:jc w:val="left"/>
              <w:rPr>
                <w:rFonts w:eastAsiaTheme="minorEastAsia"/>
                <w:lang w:val="en-US" w:eastAsia="zh-CN"/>
              </w:rPr>
            </w:pPr>
          </w:p>
        </w:tc>
        <w:tc>
          <w:tcPr>
            <w:tcW w:w="6780" w:type="dxa"/>
          </w:tcPr>
          <w:p w14:paraId="531F4B35" w14:textId="302A2EA9" w:rsidR="005A5CB4" w:rsidRDefault="005A5CB4" w:rsidP="005A5CB4">
            <w:pPr>
              <w:jc w:val="left"/>
              <w:rPr>
                <w:rFonts w:eastAsia="Malgun Gothic" w:hint="eastAsia"/>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bl>
    <w:p w14:paraId="6585A90D" w14:textId="77777777" w:rsidR="00A26240" w:rsidRPr="007D61C4" w:rsidRDefault="00A26240">
      <w:pPr>
        <w:rPr>
          <w:rFonts w:eastAsia="Yu Mincho"/>
          <w:lang w:val="en-US" w:eastAsia="ja-JP"/>
        </w:rPr>
      </w:pPr>
    </w:p>
    <w:p w14:paraId="68DD3933" w14:textId="36210D0E" w:rsidR="00D428A7" w:rsidRDefault="00A32F9C">
      <w:pPr>
        <w:pStyle w:val="Heading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Heading3"/>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TableGrid"/>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ListParagraph"/>
        <w:numPr>
          <w:ilvl w:val="0"/>
          <w:numId w:val="19"/>
        </w:numPr>
        <w:rPr>
          <w:rFonts w:eastAsia="Yu Mincho"/>
          <w:sz w:val="20"/>
          <w:szCs w:val="20"/>
          <w:lang w:val="en-US"/>
        </w:rPr>
      </w:pPr>
      <w:r w:rsidRPr="004228FC">
        <w:rPr>
          <w:rFonts w:eastAsia="Yu Mincho"/>
          <w:sz w:val="20"/>
          <w:szCs w:val="20"/>
          <w:lang w:val="en-US"/>
        </w:rPr>
        <w:lastRenderedPageBreak/>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ListParagraph"/>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ListParagraph"/>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ListParagraph"/>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ListParagraph"/>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ListParagraph"/>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ListParagraph"/>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ListParagraph"/>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ListParagraph"/>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ListParagraph"/>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ListParagraph"/>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Heading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ListParagraph"/>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ListParagraph"/>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ListParagraph"/>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ListParagraph"/>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ListParagraph"/>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ListParagraph"/>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ListParagraph"/>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lastRenderedPageBreak/>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ListParagraph"/>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C138237" w14:textId="77777777" w:rsidR="007D61C4" w:rsidRPr="00DB3D14" w:rsidRDefault="007D61C4" w:rsidP="006B64E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74FE0" w14:textId="77777777" w:rsidR="007D61C4" w:rsidRPr="00DB3D14" w:rsidRDefault="007D61C4" w:rsidP="006B64EE">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5A5CB4" w:rsidRPr="00DB3D14" w14:paraId="1E9F04BD" w14:textId="77777777" w:rsidTr="007D61C4">
        <w:tc>
          <w:tcPr>
            <w:tcW w:w="1479" w:type="dxa"/>
          </w:tcPr>
          <w:p w14:paraId="4BDB71AA" w14:textId="05ED899D" w:rsidR="005A5CB4" w:rsidRDefault="005A5CB4" w:rsidP="006B64EE">
            <w:pPr>
              <w:jc w:val="left"/>
              <w:rPr>
                <w:rFonts w:eastAsia="Malgun Gothic" w:hint="eastAsia"/>
                <w:lang w:val="en-US" w:eastAsia="ko-KR"/>
              </w:rPr>
            </w:pPr>
            <w:r>
              <w:rPr>
                <w:rFonts w:eastAsia="Malgun Gothic"/>
                <w:lang w:val="en-US" w:eastAsia="ko-KR"/>
              </w:rPr>
              <w:t>Nokia1</w:t>
            </w:r>
          </w:p>
        </w:tc>
        <w:tc>
          <w:tcPr>
            <w:tcW w:w="1372" w:type="dxa"/>
          </w:tcPr>
          <w:p w14:paraId="3CA455C5" w14:textId="77777777" w:rsidR="005A5CB4" w:rsidRDefault="005A5CB4" w:rsidP="006B64EE">
            <w:pPr>
              <w:tabs>
                <w:tab w:val="left" w:pos="551"/>
              </w:tabs>
              <w:jc w:val="left"/>
              <w:rPr>
                <w:rFonts w:eastAsia="Malgun Gothic" w:hint="eastAsia"/>
                <w:lang w:val="en-US" w:eastAsia="ko-KR"/>
              </w:rPr>
            </w:pPr>
          </w:p>
        </w:tc>
        <w:tc>
          <w:tcPr>
            <w:tcW w:w="6780" w:type="dxa"/>
          </w:tcPr>
          <w:p w14:paraId="3D3F41D0" w14:textId="77777777" w:rsidR="005A5CB4" w:rsidRDefault="005A5CB4" w:rsidP="006B64EE">
            <w:pPr>
              <w:jc w:val="left"/>
              <w:rPr>
                <w:rFonts w:eastAsia="Malgun Gothic"/>
                <w:lang w:val="en-US" w:eastAsia="ko-KR"/>
              </w:rPr>
            </w:pPr>
            <w:r>
              <w:rPr>
                <w:rFonts w:eastAsia="Malgun Gothic"/>
                <w:lang w:val="en-US" w:eastAsia="ko-KR"/>
              </w:rPr>
              <w:t xml:space="preserve">This proposal seems to make some assumptions on the schemes to be supported? </w:t>
            </w:r>
            <w:r w:rsidRPr="005A5CB4">
              <w:rPr>
                <w:rFonts w:eastAsia="Malgun Gothic"/>
                <w:lang w:val="en-US" w:eastAsia="ko-KR"/>
              </w:rPr>
              <w:t>Would it be best to defer this until the scheme is decided?  E</w:t>
            </w:r>
            <w:r>
              <w:rPr>
                <w:rFonts w:eastAsia="Malgun Gothic"/>
                <w:lang w:val="en-US" w:eastAsia="ko-KR"/>
              </w:rPr>
              <w:t>.</w:t>
            </w:r>
            <w:r w:rsidRPr="005A5CB4">
              <w:rPr>
                <w:rFonts w:eastAsia="Malgun Gothic"/>
                <w:lang w:val="en-US" w:eastAsia="ko-KR"/>
              </w:rPr>
              <w:t>g</w:t>
            </w:r>
            <w:r>
              <w:rPr>
                <w:rFonts w:eastAsia="Malgun Gothic"/>
                <w:lang w:val="en-US" w:eastAsia="ko-KR"/>
              </w:rPr>
              <w:t>.</w:t>
            </w:r>
            <w:r w:rsidRPr="005A5CB4">
              <w:rPr>
                <w:rFonts w:eastAsia="Malgun Gothic"/>
                <w:lang w:val="en-US" w:eastAsia="ko-KR"/>
              </w:rPr>
              <w:t xml:space="preserve"> “a given time duration” </w:t>
            </w:r>
            <w:r>
              <w:rPr>
                <w:rFonts w:eastAsia="Malgun Gothic"/>
                <w:lang w:val="en-US" w:eastAsia="ko-KR"/>
              </w:rPr>
              <w:t xml:space="preserve">definition </w:t>
            </w:r>
            <w:r w:rsidRPr="005A5CB4">
              <w:rPr>
                <w:rFonts w:eastAsia="Malgun Gothic"/>
                <w:lang w:val="en-US" w:eastAsia="ko-KR"/>
              </w:rPr>
              <w:t>will vary depending on 1-1 (onDuration)  an  1-2  (new time) and may not even be a specific time (some companies have more elaborate proposals)</w:t>
            </w:r>
            <w:r>
              <w:rPr>
                <w:rFonts w:eastAsia="Malgun Gothic"/>
                <w:lang w:val="en-US" w:eastAsia="ko-KR"/>
              </w:rPr>
              <w:t>.</w:t>
            </w:r>
          </w:p>
          <w:p w14:paraId="077B41FC" w14:textId="2BAACCDA" w:rsidR="005A5CB4" w:rsidRDefault="005A5CB4" w:rsidP="006B64EE">
            <w:pPr>
              <w:jc w:val="left"/>
              <w:rPr>
                <w:rFonts w:eastAsia="Malgun Gothic" w:hint="eastAsia"/>
                <w:lang w:val="en-US" w:eastAsia="ko-KR"/>
              </w:rPr>
            </w:pPr>
            <w:r>
              <w:rPr>
                <w:rFonts w:eastAsia="Malgun Gothic"/>
                <w:lang w:val="en-US" w:eastAsia="ko-KR"/>
              </w:rPr>
              <w:t>Hence would it be better to consider this on higher level e.g. whether UE monitors LP-WUS or not, rather than the behavior upon detecting LP-WUS?</w:t>
            </w: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Heading4"/>
        <w:rPr>
          <w:rFonts w:ascii="Times New Roman" w:hAnsi="Times New Roman"/>
          <w:b/>
          <w:bCs/>
          <w:sz w:val="21"/>
          <w:szCs w:val="21"/>
        </w:rPr>
      </w:pPr>
      <w:r>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ListParagraph"/>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ListParagraph"/>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ListParagraph"/>
        <w:numPr>
          <w:ilvl w:val="1"/>
          <w:numId w:val="11"/>
        </w:numPr>
        <w:rPr>
          <w:b/>
          <w:sz w:val="21"/>
          <w:szCs w:val="21"/>
          <w:lang w:val="en-US"/>
        </w:rPr>
      </w:pPr>
      <w:r>
        <w:rPr>
          <w:rFonts w:eastAsia="Yu Mincho"/>
          <w:b/>
          <w:sz w:val="21"/>
          <w:szCs w:val="21"/>
          <w:lang w:val="en-US"/>
        </w:rPr>
        <w:lastRenderedPageBreak/>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03C64E98" w14:textId="77777777" w:rsidR="007D61C4" w:rsidRDefault="007D61C4" w:rsidP="006B64EE">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sidRPr="00D36BEC">
              <w:rPr>
                <w:rFonts w:eastAsia="Malgun Gothic"/>
                <w:color w:val="FF0000"/>
                <w:lang w:val="en-US" w:eastAsia="ko-KR"/>
              </w:rPr>
              <w:t>for a certain number of times or a certain time</w:t>
            </w:r>
          </w:p>
        </w:tc>
      </w:tr>
      <w:tr w:rsidR="005A5CB4" w14:paraId="2E837878" w14:textId="77777777" w:rsidTr="007D61C4">
        <w:tc>
          <w:tcPr>
            <w:tcW w:w="1479" w:type="dxa"/>
          </w:tcPr>
          <w:p w14:paraId="508A88DF" w14:textId="0C7DBA87" w:rsidR="005A5CB4" w:rsidRDefault="005A5CB4" w:rsidP="005A5CB4">
            <w:pPr>
              <w:jc w:val="left"/>
              <w:rPr>
                <w:rFonts w:eastAsia="Malgun Gothic" w:hint="eastAsia"/>
                <w:lang w:val="en-US" w:eastAsia="ko-KR"/>
              </w:rPr>
            </w:pPr>
            <w:r>
              <w:rPr>
                <w:rFonts w:eastAsia="Yu Mincho"/>
                <w:lang w:val="en-US" w:eastAsia="ja-JP"/>
              </w:rPr>
              <w:t>Nokia1</w:t>
            </w:r>
          </w:p>
        </w:tc>
        <w:tc>
          <w:tcPr>
            <w:tcW w:w="1372" w:type="dxa"/>
          </w:tcPr>
          <w:p w14:paraId="6DB1A462" w14:textId="4E699653" w:rsidR="005A5CB4" w:rsidRDefault="005A5CB4" w:rsidP="005A5CB4">
            <w:pPr>
              <w:tabs>
                <w:tab w:val="left" w:pos="551"/>
              </w:tabs>
              <w:jc w:val="left"/>
              <w:rPr>
                <w:rFonts w:eastAsiaTheme="minorEastAsia"/>
                <w:lang w:val="en-US" w:eastAsia="zh-CN"/>
              </w:rPr>
            </w:pPr>
            <w:r>
              <w:rPr>
                <w:rFonts w:eastAsiaTheme="minorEastAsia"/>
                <w:lang w:val="en-US" w:eastAsia="zh-CN"/>
              </w:rPr>
              <w:t>Y</w:t>
            </w:r>
          </w:p>
        </w:tc>
        <w:tc>
          <w:tcPr>
            <w:tcW w:w="6780" w:type="dxa"/>
          </w:tcPr>
          <w:p w14:paraId="52FC277B" w14:textId="43B8BA5B" w:rsidR="005A5CB4" w:rsidRDefault="005A5CB4" w:rsidP="005A5CB4">
            <w:pPr>
              <w:jc w:val="left"/>
              <w:rPr>
                <w:rFonts w:eastAsia="Malgun Gothic" w:hint="eastAsia"/>
                <w:lang w:val="en-US" w:eastAsia="ko-KR"/>
              </w:rPr>
            </w:pPr>
            <w:r>
              <w:rPr>
                <w:rFonts w:eastAsia="Yu Mincho"/>
                <w:lang w:val="en-US" w:eastAsia="ja-JP"/>
              </w:rPr>
              <w:t>Other options could include UE actions that initiate it to wake up the MR regardless of the LP-WUS (option 4)</w:t>
            </w:r>
          </w:p>
        </w:tc>
      </w:tr>
    </w:tbl>
    <w:p w14:paraId="3859C610" w14:textId="77777777" w:rsidR="005972D0" w:rsidRPr="007D61C4"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ListParagraph"/>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ListParagraph"/>
        <w:numPr>
          <w:ilvl w:val="1"/>
          <w:numId w:val="20"/>
        </w:numPr>
        <w:spacing w:line="276" w:lineRule="auto"/>
        <w:rPr>
          <w:rFonts w:ascii="Times New Roman" w:hAnsi="Times New Roman" w:cs="Times New Roman"/>
          <w:sz w:val="20"/>
          <w:szCs w:val="20"/>
          <w:lang w:eastAsia="x-none"/>
        </w:rPr>
      </w:pPr>
      <w:bookmarkStart w:id="6"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6"/>
    <w:p w14:paraId="0D4CFAF2" w14:textId="77777777" w:rsidR="00852F73" w:rsidRPr="00FB3715" w:rsidRDefault="00852F73" w:rsidP="00852F73">
      <w:pPr>
        <w:pStyle w:val="ListParagraph"/>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ListParagraph"/>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Heading3"/>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7"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7"/>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8" w:name="_Hlk159690056"/>
      <w:r w:rsidRPr="00FD209E">
        <w:rPr>
          <w:rFonts w:eastAsia="Yu Mincho"/>
          <w:lang w:val="en-US" w:eastAsia="ja-JP"/>
        </w:rPr>
        <w:t>activation/deactivation</w:t>
      </w:r>
      <w:bookmarkEnd w:id="8"/>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ListParagraph"/>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ListParagraph"/>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ListParagraph"/>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ListParagraph"/>
        <w:numPr>
          <w:ilvl w:val="1"/>
          <w:numId w:val="11"/>
        </w:numPr>
        <w:rPr>
          <w:rFonts w:eastAsia="Yu Mincho"/>
          <w:sz w:val="20"/>
          <w:szCs w:val="20"/>
          <w:lang w:val="en-US"/>
        </w:rPr>
      </w:pPr>
      <w:r w:rsidRPr="00FD209E">
        <w:rPr>
          <w:rFonts w:eastAsia="Yu Mincho"/>
          <w:sz w:val="20"/>
          <w:szCs w:val="20"/>
          <w:lang w:val="en-US"/>
        </w:rPr>
        <w:lastRenderedPageBreak/>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Heading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ListParagraph"/>
        <w:numPr>
          <w:ilvl w:val="0"/>
          <w:numId w:val="11"/>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Heading1"/>
        <w:ind w:left="1134" w:hanging="1134"/>
        <w:rPr>
          <w:lang w:val="en-US"/>
        </w:rPr>
      </w:pPr>
      <w:r>
        <w:rPr>
          <w:lang w:val="en-US"/>
        </w:rPr>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TableGrid"/>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ListParagraph"/>
        <w:numPr>
          <w:ilvl w:val="0"/>
          <w:numId w:val="20"/>
        </w:numPr>
        <w:spacing w:after="0"/>
        <w:ind w:hanging="442"/>
        <w:rPr>
          <w:rFonts w:eastAsia="Yu Mincho"/>
          <w:sz w:val="20"/>
          <w:szCs w:val="20"/>
          <w:lang w:val="en-US"/>
        </w:rPr>
      </w:pPr>
      <w:r w:rsidRPr="00CD58C4">
        <w:rPr>
          <w:rFonts w:eastAsia="Yu Mincho"/>
          <w:sz w:val="20"/>
          <w:szCs w:val="20"/>
          <w:lang w:val="en-US"/>
        </w:rPr>
        <w:lastRenderedPageBreak/>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ListParagraph"/>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ListParagraph"/>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ListParagraph"/>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ListParagraph"/>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ListParagraph"/>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ListParagraph"/>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ListParagraph"/>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ListParagraph"/>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ListParagraph"/>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ListParagraph"/>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ListParagraph"/>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ListParagraph"/>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ListParagraph"/>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ListParagraph"/>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ListParagraph"/>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ListParagraph"/>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ListParagraph"/>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ListParagraph"/>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ListParagraph"/>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ListParagraph"/>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lastRenderedPageBreak/>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9" w:name="_Toc29326620"/>
            <w:bookmarkStart w:id="10" w:name="_Toc51852457"/>
            <w:bookmarkStart w:id="11" w:name="_Toc36046220"/>
            <w:bookmarkStart w:id="12" w:name="_Toc36046366"/>
            <w:bookmarkStart w:id="13" w:name="_Toc36045960"/>
            <w:bookmarkStart w:id="14" w:name="_Toc45209283"/>
            <w:bookmarkStart w:id="15" w:name="_Toc29327770"/>
            <w:bookmarkStart w:id="16" w:name="_Toc146106281"/>
            <w:r>
              <w:rPr>
                <w:rFonts w:ascii="Arial" w:eastAsia="MS PGothic" w:hAnsi="Arial"/>
                <w:sz w:val="22"/>
                <w:lang w:eastAsia="zh-CN"/>
              </w:rPr>
              <w:t>7.3.1.3.7</w:t>
            </w:r>
            <w:r>
              <w:rPr>
                <w:rFonts w:ascii="Arial" w:eastAsia="MS PGothic" w:hAnsi="Arial"/>
                <w:sz w:val="22"/>
                <w:lang w:eastAsia="zh-CN"/>
              </w:rPr>
              <w:tab/>
              <w:t>Format 2_6</w:t>
            </w:r>
            <w:bookmarkEnd w:id="9"/>
            <w:bookmarkEnd w:id="10"/>
            <w:bookmarkEnd w:id="11"/>
            <w:bookmarkEnd w:id="12"/>
            <w:bookmarkEnd w:id="13"/>
            <w:bookmarkEnd w:id="14"/>
            <w:bookmarkEnd w:id="15"/>
            <w:bookmarkEnd w:id="16"/>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Heading3"/>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ListParagraph"/>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ListParagraph"/>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ListParagraph"/>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ListParagraph"/>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ListParagraph"/>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ListParagraph"/>
        <w:numPr>
          <w:ilvl w:val="2"/>
          <w:numId w:val="11"/>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5A5CB4" w:rsidRPr="00D36BEC" w14:paraId="19EF8904" w14:textId="77777777" w:rsidTr="007D61C4">
        <w:tc>
          <w:tcPr>
            <w:tcW w:w="1479" w:type="dxa"/>
          </w:tcPr>
          <w:p w14:paraId="0E38A6EF" w14:textId="1DB00258" w:rsidR="005A5CB4" w:rsidRDefault="005A5CB4" w:rsidP="005A5CB4">
            <w:pPr>
              <w:jc w:val="left"/>
              <w:rPr>
                <w:rFonts w:eastAsia="Malgun Gothic" w:hint="eastAsia"/>
                <w:lang w:val="en-US" w:eastAsia="ko-KR"/>
              </w:rPr>
            </w:pPr>
            <w:r>
              <w:rPr>
                <w:rFonts w:eastAsiaTheme="minorEastAsia"/>
                <w:lang w:val="en-US" w:eastAsia="zh-CN"/>
              </w:rPr>
              <w:t>Nokia</w:t>
            </w:r>
            <w:r>
              <w:rPr>
                <w:rFonts w:eastAsiaTheme="minorEastAsia"/>
                <w:lang w:val="en-US" w:eastAsia="zh-CN"/>
              </w:rPr>
              <w:t>1</w:t>
            </w:r>
          </w:p>
        </w:tc>
        <w:tc>
          <w:tcPr>
            <w:tcW w:w="1372" w:type="dxa"/>
          </w:tcPr>
          <w:p w14:paraId="2E68C99C" w14:textId="77777777" w:rsidR="005A5CB4" w:rsidRDefault="005A5CB4" w:rsidP="005A5CB4">
            <w:pPr>
              <w:tabs>
                <w:tab w:val="left" w:pos="551"/>
              </w:tabs>
              <w:jc w:val="left"/>
              <w:rPr>
                <w:rFonts w:eastAsiaTheme="minorEastAsia"/>
                <w:lang w:val="en-US" w:eastAsia="zh-CN"/>
              </w:rPr>
            </w:pPr>
          </w:p>
        </w:tc>
        <w:tc>
          <w:tcPr>
            <w:tcW w:w="6780" w:type="dxa"/>
          </w:tcPr>
          <w:p w14:paraId="050B34A6" w14:textId="02BFAE5B" w:rsidR="005A5CB4" w:rsidRDefault="005A5CB4" w:rsidP="005A5CB4">
            <w:pPr>
              <w:jc w:val="left"/>
              <w:rPr>
                <w:rFonts w:eastAsia="Malgun Gothic" w:hint="eastAsia"/>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w:t>
            </w:r>
            <w:r>
              <w:rPr>
                <w:rFonts w:eastAsiaTheme="minorEastAsia"/>
                <w:lang w:val="en-US" w:eastAsia="zh-CN"/>
              </w:rPr>
              <w:t>.</w:t>
            </w:r>
            <w:r>
              <w:rPr>
                <w:rFonts w:eastAsiaTheme="minorEastAsia"/>
                <w:lang w:val="en-US" w:eastAsia="zh-CN"/>
              </w:rPr>
              <w:t>g</w:t>
            </w:r>
            <w:r>
              <w:rPr>
                <w:rFonts w:eastAsiaTheme="minorEastAsia"/>
                <w:lang w:val="en-US" w:eastAsia="zh-CN"/>
              </w:rPr>
              <w:t>. if the wake-up needs to be cell specific (</w:t>
            </w:r>
            <w:r w:rsidR="006A0076">
              <w:rPr>
                <w:rFonts w:eastAsiaTheme="minorEastAsia"/>
                <w:lang w:val="en-US" w:eastAsia="zh-CN"/>
              </w:rPr>
              <w:t>explicitly</w:t>
            </w:r>
            <w:r>
              <w:rPr>
                <w:rFonts w:eastAsiaTheme="minorEastAsia"/>
                <w:lang w:val="en-US" w:eastAsia="zh-CN"/>
              </w:rPr>
              <w:t>)</w:t>
            </w:r>
            <w:r>
              <w:rPr>
                <w:rFonts w:eastAsiaTheme="minorEastAsia"/>
                <w:lang w:val="en-US" w:eastAsia="zh-CN"/>
              </w:rPr>
              <w:t>.</w:t>
            </w:r>
          </w:p>
        </w:tc>
      </w:tr>
    </w:tbl>
    <w:p w14:paraId="17B0B7FA" w14:textId="77777777" w:rsidR="00D428A7" w:rsidRPr="007D61C4" w:rsidRDefault="00D428A7">
      <w:pPr>
        <w:rPr>
          <w:rFonts w:eastAsia="Yu Mincho"/>
          <w:lang w:val="en-US"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ListParagraph"/>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ListParagraph"/>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ListParagraph"/>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ListParagraph"/>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Heading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ListParagraph"/>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ListParagraph"/>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ListParagraph"/>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ListParagraph"/>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ListParagraph"/>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ListParagraph"/>
        <w:numPr>
          <w:ilvl w:val="2"/>
          <w:numId w:val="12"/>
        </w:numPr>
        <w:rPr>
          <w:rFonts w:eastAsia="Yu Mincho"/>
          <w:lang w:val="en-US"/>
        </w:rPr>
      </w:pPr>
      <w:r w:rsidRPr="00CA02EA">
        <w:rPr>
          <w:rFonts w:eastAsia="Yu Mincho" w:hint="eastAsia"/>
          <w:lang w:val="en-US"/>
        </w:rPr>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ListParagraph"/>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ListParagraph"/>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ListParagraph"/>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ListParagraph"/>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ListParagraph"/>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ListParagraph"/>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ListParagraph"/>
        <w:numPr>
          <w:ilvl w:val="2"/>
          <w:numId w:val="12"/>
        </w:numPr>
        <w:rPr>
          <w:rFonts w:eastAsia="Yu Mincho"/>
          <w:lang w:val="en-US"/>
        </w:rPr>
      </w:pPr>
      <w:r w:rsidRPr="00CA02EA">
        <w:rPr>
          <w:rFonts w:eastAsia="Yu Mincho"/>
          <w:lang w:val="en-US"/>
        </w:rPr>
        <w:lastRenderedPageBreak/>
        <w:t>CMCC: LP-WUS procedure Option 1-2-2/Option 1-3 and Rel-17 PDCCH skipping/SSSG switching can be configured or activated to one UE simultaneously</w:t>
      </w:r>
    </w:p>
    <w:p w14:paraId="1B15B9E5" w14:textId="5A861331" w:rsidR="00C46358" w:rsidRPr="00CA02EA" w:rsidRDefault="00C46358" w:rsidP="007F1365">
      <w:pPr>
        <w:pStyle w:val="ListParagraph"/>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ListParagraph"/>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ListParagraph"/>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ListParagraph"/>
        <w:numPr>
          <w:ilvl w:val="1"/>
          <w:numId w:val="12"/>
        </w:numPr>
        <w:rPr>
          <w:rFonts w:eastAsia="Yu Mincho"/>
          <w:lang w:val="en-US"/>
        </w:rPr>
      </w:pPr>
      <w:r w:rsidRPr="00CA02EA">
        <w:rPr>
          <w:rFonts w:eastAsia="Yu Mincho"/>
          <w:lang w:val="en-US"/>
        </w:rPr>
        <w:t>Cannot coexist</w:t>
      </w:r>
    </w:p>
    <w:p w14:paraId="097A3687" w14:textId="77777777" w:rsidR="00B56E9D" w:rsidRPr="00CA02EA" w:rsidRDefault="00B56E9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ListParagraph"/>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ListParagraph"/>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ListParagraph"/>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ListParagraph"/>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Heading3"/>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ListParagraph"/>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22621232" w14:textId="28844281" w:rsidR="00D428A7" w:rsidRDefault="00F618E8" w:rsidP="007F1365">
      <w:pPr>
        <w:pStyle w:val="ListParagraph"/>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TableGrid"/>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 xml:space="preserve">Simultaneous configuration of R17 PDCCH skipping (or SSSG switching) is </w:t>
            </w:r>
            <w:r>
              <w:rPr>
                <w:rFonts w:eastAsia="Yu Mincho" w:hint="eastAsia"/>
                <w:lang w:val="en-US" w:eastAsia="ja-JP"/>
              </w:rPr>
              <w:lastRenderedPageBreak/>
              <w:t>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r w:rsidR="00782BF3" w14:paraId="6E680B83" w14:textId="77777777">
        <w:tc>
          <w:tcPr>
            <w:tcW w:w="1479" w:type="dxa"/>
          </w:tcPr>
          <w:p w14:paraId="455C2F4C" w14:textId="665CD4B1" w:rsidR="00782BF3" w:rsidRDefault="00782BF3" w:rsidP="007D61C4">
            <w:pPr>
              <w:jc w:val="left"/>
              <w:rPr>
                <w:rFonts w:eastAsia="Malgun Gothic" w:hint="eastAsia"/>
                <w:lang w:val="en-US" w:eastAsia="ko-KR"/>
              </w:rPr>
            </w:pPr>
            <w:r>
              <w:rPr>
                <w:rFonts w:eastAsia="Malgun Gothic"/>
                <w:lang w:val="en-US" w:eastAsia="ko-KR"/>
              </w:rPr>
              <w:t>Nokia1</w:t>
            </w:r>
          </w:p>
        </w:tc>
        <w:tc>
          <w:tcPr>
            <w:tcW w:w="1372" w:type="dxa"/>
          </w:tcPr>
          <w:p w14:paraId="7C8F5A7C" w14:textId="12587D2B" w:rsidR="00782BF3" w:rsidRDefault="00782BF3" w:rsidP="007D61C4">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228F4C1F" w14:textId="77777777" w:rsidR="00782BF3" w:rsidRDefault="00782BF3" w:rsidP="007D61C4">
            <w:pPr>
              <w:jc w:val="left"/>
              <w:rPr>
                <w:rFonts w:eastAsiaTheme="minorEastAsia"/>
                <w:lang w:val="en-US" w:eastAsia="zh-CN"/>
              </w:rPr>
            </w:pPr>
          </w:p>
        </w:tc>
      </w:tr>
    </w:tbl>
    <w:p w14:paraId="53AA912D" w14:textId="77777777" w:rsidR="00D428A7" w:rsidRDefault="00D428A7">
      <w:pPr>
        <w:rPr>
          <w:rFonts w:eastAsia="Yu Mincho"/>
          <w:lang w:val="en-US" w:eastAsia="ja-JP"/>
        </w:rPr>
      </w:pPr>
    </w:p>
    <w:p w14:paraId="26311A52" w14:textId="7EB1422A" w:rsidR="00D428A7" w:rsidRDefault="00914C51">
      <w:pPr>
        <w:pStyle w:val="Heading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ListParagraph"/>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ListParagraph"/>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ListParagraph"/>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ListParagraph"/>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ListParagraph"/>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ListParagraph"/>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ListParagraph"/>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ListParagraph"/>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ListParagraph"/>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ListParagraph"/>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ListParagraph"/>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ListParagraph"/>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ListParagraph"/>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ListParagraph"/>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ListParagraph"/>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ListParagraph"/>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ListParagraph"/>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lastRenderedPageBreak/>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ListParagraph"/>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Heading3"/>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ListParagraph"/>
        <w:numPr>
          <w:ilvl w:val="0"/>
          <w:numId w:val="11"/>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782BF3" w14:paraId="0C767A15" w14:textId="77777777" w:rsidTr="00237254">
        <w:tc>
          <w:tcPr>
            <w:tcW w:w="1479" w:type="dxa"/>
          </w:tcPr>
          <w:p w14:paraId="0377F255" w14:textId="68EB8685" w:rsidR="00782BF3" w:rsidRDefault="00782BF3" w:rsidP="00782BF3">
            <w:pPr>
              <w:jc w:val="left"/>
              <w:rPr>
                <w:rFonts w:eastAsia="Yu Mincho"/>
                <w:lang w:val="en-US" w:eastAsia="ja-JP"/>
              </w:rPr>
            </w:pPr>
            <w:r>
              <w:rPr>
                <w:rFonts w:eastAsiaTheme="minorEastAsia"/>
                <w:lang w:val="en-US" w:eastAsia="zh-CN"/>
              </w:rPr>
              <w:t>N</w:t>
            </w:r>
            <w:r w:rsidR="005D2539">
              <w:rPr>
                <w:rFonts w:eastAsiaTheme="minorEastAsia"/>
                <w:lang w:val="en-US" w:eastAsia="zh-CN"/>
              </w:rPr>
              <w:t>okia1</w:t>
            </w:r>
          </w:p>
        </w:tc>
        <w:tc>
          <w:tcPr>
            <w:tcW w:w="1372" w:type="dxa"/>
          </w:tcPr>
          <w:p w14:paraId="2B98678B" w14:textId="4458E764" w:rsidR="00782BF3" w:rsidRDefault="00782BF3" w:rsidP="00782BF3">
            <w:pPr>
              <w:tabs>
                <w:tab w:val="left" w:pos="551"/>
              </w:tabs>
              <w:jc w:val="left"/>
              <w:rPr>
                <w:rFonts w:eastAsiaTheme="minorEastAsia"/>
                <w:lang w:val="en-US" w:eastAsia="zh-CN"/>
              </w:rPr>
            </w:pPr>
            <w:r>
              <w:rPr>
                <w:rFonts w:eastAsia="Yu Mincho"/>
                <w:lang w:val="en-US" w:eastAsia="ja-JP"/>
              </w:rPr>
              <w:t>.</w:t>
            </w:r>
          </w:p>
        </w:tc>
        <w:tc>
          <w:tcPr>
            <w:tcW w:w="6780" w:type="dxa"/>
          </w:tcPr>
          <w:p w14:paraId="10C90FF9" w14:textId="3C18771D" w:rsidR="00782BF3" w:rsidRDefault="00782BF3" w:rsidP="00782BF3">
            <w:pPr>
              <w:jc w:val="left"/>
              <w:rPr>
                <w:rFonts w:eastAsia="Yu Mincho"/>
                <w:lang w:val="en-US" w:eastAsia="ja-JP"/>
              </w:rPr>
            </w:pPr>
            <w:r>
              <w:rPr>
                <w:rFonts w:eastAsia="Yu Mincho"/>
                <w:lang w:val="en-US" w:eastAsia="ja-JP"/>
              </w:rPr>
              <w:t>We would suggest to focus first on other aspects</w:t>
            </w:r>
            <w:r>
              <w:rPr>
                <w:rFonts w:eastAsia="Yu Mincho"/>
                <w:lang w:val="en-US" w:eastAsia="ja-JP"/>
              </w:rPr>
              <w:t>.</w:t>
            </w:r>
          </w:p>
        </w:tc>
      </w:tr>
      <w:tr w:rsidR="00782BF3" w14:paraId="4DB21990" w14:textId="77777777" w:rsidTr="00237254">
        <w:tc>
          <w:tcPr>
            <w:tcW w:w="1479" w:type="dxa"/>
          </w:tcPr>
          <w:p w14:paraId="5B8971F7" w14:textId="77777777" w:rsidR="00782BF3" w:rsidRDefault="00782BF3" w:rsidP="00782BF3">
            <w:pPr>
              <w:jc w:val="left"/>
              <w:rPr>
                <w:rFonts w:eastAsia="Yu Mincho"/>
                <w:lang w:val="en-US" w:eastAsia="ja-JP"/>
              </w:rPr>
            </w:pPr>
          </w:p>
        </w:tc>
        <w:tc>
          <w:tcPr>
            <w:tcW w:w="1372" w:type="dxa"/>
          </w:tcPr>
          <w:p w14:paraId="42E5FAFB" w14:textId="77777777" w:rsidR="00782BF3" w:rsidRDefault="00782BF3" w:rsidP="00782BF3">
            <w:pPr>
              <w:tabs>
                <w:tab w:val="left" w:pos="551"/>
              </w:tabs>
              <w:jc w:val="left"/>
              <w:rPr>
                <w:rFonts w:eastAsiaTheme="minorEastAsia"/>
                <w:lang w:val="en-US" w:eastAsia="zh-CN"/>
              </w:rPr>
            </w:pPr>
          </w:p>
        </w:tc>
        <w:tc>
          <w:tcPr>
            <w:tcW w:w="6780" w:type="dxa"/>
          </w:tcPr>
          <w:p w14:paraId="0BDA3864" w14:textId="77777777" w:rsidR="00782BF3" w:rsidRDefault="00782BF3" w:rsidP="00782BF3">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Heading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Heading1"/>
        <w:ind w:left="432" w:hanging="432"/>
        <w:rPr>
          <w:lang w:val="en-US"/>
        </w:rPr>
      </w:pPr>
      <w:bookmarkStart w:id="17"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7"/>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Hyperlink"/>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5D2539"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Heading1"/>
        <w:ind w:left="432" w:hanging="432"/>
        <w:rPr>
          <w:lang w:val="en-US"/>
        </w:rPr>
      </w:pPr>
      <w:r>
        <w:rPr>
          <w:lang w:val="en-US"/>
        </w:rPr>
        <w:t>RAN1 agreements</w:t>
      </w:r>
    </w:p>
    <w:p w14:paraId="0A790FC1" w14:textId="35DB19D6" w:rsidR="001370C6" w:rsidRDefault="001370C6" w:rsidP="001370C6">
      <w:pPr>
        <w:pStyle w:val="Heading3"/>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Heading3"/>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DB9" w14:textId="77777777" w:rsidR="006537DA" w:rsidRDefault="006537DA">
      <w:pPr>
        <w:spacing w:line="240" w:lineRule="auto"/>
      </w:pPr>
      <w:r>
        <w:separator/>
      </w:r>
    </w:p>
  </w:endnote>
  <w:endnote w:type="continuationSeparator" w:id="0">
    <w:p w14:paraId="346F11B9" w14:textId="77777777" w:rsidR="006537DA" w:rsidRDefault="006537DA">
      <w:pPr>
        <w:spacing w:line="240" w:lineRule="auto"/>
      </w:pPr>
      <w:r>
        <w:continuationSeparator/>
      </w:r>
    </w:p>
  </w:endnote>
  <w:endnote w:type="continuationNotice" w:id="1">
    <w:p w14:paraId="548B2A21" w14:textId="77777777" w:rsidR="006537DA" w:rsidRDefault="00653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1E67" w14:textId="77777777" w:rsidR="006537DA" w:rsidRDefault="006537DA">
      <w:pPr>
        <w:spacing w:after="0"/>
      </w:pPr>
      <w:r>
        <w:separator/>
      </w:r>
    </w:p>
  </w:footnote>
  <w:footnote w:type="continuationSeparator" w:id="0">
    <w:p w14:paraId="2C7C0C20" w14:textId="77777777" w:rsidR="006537DA" w:rsidRDefault="006537DA">
      <w:pPr>
        <w:spacing w:after="0"/>
      </w:pPr>
      <w:r>
        <w:continuationSeparator/>
      </w:r>
    </w:p>
  </w:footnote>
  <w:footnote w:type="continuationNotice" w:id="1">
    <w:p w14:paraId="03A91687" w14:textId="77777777" w:rsidR="006537DA" w:rsidRDefault="006537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03898258">
    <w:abstractNumId w:val="3"/>
  </w:num>
  <w:num w:numId="2" w16cid:durableId="203369783">
    <w:abstractNumId w:val="2"/>
  </w:num>
  <w:num w:numId="3" w16cid:durableId="1429693326">
    <w:abstractNumId w:val="13"/>
  </w:num>
  <w:num w:numId="4" w16cid:durableId="2107727421">
    <w:abstractNumId w:val="18"/>
  </w:num>
  <w:num w:numId="5" w16cid:durableId="480536790">
    <w:abstractNumId w:val="21"/>
    <w:lvlOverride w:ilvl="0">
      <w:startOverride w:val="1"/>
    </w:lvlOverride>
  </w:num>
  <w:num w:numId="6" w16cid:durableId="1412122191">
    <w:abstractNumId w:val="22"/>
  </w:num>
  <w:num w:numId="7" w16cid:durableId="675152370">
    <w:abstractNumId w:val="30"/>
  </w:num>
  <w:num w:numId="8" w16cid:durableId="786772061">
    <w:abstractNumId w:val="36"/>
  </w:num>
  <w:num w:numId="9" w16cid:durableId="1062143984">
    <w:abstractNumId w:val="6"/>
  </w:num>
  <w:num w:numId="10" w16cid:durableId="250552951">
    <w:abstractNumId w:val="28"/>
  </w:num>
  <w:num w:numId="11" w16cid:durableId="829904964">
    <w:abstractNumId w:val="5"/>
  </w:num>
  <w:num w:numId="12" w16cid:durableId="1564869070">
    <w:abstractNumId w:val="9"/>
  </w:num>
  <w:num w:numId="13" w16cid:durableId="127675050">
    <w:abstractNumId w:val="11"/>
  </w:num>
  <w:num w:numId="14" w16cid:durableId="702245478">
    <w:abstractNumId w:val="20"/>
  </w:num>
  <w:num w:numId="15" w16cid:durableId="2018339060">
    <w:abstractNumId w:val="1"/>
  </w:num>
  <w:num w:numId="16" w16cid:durableId="367219923">
    <w:abstractNumId w:val="10"/>
  </w:num>
  <w:num w:numId="17" w16cid:durableId="1554846100">
    <w:abstractNumId w:val="35"/>
  </w:num>
  <w:num w:numId="18" w16cid:durableId="65342102">
    <w:abstractNumId w:val="32"/>
  </w:num>
  <w:num w:numId="19" w16cid:durableId="488402040">
    <w:abstractNumId w:val="25"/>
  </w:num>
  <w:num w:numId="20" w16cid:durableId="843126108">
    <w:abstractNumId w:val="7"/>
  </w:num>
  <w:num w:numId="21" w16cid:durableId="1105613930">
    <w:abstractNumId w:val="33"/>
  </w:num>
  <w:num w:numId="22" w16cid:durableId="464005745">
    <w:abstractNumId w:val="29"/>
  </w:num>
  <w:num w:numId="23" w16cid:durableId="1658460952">
    <w:abstractNumId w:val="27"/>
  </w:num>
  <w:num w:numId="24" w16cid:durableId="1131286539">
    <w:abstractNumId w:val="12"/>
  </w:num>
  <w:num w:numId="25" w16cid:durableId="733435851">
    <w:abstractNumId w:val="8"/>
  </w:num>
  <w:num w:numId="26" w16cid:durableId="712770667">
    <w:abstractNumId w:val="4"/>
  </w:num>
  <w:num w:numId="27" w16cid:durableId="1264994509">
    <w:abstractNumId w:val="38"/>
  </w:num>
  <w:num w:numId="28" w16cid:durableId="1040401210">
    <w:abstractNumId w:val="11"/>
  </w:num>
  <w:num w:numId="29" w16cid:durableId="594244402">
    <w:abstractNumId w:val="34"/>
  </w:num>
  <w:num w:numId="30" w16cid:durableId="1362318897">
    <w:abstractNumId w:val="26"/>
  </w:num>
  <w:num w:numId="31" w16cid:durableId="871498265">
    <w:abstractNumId w:val="0"/>
  </w:num>
  <w:num w:numId="32" w16cid:durableId="214633023">
    <w:abstractNumId w:val="37"/>
  </w:num>
  <w:num w:numId="33" w16cid:durableId="434251803">
    <w:abstractNumId w:val="15"/>
  </w:num>
  <w:num w:numId="34" w16cid:durableId="1102067519">
    <w:abstractNumId w:val="23"/>
  </w:num>
  <w:num w:numId="35" w16cid:durableId="1957250121">
    <w:abstractNumId w:val="16"/>
  </w:num>
  <w:num w:numId="36" w16cid:durableId="840242640">
    <w:abstractNumId w:val="14"/>
  </w:num>
  <w:num w:numId="37" w16cid:durableId="1892185506">
    <w:abstractNumId w:val="31"/>
  </w:num>
  <w:num w:numId="38" w16cid:durableId="125054713">
    <w:abstractNumId w:val="24"/>
  </w:num>
  <w:num w:numId="39" w16cid:durableId="1025212069">
    <w:abstractNumId w:val="17"/>
  </w:num>
  <w:num w:numId="40" w16cid:durableId="2128699724">
    <w:abstractNumId w:val="17"/>
  </w:num>
  <w:num w:numId="41" w16cid:durableId="136775949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CE3"/>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Pr>
      <w:color w:val="605E5C"/>
      <w:shd w:val="clear" w:color="auto" w:fill="E1DFDD"/>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150">
    <w:name w:val="未处理的提及15"/>
    <w:basedOn w:val="DefaultParagraphFont"/>
    <w:uiPriority w:val="99"/>
    <w:semiHidden/>
    <w:unhideWhenUsed/>
    <w:rPr>
      <w:color w:val="605E5C"/>
      <w:shd w:val="clear" w:color="auto" w:fill="E1DFDD"/>
    </w:rPr>
  </w:style>
  <w:style w:type="table" w:customStyle="1" w:styleId="TableGrid10">
    <w:name w:val="TableGrid1"/>
    <w:basedOn w:val="TableNormal"/>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rsid w:val="00010374"/>
    <w:rPr>
      <w:color w:val="605E5C"/>
      <w:shd w:val="clear" w:color="auto" w:fill="E1DFDD"/>
    </w:rPr>
  </w:style>
  <w:style w:type="character" w:customStyle="1" w:styleId="18">
    <w:name w:val="확인되지 않은 멘션1"/>
    <w:basedOn w:val="DefaultParagraphFont"/>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Drawing.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2.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25</Pages>
  <Words>8828</Words>
  <Characters>50322</Characters>
  <Application>Microsoft Office Word</Application>
  <DocSecurity>0</DocSecurity>
  <Lines>419</Lines>
  <Paragraphs>118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59032</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Jorma Kaikkonen (Nokia)</cp:lastModifiedBy>
  <cp:revision>6</cp:revision>
  <dcterms:created xsi:type="dcterms:W3CDTF">2024-05-20T09:06:00Z</dcterms:created>
  <dcterms:modified xsi:type="dcterms:W3CDTF">2024-05-20T09:20:00Z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