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 w:val="32"/>
          <w:szCs w:val="32"/>
          <w:lang w:val="en-US"/>
        </w:rPr>
      </w:pPr>
      <w:r>
        <w:rPr>
          <w:lang w:val="en-US"/>
        </w:rPr>
        <w:t>3GPP TSG-RAN WG1#117</w:t>
      </w:r>
      <w:r>
        <w:rPr>
          <w:lang w:val="en-US"/>
        </w:rPr>
        <w:tab/>
      </w:r>
      <w:r>
        <w:rPr>
          <w:sz w:val="32"/>
          <w:szCs w:val="32"/>
          <w:lang w:val="en-US"/>
        </w:rPr>
        <w:t>R1-24abcde</w:t>
      </w:r>
    </w:p>
    <w:p>
      <w:pPr>
        <w:pStyle w:val="32"/>
      </w:pPr>
      <w:r>
        <w:t>Fukuoka, Japan, May 20</w:t>
      </w:r>
      <w:r>
        <w:rPr>
          <w:vertAlign w:val="superscript"/>
        </w:rPr>
        <w:t>th</w:t>
      </w:r>
      <w:r>
        <w:t>-24th 2024</w:t>
      </w:r>
    </w:p>
    <w:p>
      <w:pPr>
        <w:pStyle w:val="32"/>
      </w:pPr>
    </w:p>
    <w:p>
      <w:pPr>
        <w:pStyle w:val="32"/>
        <w:rPr>
          <w:sz w:val="22"/>
          <w:szCs w:val="22"/>
          <w:lang w:val="en-US"/>
        </w:rPr>
      </w:pPr>
      <w:r>
        <w:rPr>
          <w:sz w:val="22"/>
          <w:szCs w:val="22"/>
          <w:lang w:val="en-US"/>
        </w:rPr>
        <w:t>Agenda Item:</w:t>
      </w:r>
      <w:r>
        <w:rPr>
          <w:sz w:val="22"/>
          <w:szCs w:val="22"/>
          <w:lang w:val="en-US"/>
        </w:rPr>
        <w:tab/>
      </w:r>
      <w:r>
        <w:rPr>
          <w:sz w:val="22"/>
          <w:szCs w:val="22"/>
          <w:lang w:val="en-US"/>
        </w:rPr>
        <w:t>9.5.3</w:t>
      </w:r>
    </w:p>
    <w:p>
      <w:pPr>
        <w:pStyle w:val="32"/>
        <w:rPr>
          <w:sz w:val="22"/>
          <w:szCs w:val="22"/>
        </w:rPr>
      </w:pPr>
      <w:r>
        <w:rPr>
          <w:sz w:val="22"/>
          <w:szCs w:val="22"/>
        </w:rPr>
        <w:t>Source:</w:t>
      </w:r>
      <w:r>
        <w:rPr>
          <w:sz w:val="22"/>
          <w:szCs w:val="22"/>
        </w:rPr>
        <w:tab/>
      </w:r>
      <w:r>
        <w:rPr>
          <w:sz w:val="22"/>
          <w:szCs w:val="22"/>
        </w:rPr>
        <w:t>Moderator (Ericsson)</w:t>
      </w:r>
    </w:p>
    <w:p>
      <w:pPr>
        <w:pStyle w:val="32"/>
        <w:rPr>
          <w:sz w:val="22"/>
          <w:szCs w:val="22"/>
        </w:rPr>
      </w:pPr>
      <w:r>
        <w:rPr>
          <w:sz w:val="22"/>
          <w:szCs w:val="22"/>
        </w:rPr>
        <w:t>Title:</w:t>
      </w:r>
      <w:r>
        <w:rPr>
          <w:sz w:val="22"/>
          <w:szCs w:val="22"/>
        </w:rPr>
        <w:tab/>
      </w:r>
      <w:r>
        <w:rPr>
          <w:sz w:val="22"/>
          <w:szCs w:val="22"/>
        </w:rPr>
        <w:t>Summary of AI 9.5.3 for R19 NES</w:t>
      </w:r>
    </w:p>
    <w:p>
      <w:pPr>
        <w:pStyle w:val="32"/>
        <w:rPr>
          <w:sz w:val="22"/>
          <w:szCs w:val="22"/>
        </w:rPr>
      </w:pPr>
      <w:r>
        <w:rPr>
          <w:sz w:val="22"/>
          <w:szCs w:val="22"/>
        </w:rPr>
        <w:t>Document for:</w:t>
      </w:r>
      <w:r>
        <w:rPr>
          <w:sz w:val="22"/>
          <w:szCs w:val="22"/>
        </w:rPr>
        <w:tab/>
      </w:r>
      <w:r>
        <w:rPr>
          <w:sz w:val="22"/>
          <w:szCs w:val="22"/>
        </w:rPr>
        <w:t>Discussion</w:t>
      </w:r>
    </w:p>
    <w:p>
      <w:pPr>
        <w:pStyle w:val="2"/>
      </w:pPr>
      <w:r>
        <w:t>Introduction</w:t>
      </w:r>
    </w:p>
    <w:p>
      <w:pPr>
        <w:pStyle w:val="13"/>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3"/>
        <w:numPr>
          <w:ilvl w:val="0"/>
          <w:numId w:val="0"/>
        </w:numPr>
        <w:ind w:left="576" w:hanging="576"/>
        <w:rPr>
          <w:sz w:val="20"/>
          <w:szCs w:val="20"/>
        </w:rPr>
      </w:pPr>
      <w:r>
        <w:rPr>
          <w:sz w:val="20"/>
          <w:szCs w:val="20"/>
        </w:rPr>
        <w:t>Topic 2.1.1</w:t>
      </w:r>
    </w:p>
    <w:p>
      <w:pPr>
        <w:pStyle w:val="13"/>
      </w:pPr>
      <w:r>
        <w:t xml:space="preserve">Several companies provided their views on the adaptation mechanisms for the SSB in time-domain.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of SSB burst periodicity</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Xiaomi, Fujitsu, Nokia, Apple, DCM,QC,CMCC, Ericsson, CATT, ZTE, Interdigital, Panasonic, Lenovo?, SPRD, Fraunhofer, Sharp, Transsion, Google, LG, Mediatek, Sony, ETRI, Honor, Tejas</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two SSB configurations where up to two configurations can be active</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Nokia, CMCC, Samsung?, Ericsson, CATT?, Huawei, NEC?, Honor, Lenovo?, Fraunhofer, Intel, Sharp, KT, LG, Tejas, FW?, Fujitsu, </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skipping/transmitting some SSB bursts non-uniformly with single SSB configuration</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ZTE, Tejas, Mediatek</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No/deprioritize: Nokia, Apple, DCM </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transmitted number of SSBs within a SSB burst</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Xiaomi?,Fujitsu,QC, Interdigital, Oppo, Transsion, KT, Cewit, Panasonic (only continuous)</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Nokia (no L1/L2)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Cell DTX for SSB adaptation</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FW, CMCC, Samsung, NEC, LG, Tejas, </w:t>
      </w:r>
    </w:p>
    <w:p>
      <w:pPr>
        <w:numPr>
          <w:ilvl w:val="1"/>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No: Nokia, Ericsson, DCM?</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 periodicity value(s)</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&gt;160ms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Fujitsu, vivo, Transsion, Tejas</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&lt; 5ms</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Huawei,</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No: Nokia, Apple?, Ericsson, Panasonic (no larger than 160ms), SPRD?</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New compact SSB burst(s)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Yes: Huawei, </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Xiaomi, Fujitsu? Nokia, Ericsson, Panasonic?, Honor, </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position of SSBs within a SSB burst</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Yes: Oppo,</w:t>
      </w:r>
    </w:p>
    <w:p>
      <w:pPr>
        <w:numPr>
          <w:ilvl w:val="2"/>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No: Nokia, Ericsson, Panasonic?, Honor?, </w:t>
      </w:r>
    </w:p>
    <w:p>
      <w:pPr>
        <w:suppressAutoHyphens/>
        <w:overflowPunct/>
        <w:autoSpaceDE/>
        <w:autoSpaceDN/>
        <w:adjustRightInd/>
        <w:spacing w:after="0"/>
        <w:jc w:val="left"/>
        <w:textAlignment w:val="auto"/>
        <w:rPr>
          <w:rFonts w:ascii="Times" w:hAnsi="Times" w:eastAsia="Batang" w:cs="Times"/>
          <w:lang w:eastAsia="zh-CN"/>
        </w:rPr>
      </w:pPr>
    </w:p>
    <w:p>
      <w:pPr>
        <w:pStyle w:val="3"/>
        <w:numPr>
          <w:ilvl w:val="0"/>
          <w:numId w:val="0"/>
        </w:numPr>
        <w:ind w:left="576" w:hanging="576"/>
        <w:rPr>
          <w:sz w:val="20"/>
          <w:szCs w:val="20"/>
        </w:rPr>
      </w:pPr>
      <w:r>
        <w:rPr>
          <w:sz w:val="20"/>
          <w:szCs w:val="20"/>
        </w:rPr>
        <w:t>Topic 2.1.2</w:t>
      </w:r>
    </w:p>
    <w:p>
      <w:pPr>
        <w:pStyle w:val="13"/>
      </w:pPr>
      <w:r>
        <w:t xml:space="preserve">For the adaptation mechanisms of SSB in time-domain, several companies discussed which of the scenarios to support: </w:t>
      </w:r>
    </w:p>
    <w:p>
      <w:pPr>
        <w:pStyle w:val="13"/>
      </w:pPr>
      <w:r>
        <w:rPr>
          <w:rFonts w:ascii="Times New Roman" w:hAnsi="Times New Roman"/>
        </w:rPr>
        <w:t xml:space="preserve"> </w:t>
      </w:r>
    </w:p>
    <w:tbl>
      <w:tblPr>
        <w:tblStyle w:val="22"/>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1"/>
        <w:gridCol w:w="4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p>
        </w:tc>
        <w:tc>
          <w:tcPr>
            <w:tcW w:w="2011" w:type="dxa"/>
          </w:tcPr>
          <w:p>
            <w:pPr>
              <w:pStyle w:val="13"/>
              <w:rPr>
                <w:rFonts w:ascii="Times New Roman" w:hAnsi="Times New Roman" w:eastAsia="Batang"/>
                <w:szCs w:val="24"/>
                <w:lang w:eastAsia="zh-CN"/>
              </w:rPr>
            </w:pP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Yes</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530" w:type="dxa"/>
          </w:tcPr>
          <w:p>
            <w:pPr>
              <w:pStyle w:val="13"/>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A1</w:t>
            </w:r>
          </w:p>
          <w:p>
            <w:pPr>
              <w:pStyle w:val="13"/>
              <w:rPr>
                <w:rFonts w:ascii="Times New Roman" w:hAnsi="Times New Roman" w:eastAsia="Batang"/>
                <w:szCs w:val="24"/>
                <w:lang w:eastAsia="zh-CN"/>
              </w:rPr>
            </w:pPr>
            <w:r>
              <w:rPr>
                <w:rFonts w:ascii="Times New Roman" w:hAnsi="Times New Roman" w:eastAsia="Batang"/>
                <w:szCs w:val="24"/>
                <w:lang w:eastAsia="zh-CN"/>
              </w:rPr>
              <w:t>adaptation for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(to no larger than 20ms), FW, Huawei, Interdigital, DCM, Panasonic, ZTE, CMCC?, CATT, Tejas, ETRI, Cewit, Sharp</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A2</w:t>
            </w:r>
          </w:p>
          <w:p>
            <w:pPr>
              <w:pStyle w:val="13"/>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for SSB that is not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Nokia?, FW, Ericsson (at least), Samsung, Fujitsu, Huawei, QC, Panasonic,  CMCC?, CATT, Mediatek, Fraunhofer</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rPr>
              <w:t>Rel-19 NES-capable UE’s PCell (Connected mode)</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A3</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not on sync raster</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Huawei, QC, Panasonic, Mediatek, Transsion</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 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B1</w:t>
            </w:r>
          </w:p>
          <w:p>
            <w:pPr>
              <w:pStyle w:val="13"/>
              <w:rPr>
                <w:rFonts w:ascii="Times New Roman" w:hAnsi="Times New Roman" w:eastAsia="Batang"/>
                <w:szCs w:val="24"/>
                <w:lang w:eastAsia="zh-CN"/>
              </w:rPr>
            </w:pPr>
            <w:r>
              <w:rPr>
                <w:rFonts w:ascii="Times New Roman" w:hAnsi="Times New Roman" w:eastAsia="Batang"/>
                <w:szCs w:val="24"/>
                <w:lang w:eastAsia="zh-CN"/>
              </w:rPr>
              <w:t>adaptation for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(to no larger than 20ms), FW, Huawei, Interdigital, DCM, Panasonic, ZTE, CMCC, CATT, Tejas, ETRI, Cewit, Sharp</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B2</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that is not CD-SSB</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Nokia, Ericsson (at least), LG, Samsung, Fujitsu, Huawei, QC, Panasonic, CMCC?, CATT, Mediatek, Fraunhofer</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UE’s SCell</w:t>
            </w:r>
          </w:p>
        </w:tc>
        <w:tc>
          <w:tcPr>
            <w:tcW w:w="2011" w:type="dxa"/>
          </w:tcPr>
          <w:p>
            <w:pPr>
              <w:pStyle w:val="13"/>
              <w:rPr>
                <w:rFonts w:ascii="Times New Roman" w:hAnsi="Times New Roman" w:eastAsia="Batang"/>
                <w:szCs w:val="24"/>
                <w:lang w:eastAsia="zh-CN"/>
              </w:rPr>
            </w:pPr>
            <w:r>
              <w:rPr>
                <w:rFonts w:ascii="Times New Roman" w:hAnsi="Times New Roman" w:eastAsia="Batang"/>
                <w:szCs w:val="24"/>
                <w:lang w:eastAsia="zh-CN"/>
              </w:rPr>
              <w:t>B3</w:t>
            </w:r>
          </w:p>
          <w:p>
            <w:pPr>
              <w:pStyle w:val="13"/>
              <w:rPr>
                <w:rFonts w:ascii="Times New Roman" w:hAnsi="Times New Roman" w:eastAsia="Batang"/>
                <w:szCs w:val="24"/>
                <w:lang w:eastAsia="zh-CN"/>
              </w:rPr>
            </w:pPr>
            <w:r>
              <w:rPr>
                <w:rFonts w:ascii="Times New Roman" w:hAnsi="Times New Roman" w:eastAsia="Batang"/>
                <w:szCs w:val="24"/>
                <w:lang w:eastAsia="zh-CN"/>
              </w:rPr>
              <w:t>adaptation for SSB not on sync raster</w:t>
            </w:r>
          </w:p>
        </w:tc>
        <w:tc>
          <w:tcPr>
            <w:tcW w:w="4359" w:type="dxa"/>
          </w:tcPr>
          <w:p>
            <w:pPr>
              <w:pStyle w:val="13"/>
              <w:rPr>
                <w:rFonts w:ascii="Times New Roman" w:hAnsi="Times New Roman" w:eastAsia="Batang"/>
                <w:szCs w:val="24"/>
                <w:lang w:eastAsia="zh-CN"/>
              </w:rPr>
            </w:pPr>
            <w:r>
              <w:rPr>
                <w:rFonts w:ascii="Times New Roman" w:hAnsi="Times New Roman" w:eastAsia="Batang"/>
                <w:szCs w:val="24"/>
                <w:lang w:eastAsia="zh-CN"/>
              </w:rPr>
              <w:t>Xiaomi, LG, Apple, Huawei, QC, Panasonic, Mediatek, Transsion</w:t>
            </w:r>
          </w:p>
        </w:tc>
        <w:tc>
          <w:tcPr>
            <w:tcW w:w="1483" w:type="dxa"/>
          </w:tcPr>
          <w:p>
            <w:pPr>
              <w:pStyle w:val="13"/>
              <w:rPr>
                <w:rFonts w:ascii="Times New Roman" w:hAnsi="Times New Roman" w:eastAsia="Batang"/>
                <w:szCs w:val="24"/>
                <w:lang w:eastAsia="zh-CN"/>
              </w:rPr>
            </w:pPr>
            <w:r>
              <w:rPr>
                <w:rFonts w:ascii="Times New Roman" w:hAnsi="Times New Roman" w:eastAsia="Batang"/>
                <w:szCs w:val="24"/>
                <w:lang w:eastAsia="zh-CN"/>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530" w:type="dxa"/>
          </w:tcPr>
          <w:p>
            <w:pPr>
              <w:pStyle w:val="13"/>
              <w:rPr>
                <w:rFonts w:ascii="Times New Roman" w:hAnsi="Times New Roman" w:eastAsia="Batang"/>
                <w:szCs w:val="24"/>
                <w:lang w:eastAsia="zh-CN"/>
              </w:rPr>
            </w:pPr>
            <w:r>
              <w:rPr>
                <w:rFonts w:ascii="Times New Roman" w:hAnsi="Times New Roman" w:eastAsia="Batang"/>
                <w:szCs w:val="24"/>
                <w:lang w:eastAsia="zh-CN"/>
              </w:rPr>
              <w:t>Rel-19 NES-capable UE in idle/inactive mode</w:t>
            </w:r>
          </w:p>
        </w:tc>
        <w:tc>
          <w:tcPr>
            <w:tcW w:w="2011" w:type="dxa"/>
          </w:tcPr>
          <w:p>
            <w:pPr>
              <w:pStyle w:val="13"/>
              <w:rPr>
                <w:rFonts w:ascii="Times New Roman" w:hAnsi="Times New Roman" w:eastAsia="Batang"/>
                <w:szCs w:val="24"/>
                <w:lang w:eastAsia="zh-CN"/>
              </w:rPr>
            </w:pPr>
          </w:p>
        </w:tc>
        <w:tc>
          <w:tcPr>
            <w:tcW w:w="4359" w:type="dxa"/>
          </w:tcPr>
          <w:p>
            <w:pPr>
              <w:pStyle w:val="13"/>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pPr>
              <w:pStyle w:val="13"/>
              <w:rPr>
                <w:rFonts w:ascii="Times New Roman" w:hAnsi="Times New Roman" w:eastAsia="Batang"/>
                <w:szCs w:val="24"/>
                <w:lang w:eastAsia="zh-CN"/>
              </w:rPr>
            </w:pPr>
            <w:r>
              <w:rPr>
                <w:rFonts w:ascii="Times New Roman" w:hAnsi="Times New Roman"/>
              </w:rPr>
              <w:t>QC, vivo, Apple, Mediatek, LG</w:t>
            </w:r>
          </w:p>
        </w:tc>
      </w:tr>
    </w:tbl>
    <w:p>
      <w:pPr>
        <w:pStyle w:val="13"/>
        <w:rPr>
          <w:rFonts w:ascii="Times New Roman" w:hAnsi="Times New Roman" w:eastAsia="Batang"/>
          <w:szCs w:val="24"/>
          <w:lang w:eastAsia="zh-CN"/>
        </w:rPr>
      </w:pPr>
    </w:p>
    <w:p>
      <w:pPr>
        <w:pStyle w:val="13"/>
        <w:rPr>
          <w:rFonts w:ascii="Times New Roman" w:hAnsi="Times New Roman" w:eastAsia="Batang"/>
          <w:szCs w:val="24"/>
          <w:lang w:eastAsia="zh-CN"/>
        </w:rPr>
      </w:pPr>
      <w:r>
        <w:rPr>
          <w:rFonts w:ascii="Times New Roman" w:hAnsi="Times New Roman" w:eastAsia="Batang"/>
          <w:szCs w:val="24"/>
          <w:lang w:eastAsia="zh-CN"/>
        </w:rPr>
        <w:t xml:space="preserve">Potential points to consider:  </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Legacy UE impact when CD-SSB is adapted</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Handling: barring, etc?</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One main contributor for increased gNB energy consumption is the default 20ms SSB assumption for initial access by legacy UEs</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 xml:space="preserve">If CD-SSB with normal (e.g. 20ms) periodicity is transmitted, no/minimal NES gains when adapting only SSB that is not CD-SSB </w:t>
      </w:r>
    </w:p>
    <w:p>
      <w:pPr>
        <w:pStyle w:val="13"/>
        <w:numPr>
          <w:ilvl w:val="0"/>
          <w:numId w:val="4"/>
        </w:numPr>
        <w:rPr>
          <w:rFonts w:ascii="Times New Roman" w:hAnsi="Times New Roman" w:eastAsia="Batang"/>
          <w:szCs w:val="24"/>
          <w:lang w:eastAsia="zh-CN"/>
        </w:rPr>
      </w:pPr>
      <w:r>
        <w:rPr>
          <w:rFonts w:ascii="Times New Roman" w:hAnsi="Times New Roman" w:eastAsia="Batang"/>
          <w:szCs w:val="24"/>
          <w:lang w:eastAsia="zh-CN"/>
        </w:rPr>
        <w:t xml:space="preserve">Impact to Rel-19 NES capable UEs in idle/inactive mode </w:t>
      </w:r>
    </w:p>
    <w:p>
      <w:pPr>
        <w:pStyle w:val="13"/>
        <w:numPr>
          <w:ilvl w:val="1"/>
          <w:numId w:val="4"/>
        </w:numPr>
        <w:rPr>
          <w:rFonts w:ascii="Times New Roman" w:hAnsi="Times New Roman" w:eastAsia="Batang"/>
          <w:szCs w:val="24"/>
          <w:lang w:eastAsia="zh-CN"/>
        </w:rPr>
      </w:pPr>
      <w:r>
        <w:rPr>
          <w:rFonts w:ascii="Times New Roman" w:hAnsi="Times New Roman" w:eastAsia="Batang"/>
          <w:szCs w:val="24"/>
          <w:lang w:eastAsia="zh-CN"/>
        </w:rPr>
        <w:t>Handling: cell accessible only via cell reselection?</w:t>
      </w:r>
    </w:p>
    <w:p>
      <w:pPr>
        <w:pStyle w:val="3"/>
        <w:numPr>
          <w:ilvl w:val="0"/>
          <w:numId w:val="0"/>
        </w:numPr>
        <w:ind w:left="576" w:hanging="576"/>
        <w:rPr>
          <w:sz w:val="20"/>
          <w:szCs w:val="20"/>
        </w:rPr>
      </w:pPr>
      <w:r>
        <w:rPr>
          <w:sz w:val="20"/>
          <w:szCs w:val="20"/>
        </w:rPr>
        <w:t>Proposal 2.1.2</w:t>
      </w:r>
    </w:p>
    <w:p>
      <w:pPr>
        <w:pStyle w:val="13"/>
        <w:spacing w:after="0"/>
        <w:rPr>
          <w:rFonts w:ascii="Times New Roman" w:hAnsi="Times New Roman"/>
        </w:rPr>
      </w:pPr>
      <w:r>
        <w:rPr>
          <w:rFonts w:ascii="Times New Roman" w:hAnsi="Times New Roman"/>
        </w:rPr>
        <w:t xml:space="preserve">Adaptation mechanism(s) of SSB in time-domain is supported at least for the following scenario(s): </w:t>
      </w:r>
    </w:p>
    <w:p>
      <w:pPr>
        <w:pStyle w:val="13"/>
        <w:overflowPunct/>
        <w:autoSpaceDE/>
        <w:autoSpaceDN/>
        <w:adjustRightInd/>
        <w:spacing w:after="0"/>
        <w:jc w:val="left"/>
        <w:textAlignment w:val="auto"/>
        <w:rPr>
          <w:rFonts w:ascii="Times New Roman" w:hAnsi="Times New Roman"/>
        </w:rPr>
      </w:pPr>
      <w:r>
        <w:rPr>
          <w:rFonts w:ascii="Times New Roman" w:hAnsi="Times New Roman"/>
        </w:rPr>
        <w:t xml:space="preserve">                 </w:t>
      </w:r>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pPr>
        <w:pStyle w:val="13"/>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pPr>
        <w:pStyle w:val="13"/>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pPr>
        <w:pStyle w:val="13"/>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pPr>
        <w:pStyle w:val="13"/>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pPr>
        <w:pStyle w:val="35"/>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pPr>
        <w:rPr>
          <w:rFonts w:ascii="Times New Roman" w:hAnsi="Times New Roman"/>
        </w:rPr>
      </w:pPr>
    </w:p>
    <w:p>
      <w:pPr>
        <w:pStyle w:val="2"/>
      </w:pPr>
      <w:r>
        <w:t xml:space="preserve">Adaptation of PRACH </w:t>
      </w:r>
    </w:p>
    <w:p>
      <w:pPr>
        <w:pStyle w:val="13"/>
      </w:pPr>
      <w:r>
        <w:t xml:space="preserve">Several companies provided their views on the adaptation mechanisms for the PRACH in time-domain, including configuration aspects, SSB-RO mapping, adaptation mechanisms. </w:t>
      </w:r>
    </w:p>
    <w:p>
      <w:pPr>
        <w:pStyle w:val="3"/>
        <w:numPr>
          <w:ilvl w:val="0"/>
          <w:numId w:val="0"/>
        </w:numPr>
        <w:ind w:left="576" w:hanging="576"/>
        <w:rPr>
          <w:sz w:val="20"/>
          <w:szCs w:val="20"/>
        </w:rPr>
      </w:pPr>
      <w:r>
        <w:rPr>
          <w:sz w:val="20"/>
          <w:szCs w:val="20"/>
        </w:rPr>
        <w:t>Proposal 3.1.1</w:t>
      </w:r>
    </w:p>
    <w:p>
      <w:pPr>
        <w:pStyle w:val="13"/>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pPr>
        <w:pStyle w:val="13"/>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ascii="Times New Roman" w:hAnsi="Times New Roman" w:eastAsiaTheme="minorEastAsia"/>
              </w:rPr>
              <w:t>T</w:t>
            </w:r>
            <w:r>
              <w:rPr>
                <w:rFonts w:hint="eastAsia" w:ascii="Times New Roman" w:hAnsi="Times New Roman" w:eastAsiaTheme="minorEastAsia"/>
              </w:rPr>
              <w:t xml:space="preserve">he SSB-RO mapping order for </w:t>
            </w:r>
            <w:r>
              <w:rPr>
                <w:rFonts w:ascii="Times New Roman" w:hAnsi="Times New Roman" w:eastAsiaTheme="minorEastAsia"/>
              </w:rPr>
              <w:t>additional</w:t>
            </w:r>
            <w:r>
              <w:rPr>
                <w:rFonts w:hint="eastAsia" w:ascii="Times New Roman" w:hAnsi="Times New Roman" w:eastAsiaTheme="minorEastAsia"/>
              </w:rPr>
              <w:t xml:space="preserve"> PRACH resource can reuse the legacy SSB-RO mapping order. </w:t>
            </w:r>
            <w:r>
              <w:rPr>
                <w:rFonts w:ascii="Times New Roman" w:hAnsi="Times New Roman" w:eastAsiaTheme="minorEastAsia"/>
              </w:rPr>
              <w:t>W</w:t>
            </w:r>
            <w:r>
              <w:rPr>
                <w:rFonts w:hint="eastAsia" w:ascii="Times New Roman" w:hAnsi="Times New Roman" w:eastAsiaTheme="minorEastAsia"/>
              </w:rPr>
              <w:t>e don</w:t>
            </w:r>
            <w:r>
              <w:rPr>
                <w:rFonts w:ascii="Times New Roman" w:hAnsi="Times New Roman" w:eastAsiaTheme="minorEastAsia"/>
              </w:rPr>
              <w:t>’</w:t>
            </w:r>
            <w:r>
              <w:rPr>
                <w:rFonts w:hint="eastAsia" w:ascii="Times New Roman" w:hAnsi="Times New Roman" w:eastAsiaTheme="minorEastAsia"/>
              </w:rPr>
              <w:t xml:space="preserve">t see the motivation or benefit to enhance the legacy SSB-RO mapping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pStyle w:val="13"/>
              <w:spacing w:after="0"/>
              <w:rPr>
                <w:rFonts w:ascii="Times New Roman" w:hAnsi="Times New Roman"/>
              </w:rPr>
            </w:pPr>
            <w:r>
              <w:rPr>
                <w:rFonts w:ascii="Times New Roman" w:hAnsi="Times New Roman"/>
              </w:rPr>
              <w:t>Supporting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rPr>
            </w:pPr>
            <w:r>
              <w:rPr>
                <w:rFonts w:ascii="Times New Roman" w:hAnsi="Times New Roman" w:eastAsiaTheme="minorEastAsia"/>
              </w:rPr>
              <w:t>Do not observe a need to enhance the mapping order of SSB-RO for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Theme="minorEastAsia"/>
              </w:rPr>
            </w:pPr>
            <w:r>
              <w:rPr>
                <w:rFonts w:ascii="Times New Roman" w:hAnsi="Times New Roman"/>
              </w:rPr>
              <w:t>Sharp</w:t>
            </w:r>
          </w:p>
        </w:tc>
        <w:tc>
          <w:tcPr>
            <w:tcW w:w="850" w:type="dxa"/>
          </w:tcPr>
          <w:p>
            <w:pPr>
              <w:pStyle w:val="13"/>
              <w:spacing w:after="0"/>
              <w:rPr>
                <w:rFonts w:ascii="Times New Roman" w:hAnsi="Times New Roman" w:eastAsiaTheme="minorEastAsia"/>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It’s not clear what the mapping order here means.</w:t>
            </w:r>
          </w:p>
          <w:p>
            <w:pPr>
              <w:pStyle w:val="13"/>
              <w:spacing w:after="0"/>
              <w:rPr>
                <w:rFonts w:ascii="Times New Roman" w:hAnsi="Times New Roman" w:eastAsia="Yu Mincho"/>
                <w:lang w:eastAsia="ja-JP"/>
              </w:rPr>
            </w:pPr>
            <w:r>
              <w:rPr>
                <w:rFonts w:ascii="Times New Roman" w:hAnsi="Times New Roman" w:eastAsia="Yu Mincho"/>
                <w:lang w:eastAsia="ja-JP"/>
              </w:rPr>
              <w:t>If it means SSB-to-RO mapping rule, it depends whether there is overlapping between additional PRACH resources and PRACH resources for legacy UEs. (i.e. whether support FFS part in Proposal 3.1.2.).</w:t>
            </w:r>
          </w:p>
          <w:p>
            <w:pPr>
              <w:pStyle w:val="13"/>
              <w:spacing w:after="0"/>
              <w:rPr>
                <w:rFonts w:ascii="Times New Roman" w:hAnsi="Times New Roman" w:eastAsiaTheme="minorEastAsia"/>
              </w:rPr>
            </w:pPr>
            <w:r>
              <w:rPr>
                <w:rFonts w:ascii="Times New Roman" w:hAnsi="Times New Roman" w:eastAsia="Yu Mincho"/>
                <w:lang w:eastAsia="ja-JP"/>
              </w:rPr>
              <w:t>At least, we are fine with the proposal with no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3"/>
              <w:spacing w:after="0"/>
              <w:rPr>
                <w:rFonts w:ascii="Times New Roman" w:hAnsi="Times New Roman" w:eastAsia="Yu Mincho"/>
                <w:lang w:eastAsia="ja-JP"/>
              </w:rPr>
            </w:pPr>
            <w:r>
              <w:rPr>
                <w:rFonts w:ascii="Times New Roman" w:hAnsi="Times New Roman" w:eastAsiaTheme="minorEastAsia"/>
              </w:rPr>
              <w:t>As analysed in our contribution, using a different mapping order from legacy can reduce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vivo</w:t>
            </w:r>
          </w:p>
        </w:tc>
        <w:tc>
          <w:tcPr>
            <w:tcW w:w="850" w:type="dxa"/>
          </w:tcPr>
          <w:p>
            <w:pPr>
              <w:pStyle w:val="13"/>
              <w:spacing w:after="0"/>
              <w:rPr>
                <w:rFonts w:ascii="Times New Roman" w:hAnsi="Times New Roman" w:eastAsiaTheme="minorEastAsia"/>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 xml:space="preserve">If SSB-RO mapping order in the proposal means the SSB-to-RO mapping rule in 38.213, we are supportive of the proposal. </w:t>
            </w:r>
          </w:p>
          <w:p>
            <w:pPr>
              <w:pStyle w:val="13"/>
              <w:spacing w:after="0"/>
              <w:rPr>
                <w:rFonts w:ascii="Times New Roman" w:hAnsi="Times New Roman" w:eastAsia="Yu Mincho"/>
                <w:lang w:eastAsia="ja-JP"/>
              </w:rPr>
            </w:pPr>
            <w:r>
              <w:rPr>
                <w:rFonts w:ascii="Times New Roman" w:hAnsi="Times New Roman" w:eastAsia="Yu Mincho"/>
                <w:lang w:eastAsia="ja-JP"/>
              </w:rPr>
              <w:t>We don’t see the need to define new mapping rule for the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Spreadtrum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eastAsia="Yu Mincho"/>
                <w:lang w:eastAsia="ja-JP"/>
              </w:rPr>
            </w:pPr>
            <w:r>
              <w:rPr>
                <w:rFonts w:ascii="Times New Roman" w:hAnsi="Times New Roman"/>
              </w:rPr>
              <w:t>LG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N</w:t>
            </w:r>
          </w:p>
        </w:tc>
        <w:tc>
          <w:tcPr>
            <w:tcW w:w="6779" w:type="dxa"/>
          </w:tcPr>
          <w:p>
            <w:pPr>
              <w:pStyle w:val="13"/>
              <w:spacing w:after="0"/>
              <w:rPr>
                <w:rFonts w:ascii="Times New Roman" w:hAnsi="Times New Roman" w:eastAsia="Yu Mincho"/>
                <w:lang w:eastAsia="ja-JP"/>
              </w:rPr>
            </w:pPr>
            <w:r>
              <w:rPr>
                <w:rFonts w:ascii="Times New Roman" w:hAnsi="Times New Roman" w:eastAsia="Malgun Gothic"/>
                <w:lang w:eastAsia="ko-KR"/>
              </w:rPr>
              <w:t>It depends on whether to allow overlapping between legacy PRACH resource and additional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New Roman" w:hAnsi="Times New Roman"/>
              </w:rPr>
            </w:pPr>
            <w:r>
              <w:rPr>
                <w:rFonts w:ascii="Times New Roman" w:hAnsi="Times New Roman"/>
              </w:rPr>
              <w:t>Futurewei</w:t>
            </w:r>
          </w:p>
        </w:tc>
        <w:tc>
          <w:tcPr>
            <w:tcW w:w="850" w:type="dxa"/>
          </w:tcPr>
          <w:p>
            <w:pPr>
              <w:pStyle w:val="13"/>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28" w:type="dxa"/>
          </w:tcPr>
          <w:p>
            <w:pPr>
              <w:pStyle w:val="13"/>
              <w:spacing w:after="0"/>
              <w:rPr>
                <w:rFonts w:ascii="Times" w:hAnsi="Times" w:cs="Times"/>
              </w:rPr>
            </w:pPr>
            <w:r>
              <w:rPr>
                <w:rFonts w:ascii="Times" w:hAnsi="Times" w:eastAsia="PMingLiU" w:cs="Times"/>
                <w:lang w:eastAsia="zh-TW"/>
              </w:rPr>
              <w:t>ITRI</w:t>
            </w:r>
          </w:p>
        </w:tc>
        <w:tc>
          <w:tcPr>
            <w:tcW w:w="850" w:type="dxa"/>
          </w:tcPr>
          <w:p>
            <w:pPr>
              <w:pStyle w:val="13"/>
              <w:spacing w:after="0"/>
              <w:rPr>
                <w:rFonts w:ascii="Times" w:hAnsi="Times" w:eastAsia="Malgun Gothic" w:cs="Times"/>
                <w:lang w:eastAsia="ko-KR"/>
              </w:rPr>
            </w:pPr>
            <w:r>
              <w:rPr>
                <w:rFonts w:ascii="Times" w:hAnsi="Times" w:eastAsia="PMingLiU" w:cs="Times"/>
                <w:lang w:eastAsia="zh-TW"/>
              </w:rPr>
              <w:t>Y</w:t>
            </w:r>
          </w:p>
        </w:tc>
        <w:tc>
          <w:tcPr>
            <w:tcW w:w="6779" w:type="dxa"/>
          </w:tcPr>
          <w:p>
            <w:pPr>
              <w:pStyle w:val="13"/>
              <w:spacing w:after="0"/>
              <w:rPr>
                <w:rFonts w:ascii="Times" w:hAnsi="Times" w:eastAsia="Malgun Gothic" w:cs="Times"/>
                <w:lang w:eastAsia="ko-KR"/>
              </w:rPr>
            </w:pPr>
          </w:p>
        </w:tc>
      </w:tr>
    </w:tbl>
    <w:p>
      <w:pPr>
        <w:pStyle w:val="13"/>
        <w:spacing w:after="0"/>
        <w:jc w:val="left"/>
        <w:rPr>
          <w:rFonts w:ascii="Times New Roman" w:hAnsi="Times New Roman"/>
        </w:rPr>
      </w:pPr>
    </w:p>
    <w:p>
      <w:pPr>
        <w:pStyle w:val="3"/>
        <w:numPr>
          <w:ilvl w:val="0"/>
          <w:numId w:val="0"/>
        </w:numPr>
        <w:ind w:left="576" w:hanging="576"/>
        <w:rPr>
          <w:sz w:val="20"/>
          <w:szCs w:val="20"/>
        </w:rPr>
      </w:pPr>
      <w:bookmarkStart w:id="1" w:name="_Hlk164310727"/>
      <w:r>
        <w:rPr>
          <w:sz w:val="20"/>
          <w:szCs w:val="20"/>
        </w:rPr>
        <w:t>Proposal 3.1.2</w:t>
      </w:r>
    </w:p>
    <w:p>
      <w:pPr>
        <w:pStyle w:val="13"/>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3"/>
        <w:numPr>
          <w:ilvl w:val="0"/>
          <w:numId w:val="6"/>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pPr>
        <w:pStyle w:val="13"/>
        <w:numPr>
          <w:ilvl w:val="0"/>
          <w:numId w:val="6"/>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pPr>
        <w:pStyle w:val="13"/>
        <w:numPr>
          <w:ilvl w:val="0"/>
          <w:numId w:val="6"/>
        </w:numPr>
        <w:spacing w:after="0"/>
        <w:jc w:val="left"/>
        <w:rPr>
          <w:rFonts w:ascii="Times New Roman" w:hAnsi="Times New Roman"/>
        </w:rPr>
      </w:pPr>
      <w:r>
        <w:rPr>
          <w:rFonts w:ascii="Times New Roman" w:hAnsi="Times New Roman"/>
        </w:rPr>
        <w:t xml:space="preserve">FFS: whether overlap in both time and frequency is supported </w:t>
      </w:r>
    </w:p>
    <w:p>
      <w:pPr>
        <w:pStyle w:val="13"/>
        <w:spacing w:after="0"/>
        <w:ind w:left="36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 xml:space="preserve">We </w:t>
            </w:r>
            <w:r>
              <w:rPr>
                <w:rFonts w:ascii="Times New Roman" w:hAnsi="Times New Roman" w:eastAsiaTheme="minorEastAsia"/>
              </w:rPr>
              <w:t>firstly</w:t>
            </w:r>
            <w:r>
              <w:rPr>
                <w:rFonts w:hint="eastAsia" w:ascii="Times New Roman" w:hAnsi="Times New Roman" w:eastAsiaTheme="minorEastAsia"/>
              </w:rPr>
              <w:t xml:space="preserve"> should discuss how to configure the </w:t>
            </w:r>
            <w:r>
              <w:rPr>
                <w:rFonts w:ascii="Times New Roman" w:hAnsi="Times New Roman" w:eastAsiaTheme="minorEastAsia"/>
              </w:rPr>
              <w:t>addition</w:t>
            </w:r>
            <w:r>
              <w:rPr>
                <w:rFonts w:hint="eastAsia" w:ascii="Times New Roman" w:hAnsi="Times New Roman" w:eastAsiaTheme="minorEastAsia"/>
              </w:rPr>
              <w:t xml:space="preserve"> PRACH resource, then </w:t>
            </w:r>
            <w:r>
              <w:rPr>
                <w:rFonts w:ascii="Times New Roman" w:hAnsi="Times New Roman" w:eastAsiaTheme="minorEastAsia"/>
              </w:rPr>
              <w:t>identify</w:t>
            </w:r>
            <w:r>
              <w:rPr>
                <w:rFonts w:hint="eastAsia" w:ascii="Times New Roman" w:hAnsi="Times New Roman" w:eastAsiaTheme="minorEastAsia"/>
              </w:rPr>
              <w:t xml:space="preserve"> whether there is overlapped RO issue </w:t>
            </w:r>
            <w:r>
              <w:rPr>
                <w:rFonts w:ascii="Times New Roman" w:hAnsi="Times New Roman" w:eastAsiaTheme="minorEastAsia"/>
              </w:rPr>
              <w:t>using</w:t>
            </w:r>
            <w:r>
              <w:rPr>
                <w:rFonts w:hint="eastAsia" w:ascii="Times New Roman" w:hAnsi="Times New Roman" w:eastAsiaTheme="minorEastAsia"/>
              </w:rPr>
              <w:t xml:space="preserve"> this method. Thus, it</w:t>
            </w:r>
            <w:r>
              <w:rPr>
                <w:rFonts w:ascii="Times New Roman" w:hAnsi="Times New Roman" w:eastAsiaTheme="minorEastAsia"/>
              </w:rPr>
              <w:t>’</w:t>
            </w:r>
            <w:r>
              <w:rPr>
                <w:rFonts w:hint="eastAsia" w:ascii="Times New Roman" w:hAnsi="Times New Roman" w:eastAsiaTheme="minorEastAsia"/>
              </w:rPr>
              <w:t xml:space="preserve">s better to wait the progress of the discussion on Proposal 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N</w:t>
            </w:r>
          </w:p>
        </w:tc>
        <w:tc>
          <w:tcPr>
            <w:tcW w:w="6779" w:type="dxa"/>
          </w:tcPr>
          <w:p>
            <w:pPr>
              <w:pStyle w:val="13"/>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W</w:t>
            </w:r>
            <w:r>
              <w:rPr>
                <w:rFonts w:ascii="Times New Roman" w:hAnsi="Times New Roman" w:eastAsia="Yu Mincho"/>
                <w:lang w:eastAsia="ja-JP"/>
              </w:rPr>
              <w:t>e are fine with first two bullets.</w:t>
            </w:r>
          </w:p>
          <w:p>
            <w:pPr>
              <w:pStyle w:val="13"/>
              <w:spacing w:after="0"/>
              <w:rPr>
                <w:rFonts w:ascii="Times New Roman" w:hAnsi="Times New Roman"/>
              </w:rPr>
            </w:pPr>
            <w:r>
              <w:rPr>
                <w:rFonts w:hint="eastAsia" w:ascii="Times New Roman" w:hAnsi="Times New Roman" w:eastAsia="Yu Mincho"/>
                <w:lang w:eastAsia="ja-JP"/>
              </w:rPr>
              <w:t>W</w:t>
            </w:r>
            <w:r>
              <w:rPr>
                <w:rFonts w:ascii="Times New Roman" w:hAnsi="Times New Roman" w:eastAsia="Yu Mincho"/>
                <w:lang w:eastAsia="ja-JP"/>
              </w:rPr>
              <w:t>e are OK to consider FFS part, and we assume it requires some new SSB-to-RO mapping rule to avoid impact 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ascii="Times New Roman" w:hAnsi="Times New Roman"/>
              </w:rPr>
              <w:t>Resource configuration can overlap as long as it is transparent to legacy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N</w:t>
            </w:r>
          </w:p>
        </w:tc>
        <w:tc>
          <w:tcPr>
            <w:tcW w:w="6779" w:type="dxa"/>
          </w:tcPr>
          <w:p>
            <w:pPr>
              <w:pStyle w:val="13"/>
              <w:spacing w:after="0"/>
              <w:rPr>
                <w:rFonts w:ascii="Times New Roman" w:hAnsi="Times New Roman"/>
              </w:rPr>
            </w:pPr>
            <w:r>
              <w:rPr>
                <w:rFonts w:ascii="Times New Roman" w:hAnsi="Times New Roman" w:eastAsia="Yu Mincho"/>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pPr>
              <w:pStyle w:val="13"/>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pPr>
              <w:pStyle w:val="13"/>
              <w:spacing w:after="0"/>
              <w:ind w:left="720"/>
              <w:jc w:val="left"/>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We are okay with first two bullets. On the third one, we propose to change to “</w:t>
            </w:r>
            <w:r>
              <w:rPr>
                <w:rFonts w:ascii="Times New Roman" w:hAnsi="Times New Roman"/>
              </w:rPr>
              <w:t>FFS: whether overlap in both time and frequency is allowed</w:t>
            </w:r>
            <w:r>
              <w:rPr>
                <w:rFonts w:ascii="Times New Roman" w:hAnsi="Times New Roman" w:eastAsia="Yu Mincho"/>
                <w:lang w:eastAsia="ja-JP"/>
              </w:rPr>
              <w:t>”, as this is not something to support for a purpose.</w:t>
            </w:r>
          </w:p>
          <w:p>
            <w:pPr>
              <w:pStyle w:val="13"/>
              <w:spacing w:after="0"/>
              <w:rPr>
                <w:rFonts w:ascii="Times New Roman" w:hAnsi="Times New Roman" w:eastAsia="Yu Mincho"/>
                <w:lang w:eastAsia="ja-JP"/>
              </w:rPr>
            </w:pPr>
          </w:p>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ascii="Times New Roman" w:hAnsi="Times New Roman" w:eastAsia="Malgun Gothic"/>
                <w:lang w:eastAsia="ko-KR"/>
              </w:rPr>
              <w:t>Generally fine with proposal and prefer to consider the case which the additional PRACH resources overlaps legacy PRACH resources in both time and frequency domains.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r>
              <w:rPr>
                <w:rFonts w:ascii="Times New Roman" w:hAnsi="Times New Roman" w:eastAsia="Malgun Gothic"/>
                <w:lang w:eastAsia="ko-KR"/>
              </w:rPr>
              <w:t>We do not need the last bullet in our opinion if the first two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extDirection w:val="lrTb"/>
            <w:vAlign w:val="top"/>
          </w:tcPr>
          <w:p>
            <w:pPr>
              <w:pStyle w:val="13"/>
              <w:spacing w:after="0"/>
              <w:rPr>
                <w:rFonts w:ascii="Times New Roman" w:hAnsi="Times New Roman" w:eastAsia="Malgun Gothic"/>
                <w:lang w:eastAsia="ko-KR"/>
              </w:rPr>
            </w:pPr>
            <w:bookmarkStart w:id="5" w:name="_GoBack" w:colFirst="0" w:colLast="2"/>
            <w:r>
              <w:rPr>
                <w:rFonts w:hint="eastAsia" w:ascii="Times New Roman" w:hAnsi="Times New Roman" w:eastAsia="宋体"/>
                <w:lang w:val="en-US" w:eastAsia="zh-CN"/>
              </w:rPr>
              <w:t>OPPO</w:t>
            </w:r>
          </w:p>
        </w:tc>
        <w:tc>
          <w:tcPr>
            <w:tcW w:w="850" w:type="dxa"/>
            <w:textDirection w:val="lrTb"/>
            <w:vAlign w:val="top"/>
          </w:tcPr>
          <w:p>
            <w:pPr>
              <w:pStyle w:val="13"/>
              <w:spacing w:after="0"/>
              <w:rPr>
                <w:rFonts w:ascii="Times New Roman" w:hAnsi="Times New Roman" w:eastAsia="Malgun Gothic"/>
                <w:lang w:eastAsia="ko-KR"/>
              </w:rPr>
            </w:pPr>
            <w:r>
              <w:rPr>
                <w:rFonts w:hint="eastAsia" w:ascii="Times New Roman" w:hAnsi="Times New Roman" w:eastAsia="宋体"/>
                <w:lang w:val="en-US" w:eastAsia="zh-CN"/>
              </w:rPr>
              <w:t>Y</w:t>
            </w:r>
          </w:p>
        </w:tc>
        <w:tc>
          <w:tcPr>
            <w:tcW w:w="6779" w:type="dxa"/>
            <w:textDirection w:val="lrTb"/>
            <w:vAlign w:val="top"/>
          </w:tcPr>
          <w:p>
            <w:pPr>
              <w:pStyle w:val="13"/>
              <w:spacing w:after="0"/>
              <w:rPr>
                <w:rFonts w:hint="eastAsia" w:ascii="Times New Roman" w:hAnsi="Times New Roman" w:eastAsia="宋体"/>
                <w:lang w:val="en-US" w:eastAsia="zh-CN"/>
              </w:rPr>
            </w:pPr>
            <w:r>
              <w:rPr>
                <w:rFonts w:hint="eastAsia" w:ascii="Times New Roman" w:hAnsi="Times New Roman" w:eastAsia="宋体"/>
                <w:lang w:val="en-US" w:eastAsia="zh-CN"/>
              </w:rPr>
              <w:t>Why not make it simple by:</w:t>
            </w:r>
          </w:p>
          <w:p>
            <w:pPr>
              <w:pStyle w:val="13"/>
              <w:numPr>
                <w:ilvl w:val="0"/>
                <w:numId w:val="0"/>
              </w:numPr>
              <w:spacing w:after="0"/>
              <w:jc w:val="left"/>
              <w:rPr>
                <w:rFonts w:hint="eastAsia" w:ascii="Times New Roman" w:hAnsi="Times New Roman" w:eastAsia="宋体"/>
                <w:lang w:val="en-US" w:eastAsia="zh-CN"/>
              </w:rPr>
            </w:pPr>
          </w:p>
          <w:p>
            <w:pPr>
              <w:pStyle w:val="13"/>
              <w:numPr>
                <w:ilvl w:val="0"/>
                <w:numId w:val="0"/>
              </w:numPr>
              <w:spacing w:after="0"/>
              <w:jc w:val="left"/>
              <w:rPr>
                <w:rFonts w:ascii="Times New Roman" w:hAnsi="Times New Roman"/>
                <w:color w:val="FF0000"/>
              </w:rPr>
            </w:pPr>
            <w:r>
              <w:rPr>
                <w:rFonts w:ascii="Times New Roman" w:hAnsi="Times New Roman"/>
                <w:color w:val="FF0000"/>
              </w:rPr>
              <w:t>For adaptation of PRACH in time-domain,</w:t>
            </w:r>
            <w:r>
              <w:rPr>
                <w:rFonts w:hint="eastAsia" w:ascii="Times New Roman" w:hAnsi="Times New Roman" w:eastAsia="宋体"/>
                <w:color w:val="FF0000"/>
                <w:lang w:val="en-US" w:eastAsia="zh-CN"/>
              </w:rPr>
              <w:t xml:space="preserve"> the additional PRACH resources are not overlapped in time and frequency domains with </w:t>
            </w:r>
            <w:r>
              <w:rPr>
                <w:rFonts w:ascii="Times New Roman" w:hAnsi="Times New Roman"/>
                <w:color w:val="FF0000"/>
              </w:rPr>
              <w:t>the PRACH resources for legacy UEs</w:t>
            </w:r>
          </w:p>
          <w:p>
            <w:pPr>
              <w:pStyle w:val="13"/>
              <w:spacing w:after="0"/>
              <w:rPr>
                <w:rFonts w:ascii="Times New Roman" w:hAnsi="Times New Roman" w:eastAsia="Malgun Gothic"/>
                <w:lang w:eastAsia="ko-KR"/>
              </w:rPr>
            </w:pPr>
          </w:p>
        </w:tc>
      </w:tr>
      <w:bookmarkEnd w:id="5"/>
    </w:tbl>
    <w:p>
      <w:pPr>
        <w:pStyle w:val="13"/>
        <w:spacing w:after="0"/>
        <w:ind w:left="360"/>
        <w:jc w:val="left"/>
        <w:rPr>
          <w:rFonts w:ascii="Times New Roman" w:hAnsi="Times New Roman"/>
        </w:rPr>
      </w:pPr>
    </w:p>
    <w:p>
      <w:pPr>
        <w:pStyle w:val="3"/>
        <w:numPr>
          <w:ilvl w:val="0"/>
          <w:numId w:val="0"/>
        </w:numPr>
        <w:ind w:left="576" w:hanging="576"/>
        <w:rPr>
          <w:sz w:val="20"/>
          <w:szCs w:val="20"/>
        </w:rPr>
      </w:pPr>
      <w:r>
        <w:rPr>
          <w:sz w:val="20"/>
          <w:szCs w:val="20"/>
        </w:rPr>
        <w:t>Proposal 3.1.3</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 PRACH configuration index </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highlight w:val="yellow"/>
          <w:lang w:eastAsia="zh-CN"/>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[Muting/masking ROs]</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Additional parameters to facilitate condensed RACH resources in time-domain </w:t>
      </w:r>
    </w:p>
    <w:p>
      <w:pPr>
        <w:overflowPunct/>
        <w:autoSpaceDE/>
        <w:autoSpaceDN/>
        <w:adjustRightInd/>
        <w:spacing w:after="0"/>
        <w:jc w:val="left"/>
        <w:textAlignment w:val="auto"/>
        <w:rPr>
          <w:rFonts w:ascii="Times New Roman" w:hAnsi="Times New Roman" w:eastAsia="Batang"/>
          <w:szCs w:val="24"/>
          <w:lang w:eastAsia="zh-C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rPr>
            </w:pPr>
          </w:p>
        </w:tc>
        <w:tc>
          <w:tcPr>
            <w:tcW w:w="6779" w:type="dxa"/>
          </w:tcPr>
          <w:p>
            <w:pPr>
              <w:pStyle w:val="13"/>
              <w:spacing w:after="0"/>
              <w:rPr>
                <w:rFonts w:ascii="Times New Roman" w:hAnsi="Times New Roman" w:eastAsiaTheme="minorEastAsia"/>
              </w:rPr>
            </w:pPr>
            <w:r>
              <w:rPr>
                <w:rFonts w:ascii="Times New Roman" w:hAnsi="Times New Roman" w:eastAsiaTheme="minorEastAsia"/>
              </w:rPr>
              <w:t>I</w:t>
            </w:r>
            <w:r>
              <w:rPr>
                <w:rFonts w:hint="eastAsia" w:ascii="Times New Roman" w:hAnsi="Times New Roman" w:eastAsiaTheme="minorEastAsia"/>
              </w:rPr>
              <w:t xml:space="preserve">f </w:t>
            </w:r>
            <w:r>
              <w:rPr>
                <w:rFonts w:ascii="Times New Roman" w:hAnsi="Times New Roman" w:eastAsiaTheme="minorEastAsia"/>
              </w:rPr>
              <w:t>a PRACH configuration index</w:t>
            </w:r>
            <w:r>
              <w:rPr>
                <w:rFonts w:hint="eastAsia" w:ascii="Times New Roman" w:hAnsi="Times New Roman" w:eastAsiaTheme="minorEastAsia"/>
              </w:rPr>
              <w:t xml:space="preserve"> for </w:t>
            </w:r>
            <w:r>
              <w:rPr>
                <w:rFonts w:ascii="Times New Roman" w:hAnsi="Times New Roman" w:eastAsiaTheme="minorEastAsia"/>
              </w:rPr>
              <w:t>additional</w:t>
            </w:r>
            <w:r>
              <w:rPr>
                <w:rFonts w:hint="eastAsia" w:ascii="Times New Roman" w:hAnsi="Times New Roman" w:eastAsiaTheme="minorEastAsia"/>
              </w:rPr>
              <w:t xml:space="preserve"> PRACH resource is supported, what</w:t>
            </w:r>
            <w:r>
              <w:rPr>
                <w:rFonts w:ascii="Times New Roman" w:hAnsi="Times New Roman" w:eastAsiaTheme="minorEastAsia"/>
              </w:rPr>
              <w:t>’</w:t>
            </w:r>
            <w:r>
              <w:rPr>
                <w:rFonts w:hint="eastAsia" w:ascii="Times New Roman" w:hAnsi="Times New Roman" w:eastAsiaTheme="minorEastAsia"/>
              </w:rPr>
              <w:t xml:space="preserve">s the motivation to further study other methods? Do we need to introduce another method for </w:t>
            </w:r>
            <w:r>
              <w:rPr>
                <w:rFonts w:ascii="Times New Roman" w:hAnsi="Times New Roman" w:eastAsiaTheme="minorEastAsia"/>
              </w:rPr>
              <w:t>additional</w:t>
            </w:r>
            <w:r>
              <w:rPr>
                <w:rFonts w:hint="eastAsia" w:ascii="Times New Roman" w:hAnsi="Times New Roman" w:eastAsiaTheme="minorEastAsia"/>
              </w:rPr>
              <w:t xml:space="preserve"> PRACH resource configuration? </w:t>
            </w:r>
          </w:p>
          <w:p>
            <w:pPr>
              <w:pStyle w:val="13"/>
              <w:spacing w:after="0"/>
              <w:rPr>
                <w:rFonts w:ascii="Times New Roman" w:hAnsi="Times New Roman" w:eastAsiaTheme="minorEastAsia"/>
              </w:rPr>
            </w:pPr>
            <w:r>
              <w:rPr>
                <w:rFonts w:hint="eastAsia" w:ascii="Times New Roman" w:hAnsi="Times New Roman" w:eastAsiaTheme="minorEastAsia"/>
              </w:rPr>
              <w:t xml:space="preserve">From our perspective, only one method listed above should be supported, which is sufficient for NR </w:t>
            </w:r>
            <w:r>
              <w:rPr>
                <w:rFonts w:ascii="Times New Roman" w:hAnsi="Times New Roman" w:eastAsiaTheme="minorEastAsia"/>
              </w:rPr>
              <w:t>system</w:t>
            </w:r>
            <w:r>
              <w:rPr>
                <w:rFonts w:hint="eastAsia" w:ascii="Times New Roman" w:hAnsi="Times New Roman" w:eastAsiaTheme="minorEastAsia"/>
              </w:rPr>
              <w:t xml:space="preserve">. </w:t>
            </w:r>
            <w:r>
              <w:rPr>
                <w:rFonts w:ascii="Times New Roman" w:hAnsi="Times New Roman" w:eastAsiaTheme="minorEastAsia"/>
              </w:rPr>
              <w:t>W</w:t>
            </w:r>
            <w:r>
              <w:rPr>
                <w:rFonts w:hint="eastAsia" w:ascii="Times New Roman" w:hAnsi="Times New Roman" w:eastAsiaTheme="minorEastAsia"/>
              </w:rPr>
              <w:t>e suggest to modify as following:</w:t>
            </w:r>
          </w:p>
          <w:p>
            <w:pPr>
              <w:overflowPunct/>
              <w:autoSpaceDE/>
              <w:autoSpaceDN/>
              <w:adjustRightInd/>
              <w:spacing w:after="0"/>
              <w:jc w:val="left"/>
              <w:textAlignment w:val="auto"/>
              <w:rPr>
                <w:rFonts w:ascii="Times New Roman" w:hAnsi="Times New Roman" w:eastAsiaTheme="minorEastAsia"/>
                <w:szCs w:val="24"/>
              </w:rPr>
            </w:pP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 PRACH configuration index </w:t>
            </w:r>
          </w:p>
          <w:p>
            <w:p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[Muting/masking ROs]</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Batang"/>
                <w:strike/>
                <w:color w:val="FF0000"/>
                <w:szCs w:val="24"/>
                <w:lang w:eastAsia="zh-CN"/>
              </w:rPr>
            </w:pPr>
            <w:r>
              <w:rPr>
                <w:rFonts w:ascii="Times New Roman" w:hAnsi="Times New Roman" w:eastAsia="Batang"/>
                <w:strike/>
                <w:color w:val="FF0000"/>
                <w:szCs w:val="24"/>
                <w:lang w:eastAsia="zh-CN"/>
              </w:rPr>
              <w:t xml:space="preserve">Additional parameters to facilitate condensed RACH resources in time-domain </w:t>
            </w:r>
          </w:p>
          <w:p>
            <w:pPr>
              <w:pStyle w:val="13"/>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We suggest methods that avoid overlap of legacy and additional PRACH resources, for simpler SSB-RO mapping rule. Additional PRACH configuration index will create overlap of additional and legacy PRACH resources. </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Hence, we make the following proposal,</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the additional PRACH resources are configured based on at least: </w:t>
            </w:r>
          </w:p>
          <w:p>
            <w:pPr>
              <w:overflowPunct/>
              <w:autoSpaceDE/>
              <w:autoSpaceDN/>
              <w:adjustRightInd/>
              <w:spacing w:after="0"/>
              <w:jc w:val="left"/>
              <w:textAlignment w:val="auto"/>
              <w:rPr>
                <w:rFonts w:ascii="Times New Roman" w:hAnsi="Times New Roman" w:eastAsia="Batang"/>
                <w:szCs w:val="24"/>
                <w:lang w:eastAsia="zh-CN"/>
              </w:rPr>
            </w:pP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 PRACH configuration index chosen such a way that there should not be any overlap of additional and legacy PRACH resources.</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Adjusting the parameters (e.g., (x, y) value and slot number) of the PRACH configuration.</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Whether the PRACH configuration index for the additional PRACH resources is same as the PRACH configuration index of the legacy resources </w:t>
            </w:r>
          </w:p>
          <w:p>
            <w:pPr>
              <w:pStyle w:val="35"/>
              <w:numPr>
                <w:ilvl w:val="0"/>
                <w:numId w:val="8"/>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Combination of Adjusting parameters i.e., “x and y”, and PRACH configuration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rPr>
            </w:pPr>
            <w:r>
              <w:rPr>
                <w:rFonts w:ascii="Times New Roman" w:hAnsi="Times New Roman" w:eastAsiaTheme="minorEastAsia"/>
              </w:rPr>
              <w:t>We are open to discuss the specific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Theme="minorEastAsia"/>
              </w:rPr>
            </w:pPr>
            <w:r>
              <w:rPr>
                <w:rFonts w:ascii="Times New Roman" w:hAnsi="Times New Roman" w:eastAsia="Yu Mincho"/>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Okay in general. One question is what is the intention of the second last bullet for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to configure the additional PRACH resource by using separate RACH configuration (i.e., a PRACH configuration index), or by adjusting the parameters (e.g., (x, y) value and slot number) of the default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p>
        </w:tc>
      </w:tr>
    </w:tbl>
    <w:p>
      <w:pPr>
        <w:overflowPunct/>
        <w:autoSpaceDE/>
        <w:autoSpaceDN/>
        <w:adjustRightInd/>
        <w:spacing w:after="0"/>
        <w:jc w:val="left"/>
        <w:textAlignment w:val="auto"/>
        <w:rPr>
          <w:rFonts w:ascii="Times New Roman" w:hAnsi="Times New Roman" w:eastAsia="Batang"/>
          <w:szCs w:val="24"/>
          <w:lang w:eastAsia="zh-CN"/>
        </w:rPr>
      </w:pPr>
    </w:p>
    <w:p>
      <w:pPr>
        <w:pStyle w:val="3"/>
        <w:numPr>
          <w:ilvl w:val="0"/>
          <w:numId w:val="0"/>
        </w:numPr>
        <w:ind w:left="576" w:hanging="576"/>
        <w:rPr>
          <w:sz w:val="20"/>
          <w:szCs w:val="20"/>
        </w:rPr>
      </w:pPr>
      <w:r>
        <w:rPr>
          <w:sz w:val="20"/>
          <w:szCs w:val="20"/>
        </w:rPr>
        <w:t>Proposal 3.1.4</w:t>
      </w:r>
    </w:p>
    <w:p>
      <w:pPr>
        <w:pStyle w:val="13"/>
        <w:spacing w:after="0"/>
        <w:jc w:val="left"/>
      </w:pPr>
      <w:r>
        <w:rPr>
          <w:rFonts w:ascii="Times New Roman" w:hAnsi="Times New Roman" w:eastAsia="Batang"/>
          <w:szCs w:val="24"/>
          <w:lang w:eastAsia="zh-CN"/>
        </w:rPr>
        <w:t>For the adaptation mechanism for additional PRACH resources</w:t>
      </w:r>
      <w:r>
        <w:rPr>
          <w:rFonts w:ascii="Times New Roman" w:hAnsi="Times New Roman"/>
        </w:rPr>
        <w:t xml:space="preserve">, study further the following: </w:t>
      </w:r>
    </w:p>
    <w:p>
      <w:pPr>
        <w:pStyle w:val="13"/>
        <w:numPr>
          <w:ilvl w:val="0"/>
          <w:numId w:val="6"/>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pPr>
        <w:pStyle w:val="13"/>
        <w:numPr>
          <w:ilvl w:val="0"/>
          <w:numId w:val="6"/>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pPr>
        <w:pStyle w:val="13"/>
        <w:numPr>
          <w:ilvl w:val="1"/>
          <w:numId w:val="6"/>
        </w:numPr>
        <w:spacing w:after="0"/>
        <w:jc w:val="left"/>
        <w:rPr>
          <w:rFonts w:ascii="Times New Roman" w:hAnsi="Times New Roman"/>
        </w:rPr>
      </w:pPr>
      <w:r>
        <w:rPr>
          <w:rFonts w:ascii="Times New Roman" w:hAnsi="Times New Roman"/>
        </w:rPr>
        <w:t>FFS: details</w:t>
      </w:r>
    </w:p>
    <w:p>
      <w:pPr>
        <w:pStyle w:val="13"/>
        <w:numPr>
          <w:ilvl w:val="1"/>
          <w:numId w:val="6"/>
        </w:numPr>
        <w:spacing w:after="0"/>
        <w:jc w:val="left"/>
        <w:rPr>
          <w:rFonts w:ascii="Times New Roman" w:hAnsi="Times New Roman"/>
        </w:rPr>
      </w:pPr>
      <w:r>
        <w:rPr>
          <w:rFonts w:ascii="Times New Roman" w:hAnsi="Times New Roman"/>
        </w:rPr>
        <w:t>Strive to re-use existing DCI format(s)</w:t>
      </w:r>
    </w:p>
    <w:p>
      <w:pPr>
        <w:pStyle w:val="13"/>
        <w:numPr>
          <w:ilvl w:val="0"/>
          <w:numId w:val="6"/>
        </w:numPr>
        <w:spacing w:after="0"/>
        <w:jc w:val="left"/>
        <w:rPr>
          <w:rFonts w:ascii="Times New Roman" w:hAnsi="Times New Roman"/>
        </w:rPr>
      </w:pPr>
      <w:r>
        <w:rPr>
          <w:rFonts w:ascii="Times New Roman" w:hAnsi="Times New Roman"/>
        </w:rPr>
        <w:t>Option 3: Adaptation of PRACH transmission according to certain condition</w:t>
      </w:r>
    </w:p>
    <w:p>
      <w:pPr>
        <w:pStyle w:val="13"/>
        <w:numPr>
          <w:ilvl w:val="1"/>
          <w:numId w:val="6"/>
        </w:numPr>
        <w:spacing w:after="0"/>
        <w:jc w:val="left"/>
        <w:rPr>
          <w:rFonts w:ascii="Times New Roman" w:hAnsi="Times New Roman"/>
        </w:rPr>
      </w:pPr>
      <w:r>
        <w:rPr>
          <w:rFonts w:ascii="Times New Roman" w:hAnsi="Times New Roman"/>
        </w:rPr>
        <w:t>FFS:details</w:t>
      </w:r>
    </w:p>
    <w:p>
      <w:pPr>
        <w:pStyle w:val="13"/>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Company</w:t>
            </w:r>
          </w:p>
        </w:tc>
        <w:tc>
          <w:tcPr>
            <w:tcW w:w="850" w:type="dxa"/>
          </w:tcPr>
          <w:p>
            <w:pPr>
              <w:pStyle w:val="13"/>
              <w:spacing w:after="0"/>
              <w:rPr>
                <w:rFonts w:ascii="Times New Roman" w:hAnsi="Times New Roman"/>
              </w:rPr>
            </w:pPr>
            <w:r>
              <w:rPr>
                <w:rFonts w:ascii="Times New Roman" w:hAnsi="Times New Roman"/>
              </w:rPr>
              <w:t>Support (Y/N)</w:t>
            </w:r>
          </w:p>
        </w:tc>
        <w:tc>
          <w:tcPr>
            <w:tcW w:w="6779" w:type="dxa"/>
          </w:tcPr>
          <w:p>
            <w:pPr>
              <w:pStyle w:val="13"/>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 xml:space="preserve">We prefer to support option 2 which can </w:t>
            </w:r>
            <w:r>
              <w:rPr>
                <w:rFonts w:ascii="Times New Roman" w:hAnsi="Times New Roman" w:eastAsiaTheme="minorEastAsia"/>
              </w:rPr>
              <w:t>indicate</w:t>
            </w:r>
            <w:r>
              <w:rPr>
                <w:rFonts w:hint="eastAsia" w:ascii="Times New Roman" w:hAnsi="Times New Roman" w:eastAsiaTheme="minorEastAsia"/>
              </w:rPr>
              <w:t xml:space="preserve"> </w:t>
            </w:r>
            <w:r>
              <w:rPr>
                <w:rFonts w:ascii="Times New Roman" w:hAnsi="Times New Roman" w:eastAsiaTheme="minorEastAsia"/>
              </w:rPr>
              <w:t>adaptation</w:t>
            </w:r>
            <w:r>
              <w:rPr>
                <w:rFonts w:hint="eastAsia" w:ascii="Times New Roman" w:hAnsi="Times New Roman" w:eastAsiaTheme="minorEastAsia"/>
              </w:rPr>
              <w:t xml:space="preserve"> dynamically. </w:t>
            </w:r>
          </w:p>
          <w:p>
            <w:pPr>
              <w:pStyle w:val="13"/>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rPr>
              <w:t>Tejas Networks</w:t>
            </w:r>
          </w:p>
        </w:tc>
        <w:tc>
          <w:tcPr>
            <w:tcW w:w="850" w:type="dxa"/>
          </w:tcPr>
          <w:p>
            <w:pPr>
              <w:pStyle w:val="13"/>
              <w:spacing w:after="0"/>
              <w:rPr>
                <w:rFonts w:ascii="Times New Roman" w:hAnsi="Times New Roman"/>
              </w:rPr>
            </w:pPr>
            <w:r>
              <w:rPr>
                <w:rFonts w:ascii="Times New Roman" w:hAnsi="Times New Roman"/>
              </w:rPr>
              <w:t>Y</w:t>
            </w:r>
          </w:p>
        </w:tc>
        <w:tc>
          <w:tcPr>
            <w:tcW w:w="6779" w:type="dxa"/>
          </w:tcPr>
          <w:p>
            <w:pPr>
              <w:pStyle w:val="13"/>
              <w:spacing w:after="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rPr>
            </w:pPr>
            <w:r>
              <w:rPr>
                <w:rFonts w:ascii="Times New Roman" w:hAnsi="Times New Roman" w:eastAsiaTheme="minorEastAsia"/>
              </w:rPr>
              <w:t>CMCC</w:t>
            </w:r>
          </w:p>
        </w:tc>
        <w:tc>
          <w:tcPr>
            <w:tcW w:w="850" w:type="dxa"/>
          </w:tcPr>
          <w:p>
            <w:pPr>
              <w:pStyle w:val="13"/>
              <w:spacing w:after="0"/>
              <w:rPr>
                <w:rFonts w:ascii="Times New Roman" w:hAnsi="Times New Roman"/>
              </w:rPr>
            </w:pPr>
            <w:r>
              <w:rPr>
                <w:rFonts w:hint="eastAsia" w:ascii="Times New Roman" w:hAnsi="Times New Roman" w:eastAsiaTheme="minorEastAsia"/>
              </w:rPr>
              <w:t>Y</w:t>
            </w:r>
          </w:p>
        </w:tc>
        <w:tc>
          <w:tcPr>
            <w:tcW w:w="6779"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p>
            <w:pPr>
              <w:pStyle w:val="13"/>
              <w:spacing w:after="0"/>
              <w:rPr>
                <w:rFonts w:ascii="Times New Roman" w:hAnsi="Times New Roman"/>
              </w:rPr>
            </w:pPr>
            <w:r>
              <w:rPr>
                <w:rFonts w:ascii="Times New Roman" w:hAnsi="Times New Roman" w:eastAsiaTheme="minorEastAsia"/>
              </w:rPr>
              <w:t>Also, we prefer option 2 to decrease both latency and signalling cost upon the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3"/>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Theme="minorEastAsia"/>
              </w:rPr>
            </w:pPr>
            <w:r>
              <w:rPr>
                <w:rFonts w:hint="eastAsia" w:ascii="Times New Roman" w:hAnsi="Times New Roman" w:eastAsia="Yu Mincho"/>
                <w:lang w:eastAsia="ja-JP"/>
              </w:rPr>
              <w:t>W</w:t>
            </w:r>
            <w:r>
              <w:rPr>
                <w:rFonts w:ascii="Times New Roman" w:hAnsi="Times New Roman" w:eastAsia="Yu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Option 1 is baseline. Option 2 can be additionally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3"/>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3"/>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r>
              <w:rPr>
                <w:rFonts w:ascii="Times New Roman" w:hAnsi="Times New Roman" w:eastAsia="Yu Mincho"/>
                <w:lang w:eastAsia="ja-JP"/>
              </w:rPr>
              <w:t>If option2 is not supported, the motivation of additional PRACH resource is quite unclear.</w:t>
            </w:r>
          </w:p>
          <w:p>
            <w:pPr>
              <w:pStyle w:val="13"/>
              <w:spacing w:after="0"/>
              <w:rPr>
                <w:rFonts w:ascii="Times New Roman" w:hAnsi="Times New Roman" w:eastAsia="Yu Mincho"/>
                <w:lang w:eastAsia="ja-JP"/>
              </w:rPr>
            </w:pPr>
            <w:r>
              <w:rPr>
                <w:rFonts w:ascii="Times New Roman" w:hAnsi="Times New Roman" w:eastAsia="Yu Mincho"/>
                <w:lang w:eastAsia="ja-JP"/>
              </w:rPr>
              <w:t>The legacy PRACH resources that can be semi-statically configured/updated already can offer flexible PRACH pattern according to the demand of NES and RACH capacity.</w:t>
            </w:r>
          </w:p>
          <w:p>
            <w:pPr>
              <w:pStyle w:val="13"/>
              <w:spacing w:after="0"/>
              <w:rPr>
                <w:rFonts w:ascii="Times New Roman" w:hAnsi="Times New Roman" w:eastAsia="Yu Mincho"/>
                <w:lang w:eastAsia="ja-JP"/>
              </w:rPr>
            </w:pPr>
            <w:r>
              <w:rPr>
                <w:rFonts w:ascii="Times New Roman" w:hAnsi="Times New Roman" w:eastAsia="Yu Mincho"/>
                <w:lang w:eastAsia="ja-JP"/>
              </w:rPr>
              <w:t>On top of that, the only thing that additional PRACH resources can/shall offer is that they can dynamically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3"/>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3"/>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Eletronics</w:t>
            </w:r>
          </w:p>
        </w:tc>
        <w:tc>
          <w:tcPr>
            <w:tcW w:w="850"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3"/>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3"/>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r>
              <w:rPr>
                <w:rFonts w:ascii="Times New Roman" w:hAnsi="Times New Roman" w:eastAsia="Malgun Gothic"/>
                <w:lang w:eastAsia="ko-KR"/>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828" w:type="dxa"/>
          </w:tcPr>
          <w:p>
            <w:pPr>
              <w:pStyle w:val="13"/>
              <w:spacing w:after="0"/>
              <w:rPr>
                <w:rFonts w:ascii="Times" w:hAnsi="Times" w:eastAsia="Malgun Gothic" w:cs="Times"/>
                <w:lang w:eastAsia="ko-KR"/>
              </w:rPr>
            </w:pPr>
            <w:r>
              <w:rPr>
                <w:rFonts w:ascii="Times" w:hAnsi="Times" w:eastAsia="PMingLiU" w:cs="Times"/>
                <w:lang w:eastAsia="zh-TW"/>
              </w:rPr>
              <w:t>ITRI</w:t>
            </w:r>
          </w:p>
        </w:tc>
        <w:tc>
          <w:tcPr>
            <w:tcW w:w="850" w:type="dxa"/>
          </w:tcPr>
          <w:p>
            <w:pPr>
              <w:pStyle w:val="13"/>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3"/>
              <w:spacing w:after="0"/>
              <w:rPr>
                <w:rFonts w:ascii="Times New Roman" w:hAnsi="Times New Roman" w:eastAsia="Malgun Gothic"/>
                <w:lang w:eastAsia="ko-KR"/>
              </w:rPr>
            </w:pPr>
            <w:r>
              <w:rPr>
                <w:rFonts w:ascii="Times New Roman" w:hAnsi="Times New Roman" w:eastAsia="Malgun Gothic"/>
                <w:lang w:eastAsia="ko-KR"/>
              </w:rPr>
              <w:t>We prefer Option 2.</w:t>
            </w:r>
          </w:p>
        </w:tc>
      </w:tr>
    </w:tbl>
    <w:p>
      <w:pPr>
        <w:pStyle w:val="13"/>
        <w:spacing w:after="0"/>
        <w:jc w:val="left"/>
        <w:rPr>
          <w:rFonts w:ascii="Times New Roman" w:hAnsi="Times New Roman"/>
        </w:rPr>
      </w:pPr>
    </w:p>
    <w:p>
      <w:pPr>
        <w:pStyle w:val="3"/>
        <w:numPr>
          <w:ilvl w:val="0"/>
          <w:numId w:val="0"/>
        </w:numPr>
        <w:ind w:left="576" w:hanging="576"/>
      </w:pPr>
      <w:r>
        <w:t>Topic 3.2 Study of adaptation of PRACH in spatial domain</w:t>
      </w:r>
    </w:p>
    <w:p>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pPr>
        <w:rPr>
          <w:lang w:eastAsia="ko-KR"/>
        </w:rPr>
      </w:pPr>
      <w:r>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r>
        <w:t>For the study of adaptation of PRACH is spatial domain, following evaluation results were provided:</w:t>
      </w:r>
    </w:p>
    <w:p>
      <w:pPr>
        <w:pStyle w:val="35"/>
        <w:numPr>
          <w:ilvl w:val="0"/>
          <w:numId w:val="9"/>
        </w:numPr>
      </w:pPr>
      <w:r>
        <w:t>11 sources (Nokia, Ericsson, Samsung, QC, Interdigital, Intel, vivo, ZTE, CMCC, CATT, Huawei) provided NES gain results</w:t>
      </w:r>
    </w:p>
    <w:p>
      <w:pPr>
        <w:pStyle w:val="35"/>
        <w:numPr>
          <w:ilvl w:val="0"/>
          <w:numId w:val="9"/>
        </w:numPr>
      </w:pPr>
      <w:r>
        <w:t>For TDD, CAT1 BS model (Nokia, Ericsson, Samsung, QC, Interdigital, Intel, vivo, ZTE, CMCC, CATT?) and zero load</w:t>
      </w:r>
    </w:p>
    <w:p>
      <w:pPr>
        <w:pStyle w:val="35"/>
        <w:numPr>
          <w:ilvl w:val="1"/>
          <w:numId w:val="9"/>
        </w:numPr>
      </w:pPr>
      <w:r>
        <w:t>The NES gain of case C1 vs A1-1 is as follows.</w:t>
      </w:r>
    </w:p>
    <w:p>
      <w:pPr>
        <w:pStyle w:val="35"/>
        <w:numPr>
          <w:ilvl w:val="2"/>
          <w:numId w:val="9"/>
        </w:numPr>
      </w:pPr>
      <w:r>
        <w:rPr>
          <w:color w:val="FF0000"/>
        </w:rPr>
        <w:t>-4% to -45.6%</w:t>
      </w:r>
      <w:r>
        <w:t xml:space="preserve"> [CATT] </w:t>
      </w:r>
    </w:p>
    <w:p>
      <w:pPr>
        <w:pStyle w:val="35"/>
        <w:numPr>
          <w:ilvl w:val="2"/>
          <w:numId w:val="9"/>
        </w:numPr>
      </w:pPr>
      <w:r>
        <w:rPr>
          <w:color w:val="FF0000"/>
        </w:rPr>
        <w:t xml:space="preserve">-10% </w:t>
      </w:r>
      <w:r>
        <w:t>[Ericsson]</w:t>
      </w:r>
    </w:p>
    <w:p>
      <w:pPr>
        <w:pStyle w:val="35"/>
        <w:numPr>
          <w:ilvl w:val="1"/>
          <w:numId w:val="9"/>
        </w:numPr>
      </w:pPr>
      <w:r>
        <w:t>The NES gain of case C1 vs B1/A1-2 is as follows.</w:t>
      </w:r>
    </w:p>
    <w:p>
      <w:pPr>
        <w:pStyle w:val="35"/>
        <w:numPr>
          <w:ilvl w:val="2"/>
          <w:numId w:val="9"/>
        </w:numPr>
      </w:pPr>
      <w:r>
        <w:rPr>
          <w:color w:val="4472C4" w:themeColor="accent1"/>
          <w14:textFill>
            <w14:solidFill>
              <w14:schemeClr w14:val="accent1"/>
            </w14:solidFill>
          </w14:textFill>
        </w:rPr>
        <w:t xml:space="preserve">&lt;1.25% </w:t>
      </w:r>
      <w:r>
        <w:t xml:space="preserve">[Nokia], </w:t>
      </w:r>
    </w:p>
    <w:p>
      <w:pPr>
        <w:pStyle w:val="35"/>
        <w:numPr>
          <w:ilvl w:val="2"/>
          <w:numId w:val="9"/>
        </w:numPr>
      </w:pPr>
      <w:r>
        <w:rPr>
          <w:color w:val="4472C4" w:themeColor="accent1"/>
          <w14:textFill>
            <w14:solidFill>
              <w14:schemeClr w14:val="accent1"/>
            </w14:solidFill>
          </w14:textFill>
        </w:rPr>
        <w:t xml:space="preserve">0% to 5.87% </w:t>
      </w:r>
      <w:r>
        <w:t>[vivo]</w:t>
      </w:r>
    </w:p>
    <w:p>
      <w:pPr>
        <w:pStyle w:val="35"/>
        <w:numPr>
          <w:ilvl w:val="2"/>
          <w:numId w:val="9"/>
        </w:numPr>
      </w:pPr>
      <w:r>
        <w:rPr>
          <w:color w:val="4472C4" w:themeColor="accent1"/>
          <w14:textFill>
            <w14:solidFill>
              <w14:schemeClr w14:val="accent1"/>
            </w14:solidFill>
          </w14:textFill>
        </w:rPr>
        <w:t xml:space="preserve">1.0%~8.8% </w:t>
      </w:r>
      <w:r>
        <w:t>[CMCC]</w:t>
      </w:r>
    </w:p>
    <w:p>
      <w:pPr>
        <w:pStyle w:val="35"/>
        <w:numPr>
          <w:ilvl w:val="2"/>
          <w:numId w:val="9"/>
        </w:numPr>
      </w:pPr>
      <w:r>
        <w:rPr>
          <w:color w:val="4472C4" w:themeColor="accent1"/>
          <w14:textFill>
            <w14:solidFill>
              <w14:schemeClr w14:val="accent1"/>
            </w14:solidFill>
          </w14:textFill>
        </w:rPr>
        <w:t xml:space="preserve">5.8% ~ 9.95% </w:t>
      </w:r>
      <w:r>
        <w:t>[Interdigital]</w:t>
      </w:r>
    </w:p>
    <w:p>
      <w:pPr>
        <w:pStyle w:val="35"/>
        <w:numPr>
          <w:ilvl w:val="2"/>
          <w:numId w:val="9"/>
        </w:numPr>
      </w:pPr>
      <w:r>
        <w:rPr>
          <w:color w:val="4472C4" w:themeColor="accent1"/>
          <w14:textFill>
            <w14:solidFill>
              <w14:schemeClr w14:val="accent1"/>
            </w14:solidFill>
          </w14:textFill>
        </w:rPr>
        <w:t>1.8%</w:t>
      </w:r>
      <w:r>
        <w:t xml:space="preserve">~ </w:t>
      </w:r>
      <w:r>
        <w:rPr>
          <w:color w:val="00B050"/>
        </w:rPr>
        <w:t>24.5%</w:t>
      </w:r>
      <w:r>
        <w:t xml:space="preserve"> [Samsung]</w:t>
      </w:r>
    </w:p>
    <w:p>
      <w:pPr>
        <w:pStyle w:val="35"/>
        <w:numPr>
          <w:ilvl w:val="2"/>
          <w:numId w:val="9"/>
        </w:numPr>
      </w:pPr>
      <w:r>
        <w:rPr>
          <w:color w:val="00B050"/>
        </w:rPr>
        <w:t>15.03% to 20.23%</w:t>
      </w:r>
      <w:r>
        <w:t xml:space="preserve"> [ZTE]</w:t>
      </w:r>
    </w:p>
    <w:p>
      <w:pPr>
        <w:pStyle w:val="35"/>
        <w:numPr>
          <w:ilvl w:val="2"/>
          <w:numId w:val="9"/>
        </w:numPr>
      </w:pPr>
      <w:r>
        <w:t xml:space="preserve">&lt;= </w:t>
      </w:r>
      <w:r>
        <w:rPr>
          <w:color w:val="00B050"/>
        </w:rPr>
        <w:t>24%</w:t>
      </w:r>
      <w:r>
        <w:t xml:space="preserve"> [Ericsson] </w:t>
      </w:r>
    </w:p>
    <w:p>
      <w:pPr>
        <w:pStyle w:val="35"/>
        <w:numPr>
          <w:ilvl w:val="2"/>
          <w:numId w:val="9"/>
        </w:numPr>
      </w:pPr>
      <w:r>
        <w:rPr>
          <w:color w:val="00B050"/>
        </w:rPr>
        <w:t>16%~31%</w:t>
      </w:r>
      <w:r>
        <w:t xml:space="preserve"> [QC]</w:t>
      </w:r>
    </w:p>
    <w:p>
      <w:pPr>
        <w:pStyle w:val="35"/>
        <w:numPr>
          <w:ilvl w:val="1"/>
          <w:numId w:val="9"/>
        </w:numPr>
      </w:pPr>
      <w:r>
        <w:t>The NES gain of case C2 vs B2 is as follows.</w:t>
      </w:r>
    </w:p>
    <w:p>
      <w:pPr>
        <w:pStyle w:val="35"/>
        <w:numPr>
          <w:ilvl w:val="2"/>
          <w:numId w:val="9"/>
        </w:numPr>
      </w:pPr>
      <w:r>
        <w:rPr>
          <w:color w:val="4472C4" w:themeColor="accent1"/>
          <w14:textFill>
            <w14:solidFill>
              <w14:schemeClr w14:val="accent1"/>
            </w14:solidFill>
          </w14:textFill>
        </w:rPr>
        <w:t xml:space="preserve">&lt;0.2% </w:t>
      </w:r>
      <w:r>
        <w:t>[Ericsson]</w:t>
      </w:r>
    </w:p>
    <w:p>
      <w:pPr>
        <w:pStyle w:val="35"/>
        <w:numPr>
          <w:ilvl w:val="0"/>
          <w:numId w:val="9"/>
        </w:numPr>
      </w:pPr>
      <w:r>
        <w:t>For TDD, CAT2 BS model (Nokia, ZTE, CMCC, Huawei) and zero load</w:t>
      </w:r>
    </w:p>
    <w:p>
      <w:pPr>
        <w:pStyle w:val="35"/>
        <w:numPr>
          <w:ilvl w:val="1"/>
          <w:numId w:val="9"/>
        </w:numPr>
      </w:pPr>
      <w:r>
        <w:t>The NES gain of case C1 vs B1/A2-1 is as follows.</w:t>
      </w:r>
    </w:p>
    <w:p>
      <w:pPr>
        <w:pStyle w:val="35"/>
        <w:numPr>
          <w:ilvl w:val="2"/>
          <w:numId w:val="9"/>
        </w:numPr>
      </w:pPr>
      <w:r>
        <w:rPr>
          <w:color w:val="4472C4" w:themeColor="accent1"/>
          <w14:textFill>
            <w14:solidFill>
              <w14:schemeClr w14:val="accent1"/>
            </w14:solidFill>
          </w14:textFill>
        </w:rPr>
        <w:t xml:space="preserve">0%~0.2% </w:t>
      </w:r>
      <w:r>
        <w:t>[CMCC]</w:t>
      </w:r>
    </w:p>
    <w:p>
      <w:pPr>
        <w:pStyle w:val="35"/>
        <w:numPr>
          <w:ilvl w:val="2"/>
          <w:numId w:val="9"/>
        </w:numPr>
      </w:pPr>
      <w:r>
        <w:rPr>
          <w:color w:val="4472C4" w:themeColor="accent1"/>
          <w14:textFill>
            <w14:solidFill>
              <w14:schemeClr w14:val="accent1"/>
            </w14:solidFill>
          </w14:textFill>
        </w:rPr>
        <w:t xml:space="preserve">0.62% to 0.77% </w:t>
      </w:r>
      <w:r>
        <w:t>[ZTE]</w:t>
      </w:r>
    </w:p>
    <w:p>
      <w:pPr>
        <w:pStyle w:val="35"/>
        <w:numPr>
          <w:ilvl w:val="2"/>
          <w:numId w:val="9"/>
        </w:numPr>
      </w:pPr>
      <w:r>
        <w:rPr>
          <w:color w:val="4472C4" w:themeColor="accent1"/>
          <w14:textFill>
            <w14:solidFill>
              <w14:schemeClr w14:val="accent1"/>
            </w14:solidFill>
          </w14:textFill>
        </w:rPr>
        <w:t xml:space="preserve">&lt;1.25% </w:t>
      </w:r>
      <w:r>
        <w:t>[Nokia]</w:t>
      </w:r>
    </w:p>
    <w:p>
      <w:pPr>
        <w:pStyle w:val="35"/>
        <w:numPr>
          <w:ilvl w:val="2"/>
          <w:numId w:val="9"/>
        </w:numPr>
      </w:pPr>
      <w:r>
        <w:rPr>
          <w:color w:val="4472C4" w:themeColor="accent1"/>
          <w14:textFill>
            <w14:solidFill>
              <w14:schemeClr w14:val="accent1"/>
            </w14:solidFill>
          </w14:textFill>
        </w:rPr>
        <w:t xml:space="preserve">1.78%~3.45% </w:t>
      </w:r>
      <w:r>
        <w:t>[Huawei]</w:t>
      </w:r>
    </w:p>
    <w:p>
      <w:pPr>
        <w:pStyle w:val="35"/>
        <w:numPr>
          <w:ilvl w:val="1"/>
          <w:numId w:val="9"/>
        </w:numPr>
      </w:pPr>
      <w:r>
        <w:t>The NES gain of case C2 vs B2 is as follows.</w:t>
      </w:r>
    </w:p>
    <w:p>
      <w:pPr>
        <w:pStyle w:val="35"/>
        <w:numPr>
          <w:ilvl w:val="2"/>
          <w:numId w:val="9"/>
        </w:numPr>
      </w:pPr>
      <w:r>
        <w:rPr>
          <w:color w:val="4472C4" w:themeColor="accent1"/>
          <w14:textFill>
            <w14:solidFill>
              <w14:schemeClr w14:val="accent1"/>
            </w14:solidFill>
          </w14:textFill>
        </w:rPr>
        <w:t xml:space="preserve">0.16% to 0.23% </w:t>
      </w:r>
      <w:r>
        <w:t>[Huawei]</w:t>
      </w:r>
    </w:p>
    <w:p>
      <w:pPr>
        <w:pStyle w:val="35"/>
        <w:numPr>
          <w:ilvl w:val="0"/>
          <w:numId w:val="9"/>
        </w:numPr>
      </w:pPr>
      <w:r>
        <w:t>Some source also provided additional evaluations for the NES gain of spatial domain adaptation vs time domain adaptation.</w:t>
      </w:r>
    </w:p>
    <w:p>
      <w:pPr>
        <w:pStyle w:val="35"/>
        <w:numPr>
          <w:ilvl w:val="1"/>
          <w:numId w:val="9"/>
        </w:numPr>
      </w:pPr>
      <w:r>
        <w:t xml:space="preserve">For TDD, </w:t>
      </w:r>
    </w:p>
    <w:p>
      <w:pPr>
        <w:pStyle w:val="35"/>
        <w:numPr>
          <w:ilvl w:val="2"/>
          <w:numId w:val="9"/>
        </w:numPr>
      </w:pPr>
      <w:r>
        <w:t>For CAT1, PRACH format A, 20ms PRACH periodicity [Intel]</w:t>
      </w:r>
    </w:p>
    <w:p>
      <w:pPr>
        <w:pStyle w:val="35"/>
        <w:numPr>
          <w:ilvl w:val="3"/>
          <w:numId w:val="9"/>
        </w:numPr>
      </w:pPr>
      <w:r>
        <w:rPr>
          <w:color w:val="70AD47" w:themeColor="accent6"/>
          <w14:textFill>
            <w14:solidFill>
              <w14:schemeClr w14:val="accent6"/>
            </w14:solidFill>
          </w14:textFill>
        </w:rPr>
        <w:t>13.7%</w:t>
      </w:r>
      <w:r>
        <w:t>/</w:t>
      </w:r>
      <w:r>
        <w:rPr>
          <w:color w:val="4472C4" w:themeColor="accent1"/>
          <w14:textFill>
            <w14:solidFill>
              <w14:schemeClr w14:val="accent1"/>
            </w14:solidFill>
          </w14:textFill>
        </w:rPr>
        <w:t>8.7%/4.9%/2.6%</w:t>
      </w:r>
      <w:r>
        <w:t xml:space="preserve"> for zero/low/light/medium cell load </w:t>
      </w:r>
    </w:p>
    <w:p>
      <w:pPr>
        <w:pStyle w:val="35"/>
        <w:numPr>
          <w:ilvl w:val="2"/>
          <w:numId w:val="9"/>
        </w:numPr>
      </w:pPr>
      <w:r>
        <w:t>For CAT1, C1 vs B1/A1-2 for different loads [ZTE]</w:t>
      </w:r>
    </w:p>
    <w:p>
      <w:pPr>
        <w:pStyle w:val="35"/>
        <w:numPr>
          <w:ilvl w:val="3"/>
          <w:numId w:val="9"/>
        </w:numPr>
      </w:pPr>
      <w:r>
        <w:rPr>
          <w:color w:val="70AD47" w:themeColor="accent6"/>
          <w14:textFill>
            <w14:solidFill>
              <w14:schemeClr w14:val="accent6"/>
            </w14:solidFill>
          </w14:textFill>
        </w:rPr>
        <w:t>16%</w:t>
      </w:r>
      <w:r>
        <w:t>/</w:t>
      </w:r>
      <w:r>
        <w:rPr>
          <w:color w:val="4472C4" w:themeColor="accent1"/>
          <w14:textFill>
            <w14:solidFill>
              <w14:schemeClr w14:val="accent1"/>
            </w14:solidFill>
          </w14:textFill>
        </w:rPr>
        <w:t>4.78%</w:t>
      </w:r>
      <w:r>
        <w:t xml:space="preserve"> for light/medium cell load </w:t>
      </w:r>
    </w:p>
    <w:p>
      <w:pPr>
        <w:pStyle w:val="35"/>
        <w:numPr>
          <w:ilvl w:val="2"/>
          <w:numId w:val="9"/>
        </w:numPr>
      </w:pPr>
      <w:r>
        <w:t>For CAT2, C1 vs B1/A1-2 for different load [ZTE]</w:t>
      </w:r>
    </w:p>
    <w:p>
      <w:pPr>
        <w:pStyle w:val="35"/>
        <w:numPr>
          <w:ilvl w:val="3"/>
          <w:numId w:val="9"/>
        </w:numPr>
      </w:pPr>
      <w:r>
        <w:rPr>
          <w:color w:val="4472C4" w:themeColor="accent1"/>
          <w14:textFill>
            <w14:solidFill>
              <w14:schemeClr w14:val="accent1"/>
            </w14:solidFill>
          </w14:textFill>
        </w:rPr>
        <w:t>0.65%/0.29%</w:t>
      </w:r>
      <w:r>
        <w:t xml:space="preserve"> for light/medium cell load </w:t>
      </w:r>
    </w:p>
    <w:p>
      <w:pPr>
        <w:pStyle w:val="35"/>
        <w:numPr>
          <w:ilvl w:val="1"/>
          <w:numId w:val="9"/>
        </w:numPr>
      </w:pPr>
      <w:r>
        <w:t xml:space="preserve">For FDD, </w:t>
      </w:r>
    </w:p>
    <w:p>
      <w:pPr>
        <w:pStyle w:val="35"/>
        <w:numPr>
          <w:ilvl w:val="2"/>
          <w:numId w:val="9"/>
        </w:numPr>
      </w:pPr>
      <w:r>
        <w:t xml:space="preserve">For CAT1, </w:t>
      </w:r>
      <w:r>
        <w:rPr>
          <w:color w:val="4472C4" w:themeColor="accent1"/>
          <w14:textFill>
            <w14:solidFill>
              <w14:schemeClr w14:val="accent1"/>
            </w14:solidFill>
          </w14:textFill>
        </w:rPr>
        <w:t>1.4%~7%</w:t>
      </w:r>
      <w:r>
        <w:rPr>
          <w:color w:val="FF0000"/>
        </w:rPr>
        <w:t xml:space="preserve"> </w:t>
      </w:r>
      <w:r>
        <w:t>[CMCC]</w:t>
      </w:r>
    </w:p>
    <w:p>
      <w:pPr>
        <w:pStyle w:val="35"/>
        <w:numPr>
          <w:ilvl w:val="2"/>
          <w:numId w:val="9"/>
        </w:numPr>
      </w:pPr>
      <w:r>
        <w:t xml:space="preserve">For CAT2, </w:t>
      </w:r>
      <w:r>
        <w:rPr>
          <w:color w:val="4472C4" w:themeColor="accent1"/>
          <w14:textFill>
            <w14:solidFill>
              <w14:schemeClr w14:val="accent1"/>
            </w14:solidFill>
          </w14:textFill>
        </w:rPr>
        <w:t>0%~0.3%</w:t>
      </w:r>
      <w:r>
        <w:t xml:space="preserve"> [CMCC]</w:t>
      </w:r>
    </w:p>
    <w:p>
      <w:pPr>
        <w:pStyle w:val="35"/>
        <w:numPr>
          <w:ilvl w:val="1"/>
          <w:numId w:val="9"/>
        </w:numPr>
      </w:pPr>
      <w:r>
        <w:t xml:space="preserve">For FR2, </w:t>
      </w:r>
    </w:p>
    <w:p>
      <w:pPr>
        <w:pStyle w:val="35"/>
        <w:numPr>
          <w:ilvl w:val="2"/>
          <w:numId w:val="9"/>
        </w:numPr>
      </w:pPr>
      <w:r>
        <w:t xml:space="preserve">For CAT1, </w:t>
      </w:r>
      <w:r>
        <w:rPr>
          <w:color w:val="4472C4" w:themeColor="accent1"/>
          <w14:textFill>
            <w14:solidFill>
              <w14:schemeClr w14:val="accent1"/>
            </w14:solidFill>
          </w14:textFill>
        </w:rPr>
        <w:t>4%~7%</w:t>
      </w:r>
      <w:r>
        <w:t xml:space="preserve"> [QC]</w:t>
      </w:r>
    </w:p>
    <w:p>
      <w:pPr>
        <w:pStyle w:val="3"/>
        <w:numPr>
          <w:ilvl w:val="0"/>
          <w:numId w:val="0"/>
        </w:numPr>
        <w:ind w:left="576" w:hanging="576"/>
        <w:rPr>
          <w:sz w:val="20"/>
          <w:szCs w:val="20"/>
        </w:rPr>
      </w:pPr>
      <w:r>
        <w:rPr>
          <w:sz w:val="20"/>
          <w:szCs w:val="20"/>
        </w:rPr>
        <w:t>Possible observation 3.2.1</w:t>
      </w:r>
    </w:p>
    <w:p>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pPr>
        <w:pStyle w:val="35"/>
        <w:numPr>
          <w:ilvl w:val="0"/>
          <w:numId w:val="9"/>
        </w:numPr>
        <w:rPr>
          <w:rFonts w:ascii="Times New Roman" w:hAnsi="Times New Roman"/>
        </w:rPr>
      </w:pPr>
      <w:r>
        <w:rPr>
          <w:rFonts w:ascii="Times New Roman" w:hAnsi="Times New Roman"/>
        </w:rPr>
        <w:t>For TDD, CAT1 BS power model, for case C1 vs A1-1, zero load</w:t>
      </w:r>
    </w:p>
    <w:p>
      <w:pPr>
        <w:pStyle w:val="35"/>
        <w:numPr>
          <w:ilvl w:val="1"/>
          <w:numId w:val="9"/>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pPr>
        <w:pStyle w:val="35"/>
        <w:numPr>
          <w:ilvl w:val="0"/>
          <w:numId w:val="9"/>
        </w:numPr>
        <w:rPr>
          <w:rFonts w:ascii="Times New Roman" w:hAnsi="Times New Roman"/>
        </w:rPr>
      </w:pPr>
      <w:r>
        <w:rPr>
          <w:rFonts w:ascii="Times New Roman" w:hAnsi="Times New Roman"/>
        </w:rPr>
        <w:t>For TDD, CAT1 BS power model, for case C1 vs B1/A1-2, zero load</w:t>
      </w:r>
    </w:p>
    <w:p>
      <w:pPr>
        <w:pStyle w:val="35"/>
        <w:numPr>
          <w:ilvl w:val="1"/>
          <w:numId w:val="9"/>
        </w:numPr>
        <w:rPr>
          <w:rFonts w:ascii="Times New Roman" w:hAnsi="Times New Roman"/>
        </w:rPr>
      </w:pPr>
      <w:r>
        <w:rPr>
          <w:rFonts w:ascii="Times New Roman" w:hAnsi="Times New Roman"/>
        </w:rPr>
        <w:t>Five sources showed NES gains 0% ~ 10% [Nokia, vivo, CMCC, Interdigital, Samsung]</w:t>
      </w:r>
    </w:p>
    <w:p>
      <w:pPr>
        <w:pStyle w:val="35"/>
        <w:numPr>
          <w:ilvl w:val="1"/>
          <w:numId w:val="9"/>
        </w:numPr>
        <w:rPr>
          <w:rFonts w:ascii="Times New Roman" w:hAnsi="Times New Roman"/>
        </w:rPr>
      </w:pPr>
      <w:r>
        <w:rPr>
          <w:rFonts w:ascii="Times New Roman" w:hAnsi="Times New Roman"/>
        </w:rPr>
        <w:t>Four sources showed NES gains 15% ~ 31% [Samsung, ZTE, Ericsson, QC]</w:t>
      </w:r>
    </w:p>
    <w:p>
      <w:pPr>
        <w:pStyle w:val="35"/>
        <w:numPr>
          <w:ilvl w:val="0"/>
          <w:numId w:val="9"/>
        </w:numPr>
        <w:rPr>
          <w:rFonts w:ascii="Times New Roman" w:hAnsi="Times New Roman"/>
        </w:rPr>
      </w:pPr>
      <w:r>
        <w:rPr>
          <w:rFonts w:ascii="Times New Roman" w:hAnsi="Times New Roman"/>
        </w:rPr>
        <w:t>For TDD, CAT2 BS power model, for case C1 vs B1/A1-2, zero load</w:t>
      </w:r>
    </w:p>
    <w:p>
      <w:pPr>
        <w:pStyle w:val="35"/>
        <w:numPr>
          <w:ilvl w:val="1"/>
          <w:numId w:val="9"/>
        </w:numPr>
        <w:rPr>
          <w:rFonts w:ascii="Times New Roman" w:hAnsi="Times New Roman"/>
        </w:rPr>
      </w:pPr>
      <w:r>
        <w:rPr>
          <w:rFonts w:ascii="Times New Roman" w:hAnsi="Times New Roman"/>
        </w:rPr>
        <w:t>Four sources showed NES gains between 0% ~ 3.5% [CMCC, ZTE, Nokia, Huawei]</w:t>
      </w:r>
    </w:p>
    <w:p>
      <w:pPr>
        <w:pStyle w:val="35"/>
        <w:numPr>
          <w:ilvl w:val="0"/>
          <w:numId w:val="9"/>
        </w:numPr>
        <w:rPr>
          <w:rFonts w:ascii="Times New Roman" w:hAnsi="Times New Roman"/>
        </w:rPr>
      </w:pPr>
      <w:r>
        <w:rPr>
          <w:rFonts w:ascii="Times New Roman" w:hAnsi="Times New Roman"/>
        </w:rPr>
        <w:t>For TDD, CAT1 and 2 BS power model, for case C2 vs B2, , zero load</w:t>
      </w:r>
    </w:p>
    <w:p>
      <w:pPr>
        <w:pStyle w:val="35"/>
        <w:numPr>
          <w:ilvl w:val="1"/>
          <w:numId w:val="9"/>
        </w:numPr>
        <w:rPr>
          <w:rFonts w:ascii="Times New Roman" w:hAnsi="Times New Roman"/>
        </w:rPr>
      </w:pPr>
      <w:r>
        <w:rPr>
          <w:rFonts w:ascii="Times New Roman" w:hAnsi="Times New Roman"/>
        </w:rPr>
        <w:t>Two sources showed NES gains are less than 0.2% [Huawei, Ericsson]</w:t>
      </w:r>
    </w:p>
    <w:p>
      <w:pPr>
        <w:pStyle w:val="35"/>
        <w:numPr>
          <w:ilvl w:val="0"/>
          <w:numId w:val="9"/>
        </w:numPr>
        <w:rPr>
          <w:rFonts w:ascii="Times New Roman" w:hAnsi="Times New Roman"/>
        </w:rPr>
      </w:pPr>
      <w:r>
        <w:rPr>
          <w:rFonts w:ascii="Times New Roman" w:hAnsi="Times New Roman"/>
        </w:rPr>
        <w:t xml:space="preserve">Evaluation results for additional scenarios/assumptions </w:t>
      </w:r>
    </w:p>
    <w:p>
      <w:pPr>
        <w:pStyle w:val="35"/>
        <w:numPr>
          <w:ilvl w:val="1"/>
          <w:numId w:val="9"/>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pPr>
        <w:pStyle w:val="35"/>
        <w:numPr>
          <w:ilvl w:val="2"/>
          <w:numId w:val="9"/>
        </w:numPr>
        <w:rPr>
          <w:rFonts w:ascii="Times New Roman" w:hAnsi="Times New Roman"/>
        </w:rPr>
      </w:pPr>
      <w:r>
        <w:rPr>
          <w:rFonts w:ascii="Times New Roman" w:hAnsi="Times New Roman"/>
        </w:rPr>
        <w:t>13.7%/8.7%/4.9%/2.6% for zero/low/light/medium cell load [Intel]</w:t>
      </w:r>
    </w:p>
    <w:p>
      <w:pPr>
        <w:pStyle w:val="35"/>
        <w:numPr>
          <w:ilvl w:val="1"/>
          <w:numId w:val="9"/>
        </w:numPr>
        <w:rPr>
          <w:rFonts w:ascii="Times New Roman" w:hAnsi="Times New Roman"/>
        </w:rPr>
      </w:pPr>
      <w:r>
        <w:rPr>
          <w:rFonts w:ascii="Times New Roman" w:hAnsi="Times New Roman"/>
        </w:rPr>
        <w:t>One source showed following NES gain for TDD, C1 vs B1/A1-2 for different loads [ZTE]</w:t>
      </w:r>
    </w:p>
    <w:p>
      <w:pPr>
        <w:pStyle w:val="35"/>
        <w:numPr>
          <w:ilvl w:val="2"/>
          <w:numId w:val="9"/>
        </w:numPr>
        <w:rPr>
          <w:rFonts w:ascii="Times New Roman" w:hAnsi="Times New Roman"/>
        </w:rPr>
      </w:pPr>
      <w:r>
        <w:rPr>
          <w:rFonts w:ascii="Times New Roman" w:hAnsi="Times New Roman"/>
        </w:rPr>
        <w:t>16%/4.78% for light/medium cell load for CAT1 BS power model</w:t>
      </w:r>
    </w:p>
    <w:p>
      <w:pPr>
        <w:pStyle w:val="35"/>
        <w:numPr>
          <w:ilvl w:val="2"/>
          <w:numId w:val="9"/>
        </w:numPr>
        <w:rPr>
          <w:rFonts w:ascii="Times New Roman" w:hAnsi="Times New Roman"/>
        </w:rPr>
      </w:pPr>
      <w:r>
        <w:rPr>
          <w:rFonts w:ascii="Times New Roman" w:hAnsi="Times New Roman"/>
        </w:rPr>
        <w:t>0.65%/0.29% for light/medium cell load for CAT2 BS power model</w:t>
      </w:r>
    </w:p>
    <w:p>
      <w:pPr>
        <w:pStyle w:val="35"/>
        <w:numPr>
          <w:ilvl w:val="1"/>
          <w:numId w:val="9"/>
        </w:numPr>
        <w:rPr>
          <w:rFonts w:ascii="Times New Roman" w:hAnsi="Times New Roman"/>
        </w:rPr>
      </w:pPr>
      <w:r>
        <w:rPr>
          <w:rFonts w:ascii="Times New Roman" w:hAnsi="Times New Roman"/>
        </w:rPr>
        <w:t>One source showed NES gain for TDD, C1 vs B1/A1-2 for FDD, zero load [CMCC]</w:t>
      </w:r>
    </w:p>
    <w:p>
      <w:pPr>
        <w:pStyle w:val="35"/>
        <w:numPr>
          <w:ilvl w:val="2"/>
          <w:numId w:val="9"/>
        </w:numPr>
        <w:rPr>
          <w:rFonts w:ascii="Times New Roman" w:hAnsi="Times New Roman"/>
        </w:rPr>
      </w:pPr>
      <w:r>
        <w:rPr>
          <w:rFonts w:ascii="Times New Roman" w:hAnsi="Times New Roman"/>
        </w:rPr>
        <w:t>1.4%~7% for CAT1 BS power model</w:t>
      </w:r>
    </w:p>
    <w:p>
      <w:pPr>
        <w:pStyle w:val="35"/>
        <w:numPr>
          <w:ilvl w:val="2"/>
          <w:numId w:val="9"/>
        </w:numPr>
        <w:rPr>
          <w:rFonts w:ascii="Times New Roman" w:hAnsi="Times New Roman"/>
        </w:rPr>
      </w:pPr>
      <w:r>
        <w:rPr>
          <w:rFonts w:ascii="Times New Roman" w:hAnsi="Times New Roman"/>
        </w:rPr>
        <w:t>0%~0.3% for CAT2 BS power model</w:t>
      </w:r>
    </w:p>
    <w:p>
      <w:pPr>
        <w:pStyle w:val="35"/>
        <w:numPr>
          <w:ilvl w:val="1"/>
          <w:numId w:val="9"/>
        </w:numPr>
        <w:rPr>
          <w:rFonts w:ascii="Times New Roman" w:hAnsi="Times New Roman"/>
        </w:rPr>
      </w:pPr>
      <w:r>
        <w:rPr>
          <w:rFonts w:ascii="Times New Roman" w:hAnsi="Times New Roman"/>
        </w:rPr>
        <w:t>One source showed NES gain for TDD, CAT1 BS power model, C1 vs B1/A1-2 for FR2, zero load [QC]</w:t>
      </w:r>
    </w:p>
    <w:p>
      <w:pPr>
        <w:pStyle w:val="35"/>
        <w:numPr>
          <w:ilvl w:val="2"/>
          <w:numId w:val="9"/>
        </w:numPr>
        <w:rPr>
          <w:rFonts w:ascii="Times New Roman" w:hAnsi="Times New Roman"/>
        </w:rPr>
      </w:pPr>
      <w:r>
        <w:rPr>
          <w:rFonts w:ascii="Times New Roman" w:hAnsi="Times New Roman"/>
        </w:rPr>
        <w:t xml:space="preserve">4%~7% </w:t>
      </w:r>
    </w:p>
    <w:p>
      <w:pPr>
        <w:pStyle w:val="35"/>
        <w:numPr>
          <w:ilvl w:val="0"/>
          <w:numId w:val="9"/>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p>
      <w:r>
        <w:t xml:space="preserve">Views on whether the feature should be supported. </w:t>
      </w:r>
    </w:p>
    <w:p>
      <w:r>
        <w:t>Yes: Ericsson, QC, Samsung, LG, Intel, DCM, Mavenir?, KT?, Cewit</w:t>
      </w:r>
    </w:p>
    <w:p>
      <w:r>
        <w:t>No/deprioritise: Huawei, vivo, Honor, Oppo</w:t>
      </w:r>
    </w:p>
    <w:p>
      <w:r>
        <w:t>Clarify: Xiaomi</w:t>
      </w:r>
    </w:p>
    <w:p/>
    <w:p>
      <w:pPr>
        <w:pStyle w:val="2"/>
      </w:pPr>
      <w:r>
        <w:rPr>
          <w:rFonts w:ascii="Times New Roman" w:hAnsi="Times New Roman" w:eastAsia="Batang"/>
          <w:szCs w:val="24"/>
          <w:lang w:eastAsia="zh-CN"/>
        </w:rPr>
        <w:tab/>
      </w:r>
      <w:r>
        <w:t>Adaptation of Paging</w:t>
      </w:r>
    </w:p>
    <w:p>
      <w:pPr>
        <w:pStyle w:val="13"/>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3"/>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RAN1#117: wait for RAN2 progress.</w:t>
      </w:r>
    </w:p>
    <w:p>
      <w:pPr>
        <w:pStyle w:val="2"/>
      </w:pPr>
      <w:r>
        <w:t>Other</w:t>
      </w:r>
    </w:p>
    <w:p>
      <w:r>
        <w:t xml:space="preserve">Some contributions also discussed joint adaptation of more than one common signal/channel. </w:t>
      </w:r>
    </w:p>
    <w:p>
      <w:r>
        <w:t>o</w:t>
      </w:r>
      <w:r>
        <w:tab/>
      </w:r>
      <w:r>
        <w:t>Xiaomi, Fujitsu, CMCC, Ericsson, Samsung, CATT, Fraunhofer, Panasonic, ZTE.</w:t>
      </w:r>
    </w:p>
    <w:p>
      <w:pPr>
        <w:pStyle w:val="2"/>
      </w:pPr>
      <w:r>
        <w:t>Appendix A (Contributions)</w:t>
      </w:r>
    </w:p>
    <w:tbl>
      <w:tblPr>
        <w:tblStyle w:val="21"/>
        <w:tblW w:w="9392" w:type="dxa"/>
        <w:tblInd w:w="0" w:type="dxa"/>
        <w:tblLayout w:type="fixed"/>
        <w:tblCellMar>
          <w:top w:w="0" w:type="dxa"/>
          <w:left w:w="108" w:type="dxa"/>
          <w:bottom w:w="0" w:type="dxa"/>
          <w:right w:w="108" w:type="dxa"/>
        </w:tblCellMar>
      </w:tblPr>
      <w:tblGrid>
        <w:gridCol w:w="636"/>
        <w:gridCol w:w="1309"/>
        <w:gridCol w:w="4900"/>
        <w:gridCol w:w="2547"/>
      </w:tblGrid>
      <w:tr>
        <w:tblPrEx>
          <w:tblLayout w:type="fixed"/>
          <w:tblCellMar>
            <w:top w:w="0" w:type="dxa"/>
            <w:left w:w="108" w:type="dxa"/>
            <w:bottom w:w="0" w:type="dxa"/>
            <w:right w:w="108" w:type="dxa"/>
          </w:tblCellMar>
        </w:tblPrEx>
        <w:trPr>
          <w:trHeight w:val="287"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"https://www.3gpp.org/ftp/TSG_RAN/WG1_RL1/TSGR1_117/Docs/R1-2403871.zip" </w:instrText>
            </w:r>
            <w:r>
              <w:fldChar w:fldCharType="separate"/>
            </w:r>
            <w:r>
              <w:rPr>
                <w:rFonts w:cs="Arial"/>
                <w:b/>
                <w:bCs/>
                <w:color w:val="0000FF"/>
                <w:sz w:val="16"/>
                <w:szCs w:val="16"/>
                <w:u w:val="single"/>
                <w:lang w:val="en-US" w:eastAsia="en-US"/>
              </w:rPr>
              <w:t>R1-2403871</w:t>
            </w:r>
            <w:r>
              <w:rPr>
                <w:rFonts w:cs="Arial"/>
                <w:b/>
                <w:bCs/>
                <w:color w:val="0000FF"/>
                <w:sz w:val="16"/>
                <w:szCs w:val="16"/>
                <w:u w:val="single"/>
                <w:lang w:val="en-US" w:eastAsia="en-US"/>
              </w:rPr>
              <w:fldChar w:fldCharType="end"/>
            </w:r>
          </w:p>
        </w:tc>
        <w:tc>
          <w:tcPr>
            <w:tcW w:w="4900"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"https://www.3gpp.org/ftp/TSG_RAN/WG1_RL1/TSGR1_117/Docs/R1-2403895.zip" </w:instrText>
            </w:r>
            <w:r>
              <w:fldChar w:fldCharType="separate"/>
            </w:r>
            <w:r>
              <w:rPr>
                <w:rFonts w:cs="Arial"/>
                <w:b/>
                <w:bCs/>
                <w:color w:val="0000FF"/>
                <w:sz w:val="16"/>
                <w:szCs w:val="16"/>
                <w:u w:val="single"/>
                <w:lang w:val="en-US" w:eastAsia="en-US"/>
              </w:rPr>
              <w:t>R1-2403895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"https://www.3gpp.org/ftp/TSG_RAN/WG1_RL1/TSGR1_117/Docs/R1-2403943.zip" </w:instrText>
            </w:r>
            <w:r>
              <w:fldChar w:fldCharType="separate"/>
            </w:r>
            <w:r>
              <w:rPr>
                <w:rFonts w:cs="Arial"/>
                <w:b/>
                <w:bCs/>
                <w:color w:val="0000FF"/>
                <w:sz w:val="16"/>
                <w:szCs w:val="16"/>
                <w:u w:val="single"/>
                <w:lang w:val="en-US" w:eastAsia="en-US"/>
              </w:rPr>
              <w:t>R1-2403943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tblPrEx>
          <w:tblLayout w:type="fixed"/>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"https://www.3gpp.org/ftp/TSG_RAN/WG1_RL1/TSGR1_117/Docs/R1-2403980.zip" </w:instrText>
            </w:r>
            <w:r>
              <w:fldChar w:fldCharType="separate"/>
            </w:r>
            <w:r>
              <w:rPr>
                <w:rFonts w:cs="Arial"/>
                <w:b/>
                <w:bCs/>
                <w:color w:val="0000FF"/>
                <w:sz w:val="16"/>
                <w:szCs w:val="16"/>
                <w:u w:val="single"/>
                <w:lang w:val="en-US" w:eastAsia="en-US"/>
              </w:rPr>
              <w:t>R1-2403980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"https://www.3gpp.org/ftp/TSG_RAN/WG1_RL1/TSGR1_117/Docs/R1-2404034.zip" </w:instrText>
            </w:r>
            <w:r>
              <w:fldChar w:fldCharType="separate"/>
            </w:r>
            <w:r>
              <w:rPr>
                <w:rFonts w:cs="Arial"/>
                <w:b/>
                <w:bCs/>
                <w:color w:val="0000FF"/>
                <w:sz w:val="16"/>
                <w:szCs w:val="16"/>
                <w:u w:val="single"/>
                <w:lang w:val="en-US" w:eastAsia="en-US"/>
              </w:rPr>
              <w:t>R1-2404034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"https://www.3gpp.org/ftp/TSG_RAN/WG1_RL1/TSGR1_117/Docs/R1-2404123.zip" </w:instrText>
            </w:r>
            <w:r>
              <w:fldChar w:fldCharType="separate"/>
            </w:r>
            <w:r>
              <w:rPr>
                <w:rFonts w:cs="Arial"/>
                <w:b/>
                <w:bCs/>
                <w:color w:val="0000FF"/>
                <w:sz w:val="16"/>
                <w:szCs w:val="16"/>
                <w:u w:val="single"/>
                <w:lang w:val="en-US" w:eastAsia="en-US"/>
              </w:rPr>
              <w:t>R1-2404123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"https://www.3gpp.org/ftp/TSG_RAN/WG1_RL1/TSGR1_117/Docs/R1-2404185.zip" </w:instrText>
            </w:r>
            <w:r>
              <w:fldChar w:fldCharType="separate"/>
            </w:r>
            <w:r>
              <w:rPr>
                <w:rFonts w:cs="Arial"/>
                <w:b/>
                <w:bCs/>
                <w:color w:val="0000FF"/>
                <w:sz w:val="16"/>
                <w:szCs w:val="16"/>
                <w:u w:val="single"/>
                <w:lang w:val="en-US" w:eastAsia="en-US"/>
              </w:rPr>
              <w:t>R1-2404185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"https://www.3gpp.org/ftp/TSG_RAN/WG1_RL1/TSGR1_117/Docs/R1-2404225.zip" </w:instrText>
            </w:r>
            <w:r>
              <w:fldChar w:fldCharType="separate"/>
            </w:r>
            <w:r>
              <w:rPr>
                <w:rFonts w:cs="Arial"/>
                <w:b/>
                <w:bCs/>
                <w:color w:val="0000FF"/>
                <w:sz w:val="16"/>
                <w:szCs w:val="16"/>
                <w:u w:val="single"/>
                <w:lang w:val="en-US" w:eastAsia="en-US"/>
              </w:rPr>
              <w:t>R1-2404225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"https://www.3gpp.org/ftp/TSG_RAN/WG1_RL1/TSGR1_117/Docs/R1-2404295.zip" </w:instrText>
            </w:r>
            <w:r>
              <w:fldChar w:fldCharType="separate"/>
            </w:r>
            <w:r>
              <w:rPr>
                <w:rFonts w:cs="Arial"/>
                <w:b/>
                <w:bCs/>
                <w:color w:val="0000FF"/>
                <w:sz w:val="16"/>
                <w:szCs w:val="16"/>
                <w:u w:val="single"/>
                <w:lang w:val="en-US" w:eastAsia="en-US"/>
              </w:rPr>
              <w:t>R1-2404295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"https://www.3gpp.org/ftp/TSG_RAN/WG1_RL1/TSGR1_117/Docs/R1-2404334.zip" </w:instrText>
            </w:r>
            <w:r>
              <w:fldChar w:fldCharType="separate"/>
            </w:r>
            <w:r>
              <w:rPr>
                <w:rFonts w:cs="Arial"/>
                <w:b/>
                <w:bCs/>
                <w:color w:val="0000FF"/>
                <w:sz w:val="16"/>
                <w:szCs w:val="16"/>
                <w:u w:val="single"/>
                <w:lang w:val="en-US" w:eastAsia="en-US"/>
              </w:rPr>
              <w:t>R1-2404334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"https://www.3gpp.org/ftp/TSG_RAN/WG1_RL1/TSGR1_117/Docs/R1-2404409.zip" </w:instrText>
            </w:r>
            <w:r>
              <w:fldChar w:fldCharType="separate"/>
            </w:r>
            <w:r>
              <w:rPr>
                <w:rFonts w:cs="Arial"/>
                <w:b/>
                <w:bCs/>
                <w:color w:val="0000FF"/>
                <w:sz w:val="16"/>
                <w:szCs w:val="16"/>
                <w:u w:val="single"/>
                <w:lang w:val="en-US" w:eastAsia="en-US"/>
              </w:rPr>
              <w:t>R1-2404409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"https://www.3gpp.org/ftp/TSG_RAN/WG1_RL1/TSGR1_117/Docs/R1-2404464.zip" </w:instrText>
            </w:r>
            <w:r>
              <w:fldChar w:fldCharType="separate"/>
            </w:r>
            <w:r>
              <w:rPr>
                <w:rFonts w:cs="Arial"/>
                <w:b/>
                <w:bCs/>
                <w:color w:val="0000FF"/>
                <w:sz w:val="16"/>
                <w:szCs w:val="16"/>
                <w:u w:val="single"/>
                <w:lang w:val="en-US" w:eastAsia="en-US"/>
              </w:rPr>
              <w:t>R1-2404464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"https://www.3gpp.org/ftp/TSG_RAN/WG1_RL1/TSGR1_117/Docs/R1-2404489.zip" </w:instrText>
            </w:r>
            <w:r>
              <w:fldChar w:fldCharType="separate"/>
            </w:r>
            <w:r>
              <w:rPr>
                <w:rFonts w:cs="Arial"/>
                <w:b/>
                <w:bCs/>
                <w:color w:val="0000FF"/>
                <w:sz w:val="16"/>
                <w:szCs w:val="16"/>
                <w:u w:val="single"/>
                <w:lang w:val="en-US" w:eastAsia="en-US"/>
              </w:rPr>
              <w:t>R1-2404489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"https://www.3gpp.org/ftp/TSG_RAN/WG1_RL1/TSGR1_117/Docs/R1-2404508.zip" </w:instrText>
            </w:r>
            <w:r>
              <w:fldChar w:fldCharType="separate"/>
            </w:r>
            <w:r>
              <w:rPr>
                <w:rFonts w:cs="Arial"/>
                <w:b/>
                <w:bCs/>
                <w:color w:val="0000FF"/>
                <w:sz w:val="16"/>
                <w:szCs w:val="16"/>
                <w:u w:val="single"/>
                <w:lang w:val="en-US" w:eastAsia="en-US"/>
              </w:rPr>
              <w:t>R1-2404508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"https://www.3gpp.org/ftp/TSG_RAN/WG1_RL1/TSGR1_117/Docs/R1-2404562.zip" </w:instrText>
            </w:r>
            <w:r>
              <w:fldChar w:fldCharType="separate"/>
            </w:r>
            <w:r>
              <w:rPr>
                <w:rFonts w:cs="Arial"/>
                <w:b/>
                <w:bCs/>
                <w:color w:val="0000FF"/>
                <w:sz w:val="16"/>
                <w:szCs w:val="16"/>
                <w:u w:val="single"/>
                <w:lang w:val="en-US" w:eastAsia="en-US"/>
              </w:rPr>
              <w:t>R1-2404562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"https://www.3gpp.org/ftp/TSG_RAN/WG1_RL1/TSGR1_117/Docs/R1-2404578.zip" </w:instrText>
            </w:r>
            <w:r>
              <w:fldChar w:fldCharType="separate"/>
            </w:r>
            <w:r>
              <w:rPr>
                <w:rFonts w:cs="Arial"/>
                <w:b/>
                <w:bCs/>
                <w:color w:val="0000FF"/>
                <w:sz w:val="16"/>
                <w:szCs w:val="16"/>
                <w:u w:val="single"/>
                <w:lang w:val="en-US" w:eastAsia="en-US"/>
              </w:rPr>
              <w:t>R1-2404578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"https://www.3gpp.org/ftp/TSG_RAN/WG1_RL1/TSGR1_117/Docs/R1-2404626.zip" </w:instrText>
            </w:r>
            <w:r>
              <w:fldChar w:fldCharType="separate"/>
            </w:r>
            <w:r>
              <w:rPr>
                <w:rFonts w:cs="Arial"/>
                <w:b/>
                <w:bCs/>
                <w:color w:val="0000FF"/>
                <w:sz w:val="16"/>
                <w:szCs w:val="16"/>
                <w:u w:val="single"/>
                <w:lang w:val="en-US" w:eastAsia="en-US"/>
              </w:rPr>
              <w:t>R1-2404626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"https://www.3gpp.org/ftp/TSG_RAN/WG1_RL1/TSGR1_117/Docs/R1-2404691.zip" </w:instrText>
            </w:r>
            <w:r>
              <w:fldChar w:fldCharType="separate"/>
            </w:r>
            <w:r>
              <w:rPr>
                <w:rFonts w:cs="Arial"/>
                <w:b/>
                <w:bCs/>
                <w:color w:val="0000FF"/>
                <w:sz w:val="16"/>
                <w:szCs w:val="16"/>
                <w:u w:val="single"/>
                <w:lang w:val="en-US" w:eastAsia="en-US"/>
              </w:rPr>
              <w:t>R1-2404691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"https://www.3gpp.org/ftp/TSG_RAN/WG1_RL1/TSGR1_117/Docs/R1-2404759.zip" </w:instrText>
            </w:r>
            <w:r>
              <w:fldChar w:fldCharType="separate"/>
            </w:r>
            <w:r>
              <w:rPr>
                <w:rFonts w:cs="Arial"/>
                <w:b/>
                <w:bCs/>
                <w:color w:val="0000FF"/>
                <w:sz w:val="16"/>
                <w:szCs w:val="16"/>
                <w:u w:val="single"/>
                <w:lang w:val="en-US" w:eastAsia="en-US"/>
              </w:rPr>
              <w:t>R1-2404759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"https://www.3gpp.org/ftp/TSG_RAN/WG1_RL1/TSGR1_117/Docs/R1-2404781.zip" </w:instrText>
            </w:r>
            <w:r>
              <w:fldChar w:fldCharType="separate"/>
            </w:r>
            <w:r>
              <w:rPr>
                <w:rFonts w:cs="Arial"/>
                <w:b/>
                <w:bCs/>
                <w:color w:val="0000FF"/>
                <w:sz w:val="16"/>
                <w:szCs w:val="16"/>
                <w:u w:val="single"/>
                <w:lang w:val="en-US" w:eastAsia="en-US"/>
              </w:rPr>
              <w:t>R1-2404781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tblPrEx>
          <w:tblLayout w:type="fixed"/>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"https://www.3gpp.org/ftp/TSG_RAN/WG1_RL1/TSGR1_117/Docs/R1-2404797.zip" </w:instrText>
            </w:r>
            <w:r>
              <w:fldChar w:fldCharType="separate"/>
            </w:r>
            <w:r>
              <w:rPr>
                <w:rFonts w:cs="Arial"/>
                <w:b/>
                <w:bCs/>
                <w:color w:val="0000FF"/>
                <w:sz w:val="16"/>
                <w:szCs w:val="16"/>
                <w:u w:val="single"/>
                <w:lang w:val="en-US" w:eastAsia="en-US"/>
              </w:rPr>
              <w:t>R1-2404797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"https://www.3gpp.org/ftp/TSG_RAN/WG1_RL1/TSGR1_117/Docs/R1-2404809.zip" </w:instrText>
            </w:r>
            <w:r>
              <w:fldChar w:fldCharType="separate"/>
            </w:r>
            <w:r>
              <w:rPr>
                <w:rFonts w:cs="Arial"/>
                <w:b/>
                <w:bCs/>
                <w:color w:val="0000FF"/>
                <w:sz w:val="16"/>
                <w:szCs w:val="16"/>
                <w:u w:val="single"/>
                <w:lang w:val="en-US" w:eastAsia="en-US"/>
              </w:rPr>
              <w:t>R1-2404809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"https://www.3gpp.org/ftp/TSG_RAN/WG1_RL1/TSGR1_117/Docs/R1-2404821.zip" </w:instrText>
            </w:r>
            <w:r>
              <w:fldChar w:fldCharType="separate"/>
            </w:r>
            <w:r>
              <w:rPr>
                <w:rFonts w:cs="Arial"/>
                <w:b/>
                <w:bCs/>
                <w:color w:val="0000FF"/>
                <w:sz w:val="16"/>
                <w:szCs w:val="16"/>
                <w:u w:val="single"/>
                <w:lang w:val="en-US" w:eastAsia="en-US"/>
              </w:rPr>
              <w:t>R1-2404821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"https://www.3gpp.org/ftp/TSG_RAN/WG1_RL1/TSGR1_117/Docs/R1-2404860.zip" </w:instrText>
            </w:r>
            <w:r>
              <w:fldChar w:fldCharType="separate"/>
            </w:r>
            <w:r>
              <w:rPr>
                <w:rFonts w:cs="Arial"/>
                <w:b/>
                <w:bCs/>
                <w:color w:val="0000FF"/>
                <w:sz w:val="16"/>
                <w:szCs w:val="16"/>
                <w:u w:val="single"/>
                <w:lang w:val="en-US" w:eastAsia="en-US"/>
              </w:rPr>
              <w:t>R1-2404860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"https://www.3gpp.org/ftp/TSG_RAN/WG1_RL1/TSGR1_117/Docs/R1-2404896.zip" </w:instrText>
            </w:r>
            <w:r>
              <w:fldChar w:fldCharType="separate"/>
            </w:r>
            <w:r>
              <w:rPr>
                <w:rFonts w:cs="Arial"/>
                <w:b/>
                <w:bCs/>
                <w:color w:val="0000FF"/>
                <w:sz w:val="16"/>
                <w:szCs w:val="16"/>
                <w:u w:val="single"/>
                <w:lang w:val="en-US" w:eastAsia="en-US"/>
              </w:rPr>
              <w:t>R1-2404896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"https://www.3gpp.org/ftp/TSG_RAN/WG1_RL1/TSGR1_117/Docs/R1-2405050.zip" </w:instrText>
            </w:r>
            <w:r>
              <w:fldChar w:fldCharType="separate"/>
            </w:r>
            <w:r>
              <w:rPr>
                <w:rFonts w:cs="Arial"/>
                <w:b/>
                <w:bCs/>
                <w:color w:val="0000FF"/>
                <w:sz w:val="16"/>
                <w:szCs w:val="16"/>
                <w:u w:val="single"/>
                <w:lang w:val="en-US" w:eastAsia="en-US"/>
              </w:rPr>
              <w:t>R1-2405050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"https://www.3gpp.org/ftp/TSG_RAN/WG1_RL1/TSGR1_117/Docs/R1-2405072.zip" </w:instrText>
            </w:r>
            <w:r>
              <w:fldChar w:fldCharType="separate"/>
            </w:r>
            <w:r>
              <w:rPr>
                <w:rFonts w:cs="Arial"/>
                <w:b/>
                <w:bCs/>
                <w:color w:val="0000FF"/>
                <w:sz w:val="16"/>
                <w:szCs w:val="16"/>
                <w:u w:val="single"/>
                <w:lang w:val="en-US" w:eastAsia="en-US"/>
              </w:rPr>
              <w:t>R1-2405072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"https://www.3gpp.org/ftp/TSG_RAN/WG1_RL1/TSGR1_117/Docs/R1-2405086.zip" </w:instrText>
            </w:r>
            <w:r>
              <w:fldChar w:fldCharType="separate"/>
            </w:r>
            <w:r>
              <w:rPr>
                <w:rFonts w:cs="Arial"/>
                <w:b/>
                <w:bCs/>
                <w:color w:val="0000FF"/>
                <w:sz w:val="16"/>
                <w:szCs w:val="16"/>
                <w:u w:val="single"/>
                <w:lang w:val="en-US" w:eastAsia="en-US"/>
              </w:rPr>
              <w:t>R1-2405086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"https://www.3gpp.org/ftp/TSG_RAN/WG1_RL1/TSGR1_117/Docs/R1-2405107.zip" </w:instrText>
            </w:r>
            <w:r>
              <w:fldChar w:fldCharType="separate"/>
            </w:r>
            <w:r>
              <w:rPr>
                <w:rFonts w:cs="Arial"/>
                <w:b/>
                <w:bCs/>
                <w:color w:val="0000FF"/>
                <w:sz w:val="16"/>
                <w:szCs w:val="16"/>
                <w:u w:val="single"/>
                <w:lang w:val="en-US" w:eastAsia="en-US"/>
              </w:rPr>
              <w:t>R1-2405107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"https://www.3gpp.org/ftp/TSG_RAN/WG1_RL1/TSGR1_117/Docs/R1-2405128.zip" </w:instrText>
            </w:r>
            <w:r>
              <w:fldChar w:fldCharType="separate"/>
            </w:r>
            <w:r>
              <w:rPr>
                <w:rFonts w:cs="Arial"/>
                <w:b/>
                <w:bCs/>
                <w:color w:val="0000FF"/>
                <w:sz w:val="16"/>
                <w:szCs w:val="16"/>
                <w:u w:val="single"/>
                <w:lang w:val="en-US" w:eastAsia="en-US"/>
              </w:rPr>
              <w:t>R1-2405128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"https://www.3gpp.org/ftp/TSG_RAN/WG1_RL1/TSGR1_117/Docs/R1-2405163.zip" </w:instrText>
            </w:r>
            <w:r>
              <w:fldChar w:fldCharType="separate"/>
            </w:r>
            <w:r>
              <w:rPr>
                <w:rFonts w:cs="Arial"/>
                <w:b/>
                <w:bCs/>
                <w:color w:val="0000FF"/>
                <w:sz w:val="16"/>
                <w:szCs w:val="16"/>
                <w:u w:val="single"/>
                <w:lang w:val="en-US" w:eastAsia="en-US"/>
              </w:rPr>
              <w:t>R1-2405163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"https://www.3gpp.org/ftp/TSG_RAN/WG1_RL1/TSGR1_117/Docs/R1-2405179.zip" </w:instrText>
            </w:r>
            <w:r>
              <w:fldChar w:fldCharType="separate"/>
            </w:r>
            <w:r>
              <w:rPr>
                <w:rFonts w:cs="Arial"/>
                <w:b/>
                <w:bCs/>
                <w:color w:val="0000FF"/>
                <w:sz w:val="16"/>
                <w:szCs w:val="16"/>
                <w:u w:val="single"/>
                <w:lang w:val="en-US" w:eastAsia="en-US"/>
              </w:rPr>
              <w:t>R1-2405179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"https://www.3gpp.org/ftp/TSG_RAN/WG1_RL1/TSGR1_117/Docs/R1-2405209.zip" </w:instrText>
            </w:r>
            <w:r>
              <w:fldChar w:fldCharType="separate"/>
            </w:r>
            <w:r>
              <w:rPr>
                <w:rFonts w:cs="Arial"/>
                <w:b/>
                <w:bCs/>
                <w:color w:val="0000FF"/>
                <w:sz w:val="16"/>
                <w:szCs w:val="16"/>
                <w:u w:val="single"/>
                <w:lang w:val="en-US" w:eastAsia="en-US"/>
              </w:rPr>
              <w:t>R1-2405209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tblPrEx>
          <w:tblLayout w:type="fixed"/>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"https://www.3gpp.org/ftp/TSG_RAN/WG1_RL1/TSGR1_117/Docs/R1-2405248.zip" </w:instrText>
            </w:r>
            <w:r>
              <w:fldChar w:fldCharType="separate"/>
            </w:r>
            <w:r>
              <w:rPr>
                <w:rFonts w:cs="Arial"/>
                <w:b/>
                <w:bCs/>
                <w:color w:val="0000FF"/>
                <w:sz w:val="16"/>
                <w:szCs w:val="16"/>
                <w:u w:val="single"/>
                <w:lang w:val="en-US" w:eastAsia="en-US"/>
              </w:rPr>
              <w:t>R1-2405248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"https://www.3gpp.org/ftp/tsg_ran/TSG_RAN/TSGR_103/Docs/RP-240170.zip"</w:instrText>
      </w:r>
      <w:r>
        <w:rPr>
          <w:rFonts w:ascii="Times New Roman" w:hAnsi="Times New Roman" w:cs="Times New Roman"/>
          <w:u w:val="single"/>
        </w:rPr>
        <w:fldChar w:fldCharType="separate"/>
      </w:r>
      <w:r>
        <w:rPr>
          <w:rStyle w:val="19"/>
          <w:rFonts w:ascii="Times New Roman" w:hAnsi="Times New Roman" w:cs="Times New Roman"/>
        </w:rPr>
        <w:t>RP-240170</w:t>
      </w:r>
      <w:bookmarkEnd w:id="2"/>
      <w:bookmarkEnd w:id="3"/>
      <w:r>
        <w:rPr>
          <w:rFonts w:ascii="Times New Roman" w:hAnsi="Times New Roman" w:cs="Times New Roman"/>
          <w:u w:val="single"/>
        </w:rPr>
        <w:fldChar w:fldCharType="end"/>
      </w:r>
      <w:r>
        <w:t>)</w:t>
      </w:r>
    </w:p>
    <w:p/>
    <w:p>
      <w:r>
        <w:rPr>
          <w:lang w:val="en-US"/>
        </w:rPr>
        <w:drawing>
          <wp:inline distT="0" distB="0" distL="0" distR="0">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6120765" cy="5688330"/>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 xml:space="preserve">For adaptation of SSB in time-domain, consider the following adaptation mechanisms for further study </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of SSB burst periodicity</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two SSB configurations where up to two configurations can be active</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Adaptation based on skipping/transmitting some SSB bursts non-uniformly with single SSB configuration</w:t>
      </w:r>
    </w:p>
    <w:p>
      <w:pPr>
        <w:numPr>
          <w:ilvl w:val="0"/>
          <w:numId w:val="3"/>
        </w:numPr>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transmitted number of SSBs within a SSB burst</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Cell DTX for SSB adaptation</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 periodicity value(s)</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 xml:space="preserve">New compact SSB burst(s) </w:t>
      </w:r>
    </w:p>
    <w:p>
      <w:pPr>
        <w:numPr>
          <w:ilvl w:val="1"/>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Adapting the position of SSBs within a SSB burst</w:t>
      </w:r>
    </w:p>
    <w:p>
      <w:pPr>
        <w:numPr>
          <w:ilvl w:val="0"/>
          <w:numId w:val="3"/>
        </w:numPr>
        <w:suppressAutoHyphens/>
        <w:overflowPunct/>
        <w:autoSpaceDE/>
        <w:autoSpaceDN/>
        <w:adjustRightInd/>
        <w:spacing w:after="0"/>
        <w:jc w:val="left"/>
        <w:textAlignment w:val="auto"/>
        <w:rPr>
          <w:rFonts w:ascii="Times" w:hAnsi="Times" w:eastAsia="Batang" w:cs="Times"/>
          <w:lang w:eastAsia="zh-CN"/>
        </w:rPr>
      </w:pPr>
      <w:r>
        <w:rPr>
          <w:rFonts w:ascii="Times" w:hAnsi="Times" w:eastAsia="Batang" w:cs="Times"/>
          <w:lang w:eastAsia="zh-CN"/>
        </w:rPr>
        <w:t>Other mechanisms/combinations are not precluded</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suppressAutoHyphens/>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For adaptation of PRACH in time-domain, consider the following adaptation mechanisms for further study</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configuration of additional[/different] PRACH resources for NES-capable UEs in addition to PRACH resources for legacy UEs (if any)</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NES-capable UEs can use both additional PRACH resources and PRACH resources for legacy UEs</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For the additional PRACH resources,</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of PRACH resource periodicity/PRACH occasion </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at PRACH configuration/association period/association pattern period level and SSB to RO mapping cycle</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extending cell DRX operation for PRACH</w:t>
      </w:r>
    </w:p>
    <w:p>
      <w:pPr>
        <w:numPr>
          <w:ilvl w:val="1"/>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Concentrating ROs in time domain</w:t>
      </w:r>
    </w:p>
    <w:p>
      <w:pPr>
        <w:numPr>
          <w:ilvl w:val="0"/>
          <w:numId w:val="3"/>
        </w:numPr>
        <w:suppressAutoHyphens/>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Other options are not precluded</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paging, </w:t>
      </w:r>
    </w:p>
    <w:p>
      <w:pPr>
        <w:numPr>
          <w:ilvl w:val="0"/>
          <w:numId w:val="10"/>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Study further from RAN1 perspective, techniques for adaptation of paging occasions in time-domain and achievable network energy savings</w:t>
      </w:r>
    </w:p>
    <w:p>
      <w:pPr>
        <w:numPr>
          <w:ilvl w:val="0"/>
          <w:numId w:val="10"/>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the adaptation mechanisms of SSB in time-domain, study further applicable scenarios and associated legacy UE impact/handling (if any) based on the following: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Applicability to UE in idle/inactive and/or connected mode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Applicability to PCell and/or SCell(s)</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 xml:space="preserve">For the adaptation mechanisms of SSB in time-domain, study further following mechanisms: </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mechanism indicated or configured by gNB without UE trigger</w:t>
      </w:r>
    </w:p>
    <w:p>
      <w:pPr>
        <w:numPr>
          <w:ilvl w:val="0"/>
          <w:numId w:val="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triggered by UE (if any)</w:t>
      </w:r>
    </w:p>
    <w:p>
      <w:pPr>
        <w:overflowPunct/>
        <w:autoSpaceDE/>
        <w:autoSpaceDN/>
        <w:adjustRightInd/>
        <w:spacing w:after="0"/>
        <w:jc w:val="left"/>
        <w:textAlignment w:val="auto"/>
        <w:rPr>
          <w:rFonts w:ascii="Times" w:hAnsi="Times" w:eastAsia="Batang"/>
          <w:szCs w:val="24"/>
          <w:lang w:eastAsia="zh-CN"/>
        </w:rPr>
      </w:pPr>
      <w:r>
        <w:rPr>
          <w:rFonts w:ascii="Times" w:hAnsi="Times" w:eastAsia="Batang"/>
          <w:szCs w:val="24"/>
          <w:lang w:eastAsia="zh-CN"/>
        </w:rPr>
        <w:t>FFS: Details of associated signaling/indication/configuration</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textAlignment w:val="auto"/>
        <w:rPr>
          <w:rFonts w:ascii="Times New Roman" w:hAnsi="Times New Roman" w:eastAsia="Batang"/>
          <w:szCs w:val="24"/>
          <w:lang w:eastAsia="zh-CN"/>
        </w:rPr>
      </w:pPr>
      <w:r>
        <w:rPr>
          <w:rFonts w:ascii="Times New Roman" w:hAnsi="Times New Roman" w:eastAsia="Batang"/>
          <w:szCs w:val="24"/>
          <w:lang w:eastAsia="zh-CN"/>
        </w:rPr>
        <w:t>For the adaptation mechanisms of PRACH in time-domain</w:t>
      </w:r>
    </w:p>
    <w:p>
      <w:pPr>
        <w:numPr>
          <w:ilvl w:val="0"/>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Support at least PRACH adaptation provided by gNB without UE trigger</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FFS: PRACH adaptation with UE trigger</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Note: UE trigger means UE requests adaptation of PRACH</w:t>
      </w:r>
    </w:p>
    <w:p>
      <w:pPr>
        <w:numPr>
          <w:ilvl w:val="0"/>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Study at least the following,</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Dynamic signaling and/or semi-static signaling of PRACH adaptation </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of PRACH transmission according to certain condition </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Applicability to idle/inactive and/or connected mode UEs</w:t>
      </w:r>
    </w:p>
    <w:p>
      <w:pPr>
        <w:numPr>
          <w:ilvl w:val="1"/>
          <w:numId w:val="11"/>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Batang"/>
          <w:szCs w:val="24"/>
          <w:lang w:eastAsia="zh-CN"/>
        </w:rPr>
      </w:pPr>
    </w:p>
    <w:p>
      <w:pPr>
        <w:pStyle w:val="3"/>
      </w:pPr>
      <w:bookmarkStart w:id="4" w:name="_Toc164440680"/>
      <w:r>
        <w:t>RAN1#116bis</w:t>
      </w:r>
      <w:bookmarkEnd w:id="4"/>
    </w:p>
    <w:p>
      <w:pPr>
        <w:overflowPunct/>
        <w:autoSpaceDE/>
        <w:autoSpaceDN/>
        <w:adjustRightInd/>
        <w:spacing w:after="0"/>
        <w:jc w:val="left"/>
        <w:textAlignment w:val="auto"/>
        <w:rPr>
          <w:rFonts w:ascii="Times" w:hAnsi="Times" w:eastAsia="Batang"/>
          <w:b/>
          <w:bCs/>
          <w:szCs w:val="24"/>
          <w:highlight w:val="green"/>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suppressAutoHyphens/>
        <w:overflowPunct/>
        <w:autoSpaceDE/>
        <w:autoSpaceDN/>
        <w:adjustRightInd/>
        <w:spacing w:after="0"/>
        <w:jc w:val="left"/>
        <w:textAlignment w:val="auto"/>
        <w:rPr>
          <w:rFonts w:ascii="Times" w:hAnsi="Times" w:eastAsia="Batang"/>
          <w:szCs w:val="24"/>
          <w:lang w:eastAsia="zh-CN"/>
        </w:rPr>
      </w:pPr>
      <w:r>
        <w:rPr>
          <w:rFonts w:ascii="Times" w:hAnsi="Times" w:eastAsia="Batang"/>
          <w:szCs w:val="24"/>
          <w:lang w:eastAsia="zh-CN"/>
        </w:rPr>
        <w:t xml:space="preserve">For indication of adaptation of SSB in time-domain, </w:t>
      </w:r>
    </w:p>
    <w:p>
      <w:pPr>
        <w:numPr>
          <w:ilvl w:val="0"/>
          <w:numId w:val="12"/>
        </w:numPr>
        <w:suppressAutoHyphens/>
        <w:overflowPunct/>
        <w:autoSpaceDE/>
        <w:autoSpaceDN/>
        <w:adjustRightInd/>
        <w:spacing w:after="0" w:line="259" w:lineRule="auto"/>
        <w:ind w:left="720"/>
        <w:jc w:val="left"/>
        <w:textAlignment w:val="auto"/>
        <w:rPr>
          <w:rFonts w:ascii="Times" w:hAnsi="Times" w:eastAsia="Batang"/>
          <w:szCs w:val="24"/>
          <w:lang w:eastAsia="zh-CN"/>
        </w:rPr>
      </w:pPr>
      <w:r>
        <w:rPr>
          <w:rFonts w:ascii="Times" w:hAnsi="Times" w:eastAsia="Batang"/>
          <w:szCs w:val="24"/>
          <w:lang w:eastAsia="zh-CN"/>
        </w:rPr>
        <w:t>Support at least SSB adaptation provided by gNB without UE trigger</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support at least the following: </w:t>
      </w:r>
    </w:p>
    <w:p>
      <w:pPr>
        <w:numPr>
          <w:ilvl w:val="0"/>
          <w:numId w:val="12"/>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Adaptation based on additional PRACH resources for NES-capable UEs in addition to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NES-capable UEs can use both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Configuration of additional PRACH resources is provided by semi-static signalling</w:t>
      </w:r>
    </w:p>
    <w:p>
      <w:pPr>
        <w:numPr>
          <w:ilvl w:val="2"/>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details including whether there is overlap of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adaptation mechanism for additional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No change to the existing PRACH configuration tables in 38.211</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adaptation of PRACH in time-domain, support the following: </w:t>
      </w:r>
    </w:p>
    <w:p>
      <w:pPr>
        <w:numPr>
          <w:ilvl w:val="0"/>
          <w:numId w:val="12"/>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SSB-RO mapping for the additional PRACH resources is separate from the SSB-RO mapping of the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FFS: whether/how to handle SSB-RO mapping if the additional PRACH resources overlap in both time and frequency with the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Note: SSB-RO mapping of the PRACH resources for legacy UEs is not impacted if Rel-19 UE uses these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FFS: SSB-RO mapping for the additional PRACH resources </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Support adaptation mechanisms of PRACH in time-domain for following: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UE in connected mode</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Adaptation mechanism(s) of SSB in time-domain is supported at least for one of the following scenario(s):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cell with both legacy UEs and Rel-19 NES-capable UEs </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Rel-19 NES-capable UE’s PCell (Connected mode)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lang w:eastAsia="zh-CN"/>
        </w:rPr>
      </w:pPr>
      <w:r>
        <w:rPr>
          <w:rFonts w:ascii="Times New Roman" w:hAnsi="Times New Roman" w:eastAsia="Batang"/>
          <w:szCs w:val="24"/>
          <w:lang w:eastAsia="zh-CN"/>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A3: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Rel-19 NES-capable UE’s SCell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lang w:eastAsia="zh-CN"/>
        </w:rPr>
      </w:pPr>
      <w:r>
        <w:rPr>
          <w:rFonts w:ascii="Times New Roman" w:hAnsi="Times New Roman" w:eastAsia="Batang"/>
          <w:szCs w:val="24"/>
          <w:lang w:eastAsia="zh-CN"/>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lang w:eastAsia="zh-CN"/>
        </w:rPr>
      </w:pPr>
      <w:r>
        <w:rPr>
          <w:rFonts w:ascii="Times New Roman" w:hAnsi="Times New Roman" w:eastAsia="Batang"/>
          <w:szCs w:val="24"/>
          <w:lang w:eastAsia="zh-CN"/>
        </w:rPr>
        <w:t>Option B3: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lang w:eastAsia="zh-CN"/>
        </w:rPr>
      </w:pPr>
      <w:r>
        <w:rPr>
          <w:rFonts w:ascii="Times New Roman" w:hAnsi="Times New Roman" w:eastAsia="Batang"/>
          <w:szCs w:val="24"/>
          <w:lang w:eastAsia="zh-CN"/>
        </w:rPr>
        <w:t>FFS: Rel-19 NES-capable 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Note: Impact to idle/inactive UEs shall be minimized </w:t>
      </w:r>
    </w:p>
    <w:p>
      <w:pPr>
        <w:overflowPunct/>
        <w:autoSpaceDE/>
        <w:autoSpaceDN/>
        <w:adjustRightInd/>
        <w:spacing w:after="0"/>
        <w:jc w:val="left"/>
        <w:textAlignment w:val="auto"/>
        <w:rPr>
          <w:rFonts w:ascii="Times" w:hAnsi="Times" w:eastAsia="Batang"/>
          <w:szCs w:val="24"/>
          <w:lang w:eastAsia="zh-CN"/>
        </w:rPr>
      </w:pPr>
    </w:p>
    <w:p>
      <w:pPr>
        <w:overflowPunct/>
        <w:autoSpaceDE/>
        <w:autoSpaceDN/>
        <w:adjustRightInd/>
        <w:spacing w:after="0"/>
        <w:jc w:val="left"/>
        <w:textAlignment w:val="auto"/>
        <w:rPr>
          <w:rFonts w:ascii="Times" w:hAnsi="Times" w:eastAsia="Batang"/>
          <w:szCs w:val="24"/>
          <w:highlight w:val="green"/>
          <w:lang w:eastAsia="zh-CN"/>
        </w:rPr>
      </w:pPr>
      <w:r>
        <w:rPr>
          <w:rFonts w:ascii="Times" w:hAnsi="Times" w:eastAsia="Batang"/>
          <w:szCs w:val="24"/>
          <w:highlight w:val="green"/>
          <w:lang w:eastAsia="zh-C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Batang"/>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1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1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Batang"/>
          <w:szCs w:val="24"/>
          <w:lang w:eastAsia="en-US"/>
        </w:rPr>
        <w:t>non-uniform PRACH resource allocation across SSBs</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1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1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1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Batang"/>
          <w:szCs w:val="24"/>
          <w:lang w:eastAsia="zh-C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297406"/>
    </w:sdtPr>
    <w:sdtContent>
      <w:p>
        <w:pPr>
          <w:pStyle w:val="15"/>
        </w:pPr>
        <w:r>
          <w:fldChar w:fldCharType="begin"/>
        </w:r>
        <w:r>
          <w:instrText xml:space="preserve"> PAGE   \* MERGEFORMAT </w:instrText>
        </w:r>
        <w:r>
          <w:fldChar w:fldCharType="separate"/>
        </w:r>
        <w:r>
          <w:t>3</w:t>
        </w:r>
        <w:r>
          <w:fldChar w:fldCharType="end"/>
        </w:r>
      </w:p>
    </w:sdtContent>
  </w:sdt>
  <w:p>
    <w:pPr>
      <w:pStyle w:val="15"/>
      <w:tabs>
        <w:tab w:val="center" w:pos="4820"/>
        <w:tab w:val="right" w:pos="9639"/>
      </w:tabs>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835648"/>
    <w:multiLevelType w:val="multilevel"/>
    <w:tmpl w:val="04835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D61159"/>
    <w:multiLevelType w:val="multilevel"/>
    <w:tmpl w:val="05D611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3A1262"/>
    <w:multiLevelType w:val="multilevel"/>
    <w:tmpl w:val="2E3A1262"/>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F48290C"/>
    <w:multiLevelType w:val="multilevel"/>
    <w:tmpl w:val="2F4829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11"/>
  </w:num>
  <w:num w:numId="5">
    <w:abstractNumId w:val="4"/>
  </w:num>
  <w:num w:numId="6">
    <w:abstractNumId w:val="2"/>
  </w:num>
  <w:num w:numId="7">
    <w:abstractNumId w:val="9"/>
  </w:num>
  <w:num w:numId="8">
    <w:abstractNumId w:val="7"/>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0"/>
    <w:pPr>
      <w:numPr>
        <w:ilvl w:val="4"/>
      </w:numPr>
      <w:outlineLvl w:val="4"/>
    </w:pPr>
    <w:rPr>
      <w:sz w:val="22"/>
      <w:szCs w:val="22"/>
    </w:rPr>
  </w:style>
  <w:style w:type="paragraph" w:styleId="7">
    <w:name w:val="heading 6"/>
    <w:basedOn w:val="1"/>
    <w:next w:val="1"/>
    <w:link w:val="28"/>
    <w:qFormat/>
    <w:uiPriority w:val="0"/>
    <w:pPr>
      <w:keepNext/>
      <w:keepLines/>
      <w:numPr>
        <w:ilvl w:val="5"/>
        <w:numId w:val="1"/>
      </w:numPr>
      <w:spacing w:before="120"/>
      <w:outlineLvl w:val="5"/>
    </w:pPr>
    <w:rPr>
      <w:rFonts w:cs="Arial"/>
    </w:rPr>
  </w:style>
  <w:style w:type="paragraph" w:styleId="8">
    <w:name w:val="heading 7"/>
    <w:basedOn w:val="1"/>
    <w:next w:val="1"/>
    <w:link w:val="29"/>
    <w:qFormat/>
    <w:uiPriority w:val="0"/>
    <w:pPr>
      <w:keepNext/>
      <w:keepLines/>
      <w:numPr>
        <w:ilvl w:val="6"/>
        <w:numId w:val="1"/>
      </w:numPr>
      <w:spacing w:before="120"/>
      <w:outlineLvl w:val="6"/>
    </w:pPr>
    <w:rPr>
      <w:rFonts w:cs="Arial"/>
    </w:rPr>
  </w:style>
  <w:style w:type="paragraph" w:styleId="9">
    <w:name w:val="heading 8"/>
    <w:basedOn w:val="8"/>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18">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1"/>
    <w:unhideWhenUsed/>
    <w:qFormat/>
    <w:uiPriority w:val="99"/>
    <w:rPr>
      <w:b/>
      <w:bCs/>
    </w:rPr>
  </w:style>
  <w:style w:type="paragraph" w:styleId="12">
    <w:name w:val="annotation text"/>
    <w:basedOn w:val="1"/>
    <w:link w:val="40"/>
    <w:unhideWhenUsed/>
    <w:uiPriority w:val="99"/>
  </w:style>
  <w:style w:type="paragraph" w:styleId="13">
    <w:name w:val="Body Text"/>
    <w:basedOn w:val="1"/>
    <w:link w:val="34"/>
    <w:uiPriority w:val="0"/>
  </w:style>
  <w:style w:type="paragraph" w:styleId="14">
    <w:name w:val="Balloon Text"/>
    <w:basedOn w:val="1"/>
    <w:link w:val="42"/>
    <w:unhideWhenUsed/>
    <w:qFormat/>
    <w:uiPriority w:val="99"/>
    <w:pPr>
      <w:spacing w:after="0"/>
    </w:pPr>
    <w:rPr>
      <w:rFonts w:ascii="宋体" w:eastAsia="宋体"/>
      <w:sz w:val="18"/>
      <w:szCs w:val="18"/>
    </w:rPr>
  </w:style>
  <w:style w:type="paragraph" w:styleId="15">
    <w:name w:val="footer"/>
    <w:basedOn w:val="16"/>
    <w:link w:val="33"/>
    <w:qFormat/>
    <w:uiPriority w:val="99"/>
    <w:pPr>
      <w:widowControl w:val="0"/>
      <w:jc w:val="center"/>
    </w:pPr>
    <w:rPr>
      <w:rFonts w:cs="Arial"/>
      <w:b/>
      <w:bCs/>
      <w:i/>
      <w:iCs/>
      <w:sz w:val="18"/>
      <w:szCs w:val="18"/>
      <w:lang w:val="en-US"/>
    </w:rPr>
  </w:style>
  <w:style w:type="paragraph" w:styleId="16">
    <w:name w:val="header"/>
    <w:basedOn w:val="1"/>
    <w:link w:val="37"/>
    <w:unhideWhenUsed/>
    <w:uiPriority w:val="99"/>
    <w:pPr>
      <w:tabs>
        <w:tab w:val="center" w:pos="4680"/>
        <w:tab w:val="right" w:pos="9360"/>
      </w:tabs>
      <w:spacing w:after="0"/>
    </w:pPr>
  </w:style>
  <w:style w:type="paragraph" w:styleId="17">
    <w:name w:val="Normal (Web)"/>
    <w:basedOn w:val="1"/>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character" w:styleId="19">
    <w:name w:val="Hyperlink"/>
    <w:qFormat/>
    <w:uiPriority w:val="99"/>
    <w:rPr>
      <w:color w:val="0000FF"/>
      <w:u w:val="single"/>
      <w:lang w:val="en-GB"/>
    </w:rPr>
  </w:style>
  <w:style w:type="character" w:styleId="20">
    <w:name w:val="annotation reference"/>
    <w:basedOn w:val="18"/>
    <w:unhideWhenUsed/>
    <w:qFormat/>
    <w:uiPriority w:val="99"/>
    <w:rPr>
      <w:sz w:val="16"/>
      <w:szCs w:val="16"/>
    </w:rPr>
  </w:style>
  <w:style w:type="table" w:styleId="22">
    <w:name w:val="Table Grid"/>
    <w:basedOn w:val="21"/>
    <w:qFormat/>
    <w:uiPriority w:val="59"/>
    <w:pPr>
      <w:spacing w:after="0" w:line="240" w:lineRule="auto"/>
    </w:pPr>
    <w:rPr>
      <w:rFonts w:ascii="CG Times (WN)" w:hAnsi="CG Times (W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標題 1 字元"/>
    <w:basedOn w:val="18"/>
    <w:link w:val="2"/>
    <w:qFormat/>
    <w:uiPriority w:val="0"/>
    <w:rPr>
      <w:rFonts w:ascii="Arial" w:hAnsi="Arial" w:eastAsia="Times New Roman" w:cs="Arial"/>
      <w:sz w:val="36"/>
      <w:szCs w:val="36"/>
      <w:lang w:val="en-GB" w:eastAsia="zh-CN"/>
    </w:rPr>
  </w:style>
  <w:style w:type="character" w:customStyle="1" w:styleId="24">
    <w:name w:val="標題 2 字元"/>
    <w:basedOn w:val="18"/>
    <w:link w:val="3"/>
    <w:uiPriority w:val="0"/>
    <w:rPr>
      <w:rFonts w:ascii="Arial" w:hAnsi="Arial" w:eastAsia="Times New Roman" w:cs="Arial"/>
      <w:sz w:val="32"/>
      <w:szCs w:val="32"/>
      <w:lang w:val="en-GB" w:eastAsia="zh-CN"/>
    </w:rPr>
  </w:style>
  <w:style w:type="character" w:customStyle="1" w:styleId="25">
    <w:name w:val="標題 3 字元"/>
    <w:basedOn w:val="18"/>
    <w:link w:val="4"/>
    <w:qFormat/>
    <w:uiPriority w:val="0"/>
    <w:rPr>
      <w:rFonts w:ascii="Arial" w:hAnsi="Arial" w:eastAsia="Times New Roman" w:cs="Arial"/>
      <w:sz w:val="28"/>
      <w:szCs w:val="28"/>
      <w:lang w:val="en-GB" w:eastAsia="zh-CN"/>
    </w:rPr>
  </w:style>
  <w:style w:type="character" w:customStyle="1" w:styleId="26">
    <w:name w:val="標題 4 字元"/>
    <w:basedOn w:val="18"/>
    <w:link w:val="5"/>
    <w:uiPriority w:val="0"/>
    <w:rPr>
      <w:rFonts w:ascii="Arial" w:hAnsi="Arial" w:eastAsia="Times New Roman" w:cs="Arial"/>
      <w:sz w:val="24"/>
      <w:szCs w:val="24"/>
      <w:lang w:val="en-GB" w:eastAsia="zh-CN"/>
    </w:rPr>
  </w:style>
  <w:style w:type="character" w:customStyle="1" w:styleId="27">
    <w:name w:val="標題 5 字元"/>
    <w:basedOn w:val="18"/>
    <w:link w:val="6"/>
    <w:qFormat/>
    <w:uiPriority w:val="0"/>
    <w:rPr>
      <w:rFonts w:ascii="Arial" w:hAnsi="Arial" w:eastAsia="Times New Roman" w:cs="Arial"/>
      <w:lang w:val="en-GB" w:eastAsia="zh-CN"/>
    </w:rPr>
  </w:style>
  <w:style w:type="character" w:customStyle="1" w:styleId="28">
    <w:name w:val="標題 6 字元"/>
    <w:basedOn w:val="18"/>
    <w:link w:val="7"/>
    <w:uiPriority w:val="0"/>
    <w:rPr>
      <w:rFonts w:ascii="Arial" w:hAnsi="Arial" w:eastAsia="Times New Roman" w:cs="Arial"/>
      <w:sz w:val="20"/>
      <w:szCs w:val="20"/>
      <w:lang w:val="en-GB" w:eastAsia="zh-CN"/>
    </w:rPr>
  </w:style>
  <w:style w:type="character" w:customStyle="1" w:styleId="29">
    <w:name w:val="標題 7 字元"/>
    <w:basedOn w:val="18"/>
    <w:link w:val="8"/>
    <w:uiPriority w:val="0"/>
    <w:rPr>
      <w:rFonts w:ascii="Arial" w:hAnsi="Arial" w:eastAsia="Times New Roman" w:cs="Arial"/>
      <w:sz w:val="20"/>
      <w:szCs w:val="20"/>
      <w:lang w:val="en-GB" w:eastAsia="zh-CN"/>
    </w:rPr>
  </w:style>
  <w:style w:type="character" w:customStyle="1" w:styleId="30">
    <w:name w:val="標題 8 字元"/>
    <w:basedOn w:val="18"/>
    <w:link w:val="9"/>
    <w:qFormat/>
    <w:uiPriority w:val="0"/>
    <w:rPr>
      <w:rFonts w:ascii="Arial" w:hAnsi="Arial" w:eastAsia="Times New Roman" w:cs="Arial"/>
      <w:sz w:val="20"/>
      <w:szCs w:val="20"/>
      <w:lang w:val="en-GB" w:eastAsia="zh-CN"/>
    </w:rPr>
  </w:style>
  <w:style w:type="character" w:customStyle="1" w:styleId="31">
    <w:name w:val="標題 9 字元"/>
    <w:basedOn w:val="18"/>
    <w:link w:val="10"/>
    <w:qFormat/>
    <w:uiPriority w:val="0"/>
    <w:rPr>
      <w:rFonts w:ascii="Arial" w:hAnsi="Arial" w:eastAsia="Times New Roman" w:cs="Arial"/>
      <w:sz w:val="20"/>
      <w:szCs w:val="20"/>
      <w:lang w:val="en-GB" w:eastAsia="zh-CN"/>
    </w:rPr>
  </w:style>
  <w:style w:type="paragraph" w:customStyle="1" w:styleId="32">
    <w:name w:val="3GPP_Header"/>
    <w:basedOn w:val="1"/>
    <w:uiPriority w:val="0"/>
    <w:pPr>
      <w:tabs>
        <w:tab w:val="left" w:pos="1701"/>
        <w:tab w:val="right" w:pos="9639"/>
      </w:tabs>
      <w:spacing w:after="240"/>
    </w:pPr>
    <w:rPr>
      <w:b/>
      <w:sz w:val="24"/>
    </w:rPr>
  </w:style>
  <w:style w:type="character" w:customStyle="1" w:styleId="33">
    <w:name w:val="頁尾 字元"/>
    <w:basedOn w:val="18"/>
    <w:link w:val="15"/>
    <w:qFormat/>
    <w:uiPriority w:val="99"/>
    <w:rPr>
      <w:rFonts w:ascii="Arial" w:hAnsi="Arial" w:eastAsia="Times New Roman" w:cs="Arial"/>
      <w:b/>
      <w:bCs/>
      <w:i/>
      <w:iCs/>
      <w:sz w:val="18"/>
      <w:szCs w:val="18"/>
      <w:lang w:eastAsia="zh-CN"/>
    </w:rPr>
  </w:style>
  <w:style w:type="character" w:customStyle="1" w:styleId="34">
    <w:name w:val="本文 字元"/>
    <w:basedOn w:val="18"/>
    <w:link w:val="13"/>
    <w:qFormat/>
    <w:uiPriority w:val="0"/>
    <w:rPr>
      <w:rFonts w:ascii="Arial" w:hAnsi="Arial" w:eastAsia="Times New Roman" w:cs="Times New Roman"/>
      <w:sz w:val="20"/>
      <w:szCs w:val="20"/>
      <w:lang w:val="en-GB" w:eastAsia="zh-CN"/>
    </w:rPr>
  </w:style>
  <w:style w:type="paragraph" w:customStyle="1" w:styleId="35">
    <w:name w:val="List Paragraph"/>
    <w:basedOn w:val="1"/>
    <w:link w:val="36"/>
    <w:qFormat/>
    <w:uiPriority w:val="34"/>
    <w:pPr>
      <w:ind w:left="720"/>
      <w:contextualSpacing/>
    </w:pPr>
  </w:style>
  <w:style w:type="character" w:customStyle="1" w:styleId="36">
    <w:name w:val="清單段落 字元"/>
    <w:link w:val="35"/>
    <w:qFormat/>
    <w:locked/>
    <w:uiPriority w:val="34"/>
    <w:rPr>
      <w:rFonts w:ascii="Arial" w:hAnsi="Arial" w:eastAsia="Times New Roman" w:cs="Times New Roman"/>
      <w:sz w:val="20"/>
      <w:szCs w:val="20"/>
      <w:lang w:val="en-GB" w:eastAsia="zh-CN"/>
    </w:rPr>
  </w:style>
  <w:style w:type="character" w:customStyle="1" w:styleId="37">
    <w:name w:val="頁首 字元"/>
    <w:basedOn w:val="18"/>
    <w:link w:val="16"/>
    <w:qFormat/>
    <w:uiPriority w:val="99"/>
    <w:rPr>
      <w:rFonts w:ascii="Arial" w:hAnsi="Arial" w:eastAsia="Times New Roman" w:cs="Times New Roman"/>
      <w:sz w:val="20"/>
      <w:szCs w:val="20"/>
      <w:lang w:val="en-GB" w:eastAsia="zh-CN"/>
    </w:rPr>
  </w:style>
  <w:style w:type="paragraph" w:customStyle="1" w:styleId="38">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39">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0">
    <w:name w:val="註解文字 字元"/>
    <w:basedOn w:val="18"/>
    <w:link w:val="12"/>
    <w:qFormat/>
    <w:uiPriority w:val="99"/>
    <w:rPr>
      <w:rFonts w:ascii="Arial" w:hAnsi="Arial" w:eastAsia="Times New Roman" w:cs="Times New Roman"/>
      <w:sz w:val="20"/>
      <w:szCs w:val="20"/>
      <w:lang w:val="en-GB" w:eastAsia="zh-CN"/>
    </w:rPr>
  </w:style>
  <w:style w:type="character" w:customStyle="1" w:styleId="41">
    <w:name w:val="註解主旨 字元"/>
    <w:basedOn w:val="40"/>
    <w:link w:val="11"/>
    <w:semiHidden/>
    <w:qFormat/>
    <w:uiPriority w:val="99"/>
    <w:rPr>
      <w:rFonts w:ascii="Arial" w:hAnsi="Arial" w:eastAsia="Times New Roman" w:cs="Times New Roman"/>
      <w:b/>
      <w:bCs/>
      <w:sz w:val="20"/>
      <w:szCs w:val="20"/>
      <w:lang w:val="en-GB" w:eastAsia="zh-CN"/>
    </w:rPr>
  </w:style>
  <w:style w:type="character" w:customStyle="1" w:styleId="42">
    <w:name w:val="註解方塊文字 字元"/>
    <w:basedOn w:val="18"/>
    <w:link w:val="14"/>
    <w:semiHidden/>
    <w:qFormat/>
    <w:uiPriority w:val="99"/>
    <w:rPr>
      <w:rFonts w:ascii="宋体" w:hAnsi="Arial" w:eastAsia="宋体" w:cs="Times New Roman"/>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4705</Words>
  <Characters>26821</Characters>
  <Lines>223</Lines>
  <Paragraphs>62</Paragraphs>
  <TotalTime>0</TotalTime>
  <ScaleCrop>false</ScaleCrop>
  <LinksUpToDate>false</LinksUpToDate>
  <CharactersWithSpaces>31464</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2024-05-21T04:00:00Z</dcterms:created>
  <dc:creator>Ajit Nimbalker</dc:creator>
  <cp:lastModifiedBy>Hao Lin</cp:lastModifiedBy>
  <dcterms:modified xsi:type="dcterms:W3CDTF">2024-05-21T05:00:23Z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2052-10.1.0.6395</vt:lpwstr>
  </property>
</Properties>
</file>