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gramStart"/>
            <w:r w:rsidRPr="00BC235A">
              <w:rPr>
                <w:lang w:eastAsia="ko-KR"/>
              </w:rPr>
              <w:t>non cell</w:t>
            </w:r>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hint="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bl>
    <w:p w14:paraId="45C2158C" w14:textId="77777777" w:rsidR="00DA3C9D" w:rsidRDefault="00DA3C9D" w:rsidP="00DA3C9D">
      <w:pPr>
        <w:ind w:firstLineChars="100" w:firstLine="200"/>
        <w:jc w:val="both"/>
        <w:rPr>
          <w:b/>
          <w:lang w:eastAsia="ko-KR"/>
        </w:rPr>
      </w:pPr>
    </w:p>
    <w:p w14:paraId="68F8B62F" w14:textId="77777777" w:rsidR="00DF5B06" w:rsidRDefault="00DF5B06" w:rsidP="00DA3C9D">
      <w:pPr>
        <w:ind w:firstLineChars="100" w:firstLine="200"/>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lastRenderedPageBreak/>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hint="eastAsia"/>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hint="eastAsia"/>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bl>
    <w:p w14:paraId="2875B25B" w14:textId="77777777" w:rsidR="005737A3" w:rsidRDefault="005737A3" w:rsidP="005737A3">
      <w:pPr>
        <w:ind w:firstLineChars="100" w:firstLine="200"/>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lastRenderedPageBreak/>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lastRenderedPageBreak/>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ListParagraph"/>
              <w:numPr>
                <w:ilvl w:val="0"/>
                <w:numId w:val="37"/>
              </w:numPr>
              <w:ind w:leftChars="0"/>
              <w:jc w:val="both"/>
              <w:rPr>
                <w:lang w:eastAsia="ko-KR"/>
              </w:rPr>
            </w:pPr>
            <w:r w:rsidRPr="00A345E9">
              <w:rPr>
                <w:lang w:eastAsia="ko-KR"/>
              </w:rPr>
              <w:lastRenderedPageBreak/>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lastRenderedPageBreak/>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lastRenderedPageBreak/>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lastRenderedPageBreak/>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lastRenderedPageBreak/>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lastRenderedPageBreak/>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RRC based signaling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CE based signaling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used for SCell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SCell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rFonts w:hint="eastAsia"/>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hint="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w:t>
            </w:r>
            <w:r w:rsidRPr="00F159A7">
              <w:rPr>
                <w:rFonts w:eastAsia="SimSun"/>
                <w:iCs/>
                <w:lang w:val="en-US" w:eastAsia="zh-CN"/>
              </w:rPr>
              <w:lastRenderedPageBreak/>
              <w:t>activation separately in the MAC CE, and UE obviously could interpret the functionality correctly w.r.t. different scenarios. The signaling design effort and redundancy is lessened consequently.</w:t>
            </w:r>
          </w:p>
        </w:tc>
      </w:tr>
    </w:tbl>
    <w:p w14:paraId="65D120D0" w14:textId="77777777" w:rsidR="00BE4AA4" w:rsidRDefault="00BE4AA4" w:rsidP="00BE4AA4">
      <w:pPr>
        <w:ind w:firstLineChars="100" w:firstLine="200"/>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lastRenderedPageBreak/>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rPr>
                <w:rFonts w:hint="eastAsia"/>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rPr>
                <w:rFonts w:hint="eastAsia"/>
              </w:rPr>
            </w:pPr>
            <w:r>
              <w:rPr>
                <w:rFonts w:eastAsia="SimSun"/>
                <w:iCs/>
                <w:lang w:val="en-US" w:eastAsia="zh-CN"/>
              </w:rPr>
              <w:t xml:space="preserve">If is also fine to add the above under FFS. </w:t>
            </w:r>
          </w:p>
        </w:tc>
      </w:tr>
    </w:tbl>
    <w:p w14:paraId="1373EAF9" w14:textId="77777777" w:rsidR="0066666E" w:rsidRDefault="0066666E" w:rsidP="0066666E">
      <w:pPr>
        <w:ind w:firstLineChars="100" w:firstLine="200"/>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lastRenderedPageBreak/>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lastRenderedPageBreak/>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lastRenderedPageBreak/>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hint="eastAsia"/>
                <w:lang w:val="en-US" w:eastAsia="ko-KR"/>
              </w:rPr>
            </w:pPr>
            <w:r>
              <w:rPr>
                <w:lang w:eastAsia="ko-KR"/>
              </w:rPr>
              <w:lastRenderedPageBreak/>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hint="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lastRenderedPageBreak/>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lastRenderedPageBreak/>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hint="eastAsia"/>
                <w:iCs/>
                <w:lang w:val="en-US" w:eastAsia="zh-CN"/>
              </w:rPr>
            </w:pPr>
            <w:r>
              <w:rPr>
                <w:rFonts w:eastAsia="SimSun"/>
                <w:iCs/>
                <w:lang w:val="en-US" w:eastAsia="zh-CN"/>
              </w:rPr>
              <w:t>Okay with the Proposal.</w:t>
            </w:r>
          </w:p>
        </w:tc>
      </w:tr>
    </w:tbl>
    <w:p w14:paraId="7734C2FF" w14:textId="77777777" w:rsidR="00BB26BF" w:rsidRDefault="00BB26BF" w:rsidP="00BB26BF">
      <w:pPr>
        <w:ind w:firstLineChars="100" w:firstLine="200"/>
        <w:jc w:val="both"/>
        <w:rPr>
          <w:b/>
          <w:lang w:eastAsia="ko-KR"/>
        </w:rPr>
      </w:pPr>
    </w:p>
    <w:p w14:paraId="6CF15AEC" w14:textId="77777777" w:rsidR="00FD15B3" w:rsidRPr="00BB26BF" w:rsidRDefault="00FD15B3" w:rsidP="00FD15B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lastRenderedPageBreak/>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lastRenderedPageBreak/>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gramStart"/>
      <w:r>
        <w:rPr>
          <w:rFonts w:ascii="Times New Roman" w:eastAsiaTheme="minorEastAsia" w:hAnsi="Times New Roman" w:hint="eastAsia"/>
          <w:lang w:val="en-US" w:eastAsia="ko-KR"/>
        </w:rPr>
        <w:t>Spreadtrum?</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bookmarkStart w:id="3" w:name="_GoBack" w:colFirst="0" w:colLast="0"/>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hint="eastAsia"/>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bookmarkEnd w:id="3"/>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lastRenderedPageBreak/>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Discussion of on-demand SSB Scell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On-demand SSB SCell operation for eNES</w:t>
      </w:r>
      <w:r>
        <w:tab/>
        <w:t>Huawei, HiSilicon</w:t>
      </w:r>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Discussions on on-demand SSB Scell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on-demond SSB for NES</w:t>
      </w:r>
      <w:r>
        <w:tab/>
        <w:t>ZTE, Sanechips</w:t>
      </w:r>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On-demand SSB Scell operation</w:t>
      </w:r>
      <w:r>
        <w:tab/>
        <w:t>Quectel</w:t>
      </w:r>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lastRenderedPageBreak/>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On-demand SSB operation for Scell</w:t>
      </w:r>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t>ASUSTeK</w:t>
      </w:r>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4" w:name="_Hlk166698521"/>
      <w:r w:rsidRPr="004159B2">
        <w:rPr>
          <w:szCs w:val="20"/>
        </w:rPr>
        <w:t>No always-on SSB on the cell</w:t>
      </w:r>
      <w:bookmarkEnd w:id="4"/>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lastRenderedPageBreak/>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C6DE" w14:textId="77777777" w:rsidR="007F0FD3" w:rsidRDefault="007F0FD3" w:rsidP="00D55E99">
      <w:r>
        <w:separator/>
      </w:r>
    </w:p>
  </w:endnote>
  <w:endnote w:type="continuationSeparator" w:id="0">
    <w:p w14:paraId="5F45F5AF" w14:textId="77777777" w:rsidR="007F0FD3" w:rsidRDefault="007F0FD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E22E" w14:textId="77777777" w:rsidR="007F0FD3" w:rsidRDefault="007F0FD3" w:rsidP="00D55E99">
      <w:r>
        <w:separator/>
      </w:r>
    </w:p>
  </w:footnote>
  <w:footnote w:type="continuationSeparator" w:id="0">
    <w:p w14:paraId="24E62577" w14:textId="77777777" w:rsidR="007F0FD3" w:rsidRDefault="007F0FD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5"/>
    <w:lvlOverride w:ilvl="0">
      <w:startOverride w:val="1"/>
    </w:lvlOverride>
  </w:num>
  <w:num w:numId="3">
    <w:abstractNumId w:val="28"/>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4"/>
  </w:num>
  <w:num w:numId="7">
    <w:abstractNumId w:val="25"/>
  </w:num>
  <w:num w:numId="8">
    <w:abstractNumId w:val="36"/>
  </w:num>
  <w:num w:numId="9">
    <w:abstractNumId w:val="31"/>
  </w:num>
  <w:num w:numId="10">
    <w:abstractNumId w:val="8"/>
  </w:num>
  <w:num w:numId="11">
    <w:abstractNumId w:val="38"/>
  </w:num>
  <w:num w:numId="12">
    <w:abstractNumId w:val="11"/>
  </w:num>
  <w:num w:numId="13">
    <w:abstractNumId w:val="32"/>
  </w:num>
  <w:num w:numId="14">
    <w:abstractNumId w:val="3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7"/>
  </w:num>
  <w:num w:numId="18">
    <w:abstractNumId w:val="24"/>
  </w:num>
  <w:num w:numId="19">
    <w:abstractNumId w:val="21"/>
  </w:num>
  <w:num w:numId="20">
    <w:abstractNumId w:val="7"/>
  </w:num>
  <w:num w:numId="21">
    <w:abstractNumId w:val="34"/>
  </w:num>
  <w:num w:numId="22">
    <w:abstractNumId w:val="29"/>
  </w:num>
  <w:num w:numId="23">
    <w:abstractNumId w:val="23"/>
  </w:num>
  <w:num w:numId="24">
    <w:abstractNumId w:val="9"/>
  </w:num>
  <w:num w:numId="25">
    <w:abstractNumId w:val="3"/>
  </w:num>
  <w:num w:numId="26">
    <w:abstractNumId w:val="5"/>
  </w:num>
  <w:num w:numId="27">
    <w:abstractNumId w:val="33"/>
  </w:num>
  <w:num w:numId="28">
    <w:abstractNumId w:val="1"/>
  </w:num>
  <w:num w:numId="29">
    <w:abstractNumId w:val="27"/>
  </w:num>
  <w:num w:numId="30">
    <w:abstractNumId w:val="35"/>
  </w:num>
  <w:num w:numId="31">
    <w:abstractNumId w:val="12"/>
  </w:num>
  <w:num w:numId="32">
    <w:abstractNumId w:val="20"/>
  </w:num>
  <w:num w:numId="33">
    <w:abstractNumId w:val="14"/>
  </w:num>
  <w:num w:numId="34">
    <w:abstractNumId w:val="13"/>
  </w:num>
  <w:num w:numId="35">
    <w:abstractNumId w:val="18"/>
  </w:num>
  <w:num w:numId="36">
    <w:abstractNumId w:val="10"/>
  </w:num>
  <w:num w:numId="37">
    <w:abstractNumId w:val="16"/>
  </w:num>
  <w:num w:numId="38">
    <w:abstractNumId w:val="0"/>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99"/>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18035</Words>
  <Characters>102802</Characters>
  <Application>Microsoft Office Word</Application>
  <DocSecurity>0</DocSecurity>
  <Lines>856</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HW-Louis Madier</cp:lastModifiedBy>
  <cp:revision>3</cp:revision>
  <dcterms:created xsi:type="dcterms:W3CDTF">2024-05-20T06:50:00Z</dcterms:created>
  <dcterms:modified xsi:type="dcterms:W3CDTF">2024-05-20T06:51:00Z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