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25151D2B"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615A4048"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4D83FF68"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7F213B55"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180CAF"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lastRenderedPageBreak/>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lastRenderedPageBreak/>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lastRenderedPageBreak/>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맑은 고딕" w:hAnsi="Times New Roman"/>
          <w:i/>
          <w:iCs/>
          <w:lang w:val="en-US" w:eastAsia="ko-KR"/>
        </w:rPr>
        <w:t>cellBarred</w:t>
      </w:r>
      <w:r w:rsidR="00723ACE" w:rsidRPr="002F5C3F">
        <w:rPr>
          <w:rFonts w:ascii="Times New Roman" w:eastAsia="맑은 고딕" w:hAnsi="Times New Roman"/>
          <w:lang w:val="en-US" w:eastAsia="ko-KR"/>
        </w:rPr>
        <w:t xml:space="preserve"> in MIB to </w:t>
      </w:r>
      <w:r w:rsidR="00723ACE" w:rsidRPr="002F5C3F">
        <w:rPr>
          <w:rFonts w:ascii="Times New Roman" w:eastAsia="맑은 고딕" w:hAnsi="Times New Roman"/>
          <w:i/>
          <w:iCs/>
          <w:lang w:val="en-US" w:eastAsia="ko-KR"/>
        </w:rPr>
        <w:t>barred</w:t>
      </w:r>
      <w:r w:rsidR="00723ACE" w:rsidRPr="00C24CD5">
        <w:rPr>
          <w:rFonts w:ascii="Times New Roman" w:eastAsia="맑은 고딕" w:hAnsi="Times New Roman" w:hint="eastAsia"/>
          <w:lang w:val="en-US" w:eastAsia="ko-KR"/>
        </w:rPr>
        <w:t>.</w:t>
      </w:r>
      <w:r w:rsidR="00723ACE">
        <w:rPr>
          <w:rFonts w:ascii="Times New Roman" w:eastAsia="맑은 고딕"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맑은 고딕" w:hAnsi="Times New Roman"/>
          <w:i/>
          <w:iCs/>
          <w:lang w:val="en-US" w:eastAsia="ko-KR"/>
        </w:rPr>
        <w:t>cellBarred</w:t>
      </w:r>
      <w:r w:rsidR="00723ACE" w:rsidRPr="002F5C3F">
        <w:rPr>
          <w:rFonts w:ascii="Times New Roman" w:eastAsia="맑은 고딕" w:hAnsi="Times New Roman"/>
          <w:lang w:val="en-US" w:eastAsia="ko-KR"/>
        </w:rPr>
        <w:t xml:space="preserve"> in MIB</w:t>
      </w:r>
      <w:r w:rsidR="00723ACE">
        <w:rPr>
          <w:rFonts w:ascii="Times New Roman" w:eastAsia="맑은 고딕" w:hAnsi="Times New Roman" w:hint="eastAsia"/>
          <w:lang w:val="en-US" w:eastAsia="ko-KR"/>
        </w:rPr>
        <w:t xml:space="preserve"> is set</w:t>
      </w:r>
      <w:r w:rsidR="00723ACE" w:rsidRPr="002F5C3F">
        <w:rPr>
          <w:rFonts w:ascii="Times New Roman" w:eastAsia="맑은 고딕" w:hAnsi="Times New Roman"/>
          <w:lang w:val="en-US" w:eastAsia="ko-KR"/>
        </w:rPr>
        <w:t xml:space="preserve"> to </w:t>
      </w:r>
      <w:r w:rsidR="00723ACE" w:rsidRPr="002F5C3F">
        <w:rPr>
          <w:rFonts w:ascii="Times New Roman" w:eastAsia="맑은 고딕" w:hAnsi="Times New Roman"/>
          <w:i/>
          <w:iCs/>
          <w:lang w:val="en-US" w:eastAsia="ko-KR"/>
        </w:rPr>
        <w:t>barred</w:t>
      </w:r>
      <w:r w:rsidR="00723ACE" w:rsidRPr="00723ACE">
        <w:rPr>
          <w:rFonts w:ascii="Times New Roman" w:eastAsia="맑은 고딕" w:hAnsi="Times New Roman" w:hint="eastAsia"/>
          <w:lang w:val="en-US" w:eastAsia="ko-KR"/>
        </w:rPr>
        <w:t xml:space="preserve">, </w:t>
      </w:r>
      <w:r w:rsidR="00723ACE">
        <w:rPr>
          <w:rFonts w:ascii="Times New Roman" w:eastAsia="맑은 고딕" w:hAnsi="Times New Roman" w:hint="eastAsia"/>
          <w:lang w:val="en-US" w:eastAsia="ko-KR"/>
        </w:rPr>
        <w:t xml:space="preserve">some types of </w:t>
      </w:r>
      <w:r w:rsidR="00723ACE" w:rsidRPr="00723ACE">
        <w:rPr>
          <w:rFonts w:ascii="Times New Roman" w:eastAsia="맑은 고딕" w:hAnsi="Times New Roman"/>
          <w:lang w:val="en-US" w:eastAsia="ko-KR"/>
        </w:rPr>
        <w:t>legacy UEs (e.g., UEs supporting NTN, Redcap, NES)</w:t>
      </w:r>
      <w:r w:rsidR="00723ACE">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limited to non-cell-defining SSB</w:t>
      </w:r>
      <w:r w:rsidR="00C443A1">
        <w:rPr>
          <w:rFonts w:ascii="Times New Roman" w:eastAsia="맑은 고딕" w:hAnsi="Times New Roman" w:hint="eastAsia"/>
          <w:lang w:val="en-US" w:eastAsia="ko-KR"/>
        </w:rPr>
        <w:t xml:space="preserve"> with</w:t>
      </w:r>
      <w:r>
        <w:rPr>
          <w:rFonts w:ascii="Times New Roman" w:eastAsia="맑은 고딕" w:hAnsi="Times New Roman" w:hint="eastAsia"/>
          <w:lang w:val="en-US" w:eastAsia="ko-KR"/>
        </w:rPr>
        <w:t xml:space="preserve"> which CORESET#0 and type0-PDCCH CSS set configurations</w:t>
      </w:r>
      <w:r w:rsidR="00C443A1">
        <w:rPr>
          <w:rFonts w:ascii="Times New Roman" w:eastAsia="맑은 고딕" w:hAnsi="Times New Roman" w:hint="eastAsia"/>
          <w:lang w:val="en-US" w:eastAsia="ko-KR"/>
        </w:rPr>
        <w:t xml:space="preserve"> are not associated</w:t>
      </w:r>
      <w:r w:rsidRPr="005727BA">
        <w:rPr>
          <w:rFonts w:ascii="Times New Roman" w:eastAsia="맑은 고딕"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r>
              <w:rPr>
                <w:rFonts w:eastAsia="SimSun" w:hint="eastAsia"/>
                <w:iCs/>
                <w:lang w:val="en-US" w:eastAsia="zh-CN"/>
              </w:rPr>
              <w:t>A</w:t>
            </w:r>
            <w:r>
              <w:rPr>
                <w:rFonts w:eastAsia="SimSun"/>
                <w:iCs/>
                <w:lang w:val="en-US" w:eastAsia="zh-CN"/>
              </w:rPr>
              <w:t>ctually</w:t>
            </w:r>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hint="eastAsia"/>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hint="eastAsia"/>
                <w:iCs/>
                <w:lang w:val="en-US" w:eastAsia="ja-JP"/>
              </w:rPr>
            </w:pPr>
            <w:r w:rsidRPr="00B00A9B">
              <w:t xml:space="preserve">Support the proposal  </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1"/>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맑은 고딕"/>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lastRenderedPageBreak/>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eastAsia="맑은 고딕"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For Case #1, once on-demand SSB is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Note: This does not imply periodic on-demand SSB is transmitted indefinitely after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“When SCell activation is completed and SCell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“After SCell activation is completed and SCell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rPr>
                    <w:t>For discussion purpose</w:t>
                  </w:r>
                  <w:r w:rsidRPr="00D43388">
                    <w:rPr>
                      <w:rFonts w:ascii="Times New Roman" w:eastAsia="맑은 고딕" w:hAnsi="Times New Roman"/>
                      <w:szCs w:val="20"/>
                      <w:lang w:eastAsia="ko-KR"/>
                    </w:rPr>
                    <w:t xml:space="preserve"> under AI 9.5.1</w:t>
                  </w:r>
                  <w:r w:rsidRPr="00D43388">
                    <w:rPr>
                      <w:rFonts w:ascii="Times New Roman" w:eastAsia="맑은 고딕" w:hAnsi="Times New Roman"/>
                      <w:szCs w:val="20"/>
                    </w:rPr>
                    <w:t xml:space="preserve">, always-on SSB is </w:t>
                  </w:r>
                  <w:r w:rsidRPr="00D43388">
                    <w:rPr>
                      <w:rFonts w:ascii="Times New Roman" w:eastAsia="맑은 고딕"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Timing for on-demand SSB transmission (e.g. when the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a6"/>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lastRenderedPageBreak/>
              <w:t>Option A: For activated SCell operation, the SSB transmission is assumed to be same as legacy SCell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hint="eastAsia"/>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lastRenderedPageBreak/>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a6"/>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lastRenderedPageBreak/>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a6"/>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lastRenderedPageBreak/>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a6"/>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lastRenderedPageBreak/>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signaling between legacy/existing signaling (e.g., RRC, MAC CE) providing SCell activation/deactivation and signaling providing On-demand SSB transmission indication) and Option 2 (A single signaling in which both SCell </w:t>
            </w:r>
            <w:r w:rsidRPr="00F902A2">
              <w:rPr>
                <w:lang w:eastAsia="ko-KR"/>
              </w:rPr>
              <w:lastRenderedPageBreak/>
              <w:t>activation/deactivation and On-demand SSB trans-mission indication are provided) for signaling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lastRenderedPageBreak/>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맑은 고딕"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739FD1D4" w14:textId="771E0B08" w:rsidR="00B94421" w:rsidRPr="00B94421" w:rsidRDefault="00B94421" w:rsidP="00B94421">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Support RRC based signaling to activate on-demand SSB transmission on the cell.</w:t>
      </w:r>
    </w:p>
    <w:p w14:paraId="4FB76B08" w14:textId="57703ED7" w:rsidR="00B94421" w:rsidRDefault="00B94421" w:rsidP="00B94421">
      <w:pPr>
        <w:pStyle w:val="a6"/>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Support MAC</w:t>
      </w:r>
      <w:r w:rsidR="00D93BCA">
        <w:rPr>
          <w:rFonts w:hint="eastAsia"/>
          <w:lang w:eastAsia="ko-KR"/>
        </w:rPr>
        <w:t xml:space="preserve"> </w:t>
      </w:r>
      <w:r>
        <w:rPr>
          <w:rFonts w:hint="eastAsia"/>
          <w:lang w:eastAsia="ko-KR"/>
        </w:rPr>
        <w:t>CE based signaling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RAN2 whether this MAC</w:t>
      </w:r>
      <w:r w:rsidR="00D93BCA">
        <w:rPr>
          <w:rFonts w:ascii="Times New Roman" w:eastAsia="맑은 고딕" w:hAnsi="Times New Roman" w:hint="eastAsia"/>
          <w:lang w:val="en-US" w:eastAsia="ko-KR"/>
        </w:rPr>
        <w:t xml:space="preserve"> </w:t>
      </w:r>
      <w:r>
        <w:rPr>
          <w:rFonts w:ascii="Times New Roman" w:eastAsia="맑은 고딕" w:hAnsi="Times New Roman" w:hint="eastAsia"/>
          <w:lang w:val="en-US" w:eastAsia="ko-KR"/>
        </w:rPr>
        <w:t xml:space="preserve">CE can be </w:t>
      </w:r>
      <w:r w:rsidR="00D93BCA">
        <w:rPr>
          <w:rFonts w:ascii="Times New Roman" w:eastAsia="맑은 고딕" w:hAnsi="Times New Roman" w:hint="eastAsia"/>
          <w:lang w:val="en-US" w:eastAsia="ko-KR"/>
        </w:rPr>
        <w:t xml:space="preserve">also </w:t>
      </w:r>
      <w:r>
        <w:rPr>
          <w:rFonts w:ascii="Times New Roman" w:eastAsia="맑은 고딕" w:hAnsi="Times New Roman" w:hint="eastAsia"/>
          <w:lang w:val="en-US" w:eastAsia="ko-KR"/>
        </w:rPr>
        <w:t>used for SCell activation/deactivation.</w:t>
      </w:r>
    </w:p>
    <w:p w14:paraId="5298EB4E" w14:textId="1516585F" w:rsidR="00CB0805" w:rsidRDefault="00CB0805" w:rsidP="00CB0805">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From RAN1 perspective,</w:t>
      </w:r>
    </w:p>
    <w:p w14:paraId="375ACE34" w14:textId="26908CCE" w:rsidR="00D93BCA" w:rsidRDefault="00D93BCA" w:rsidP="00D93BCA">
      <w:pPr>
        <w:pStyle w:val="a6"/>
        <w:numPr>
          <w:ilvl w:val="3"/>
          <w:numId w:val="35"/>
        </w:numPr>
        <w:spacing w:after="160" w:line="256" w:lineRule="auto"/>
        <w:ind w:leftChars="0"/>
        <w:contextualSpacing/>
        <w:jc w:val="both"/>
        <w:rPr>
          <w:rFonts w:ascii="Times New Roman" w:eastAsia="맑은 고딕" w:hAnsi="Times New Roman"/>
          <w:lang w:val="en-US"/>
        </w:rPr>
      </w:pPr>
      <w:r w:rsidRPr="00C4512D">
        <w:rPr>
          <w:rFonts w:ascii="Times New Roman" w:eastAsia="맑은 고딕" w:hAnsi="Times New Roman" w:hint="eastAsia"/>
          <w:lang w:val="en-US" w:eastAsia="ko-KR"/>
        </w:rPr>
        <w:t xml:space="preserve">Separate signaling between legacy/existing SCell activation/deactivation </w:t>
      </w:r>
      <w:r>
        <w:rPr>
          <w:rFonts w:ascii="Times New Roman" w:eastAsia="맑은 고딕" w:hAnsi="Times New Roman" w:hint="eastAsia"/>
          <w:lang w:val="en-US" w:eastAsia="ko-KR"/>
        </w:rPr>
        <w:t xml:space="preserve">MAC CE </w:t>
      </w:r>
      <w:r w:rsidRPr="00C4512D">
        <w:rPr>
          <w:rFonts w:ascii="Times New Roman" w:eastAsia="맑은 고딕" w:hAnsi="Times New Roman" w:hint="eastAsia"/>
          <w:lang w:val="en-US" w:eastAsia="ko-KR"/>
        </w:rPr>
        <w:t>and</w:t>
      </w:r>
      <w:r>
        <w:rPr>
          <w:rFonts w:ascii="Times New Roman" w:eastAsia="맑은 고딕" w:hAnsi="Times New Roman" w:hint="eastAsia"/>
          <w:lang w:val="en-US" w:eastAsia="ko-KR"/>
        </w:rPr>
        <w:t xml:space="preserve"> this MAC CE</w:t>
      </w:r>
      <w:r w:rsidRPr="00C4512D">
        <w:rPr>
          <w:rFonts w:ascii="Times New Roman" w:eastAsia="맑은 고딕" w:hAnsi="Times New Roman" w:hint="eastAsia"/>
          <w:lang w:val="en-US" w:eastAsia="ko-KR"/>
        </w:rPr>
        <w:t xml:space="preserve"> providing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is beneficial when on-demand SSB transmission </w:t>
      </w:r>
      <w:r w:rsidR="00C443A1">
        <w:rPr>
          <w:rFonts w:ascii="Times New Roman" w:eastAsia="맑은 고딕" w:hAnsi="Times New Roman" w:hint="eastAsia"/>
          <w:lang w:val="en-US" w:eastAsia="ko-KR"/>
        </w:rPr>
        <w:t>needs to be</w:t>
      </w:r>
      <w:r>
        <w:rPr>
          <w:rFonts w:ascii="Times New Roman" w:eastAsia="맑은 고딕" w:hAnsi="Times New Roman" w:hint="eastAsia"/>
          <w:lang w:val="en-US" w:eastAsia="ko-KR"/>
        </w:rPr>
        <w:t xml:space="preserve"> indicated before </w:t>
      </w:r>
      <w:r w:rsidRPr="00BE6024">
        <w:rPr>
          <w:szCs w:val="20"/>
        </w:rPr>
        <w:t>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40061C48" w14:textId="169BBC71" w:rsidR="00D93BCA" w:rsidRDefault="00D93BCA" w:rsidP="00D93BCA">
      <w:pPr>
        <w:pStyle w:val="a6"/>
        <w:numPr>
          <w:ilvl w:val="3"/>
          <w:numId w:val="35"/>
        </w:numPr>
        <w:spacing w:after="160" w:line="256" w:lineRule="auto"/>
        <w:ind w:leftChars="0"/>
        <w:contextualSpacing/>
        <w:jc w:val="both"/>
        <w:rPr>
          <w:rFonts w:ascii="Times New Roman" w:eastAsia="맑은 고딕" w:hAnsi="Times New Roman"/>
          <w:lang w:val="en-US"/>
        </w:rPr>
      </w:pPr>
      <w:r w:rsidRPr="00C4512D">
        <w:rPr>
          <w:rFonts w:ascii="Times New Roman" w:eastAsia="맑은 고딕" w:hAnsi="Times New Roman" w:hint="eastAsia"/>
          <w:lang w:val="en-US" w:eastAsia="ko-KR"/>
        </w:rPr>
        <w:t xml:space="preserve">A single signaling in which both SCell activation/deactivation and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r>
        <w:rPr>
          <w:rFonts w:ascii="Times New Roman" w:eastAsia="맑은 고딕" w:hAnsi="Times New Roman" w:hint="eastAsia"/>
          <w:lang w:val="en-US" w:eastAsia="ko-KR"/>
        </w:rPr>
        <w:t xml:space="preserve">, is beneficial when SCell activation and on-demand SSB transmission </w:t>
      </w:r>
      <w:r w:rsidR="00C443A1">
        <w:rPr>
          <w:rFonts w:ascii="Times New Roman" w:eastAsia="맑은 고딕" w:hAnsi="Times New Roman" w:hint="eastAsia"/>
          <w:lang w:val="en-US" w:eastAsia="ko-KR"/>
        </w:rPr>
        <w:t>need to be</w:t>
      </w:r>
      <w:r>
        <w:rPr>
          <w:rFonts w:ascii="Times New Roman" w:eastAsia="맑은 고딕" w:hAnsi="Times New Roman" w:hint="eastAsia"/>
          <w:lang w:val="en-US" w:eastAsia="ko-KR"/>
        </w:rPr>
        <w:t xml:space="preserve"> indicated at the same time.</w:t>
      </w:r>
    </w:p>
    <w:p w14:paraId="2D2036BC" w14:textId="6A1BA0A2" w:rsidR="00CB0805" w:rsidRPr="00B94421" w:rsidRDefault="00B94421" w:rsidP="00B94421">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053660F0" w14:textId="2D50AB73" w:rsidR="00B94421" w:rsidRPr="00D93BCA" w:rsidRDefault="00B94421" w:rsidP="00B94421">
      <w:pPr>
        <w:pStyle w:val="a6"/>
        <w:numPr>
          <w:ilvl w:val="2"/>
          <w:numId w:val="35"/>
        </w:numPr>
        <w:spacing w:after="160" w:line="256" w:lineRule="auto"/>
        <w:ind w:leftChars="0"/>
        <w:contextualSpacing/>
        <w:jc w:val="both"/>
        <w:rPr>
          <w:rFonts w:ascii="Times New Roman" w:eastAsia="맑은 고딕"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hint="eastAsia"/>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hint="eastAsia"/>
                <w:iCs/>
                <w:lang w:val="en-US" w:eastAsia="ja-JP"/>
              </w:rPr>
            </w:pPr>
            <w:r w:rsidRPr="00BD2944">
              <w:t>Our view is that it is better to include the agreement on what Option1 and Option 2 imply, when sending LS to RAN2</w:t>
            </w:r>
          </w:p>
        </w:tc>
      </w:tr>
    </w:tbl>
    <w:p w14:paraId="65D120D0" w14:textId="77777777" w:rsidR="00BE4AA4" w:rsidRDefault="00BE4AA4"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Frequency of the on-demand SSB (e.g., </w:t>
      </w:r>
      <w:r w:rsidRPr="000F7688">
        <w:rPr>
          <w:rFonts w:hAnsi="바탕체"/>
          <w:bCs/>
          <w:i/>
          <w:iCs/>
        </w:rPr>
        <w:t>absoluteFrequencySSB</w:t>
      </w:r>
      <w:r w:rsidRPr="00FF4E52">
        <w:rPr>
          <w:rFonts w:hAnsi="바탕체"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SSB indexes within an on-demand SSB burst (e.g., </w:t>
      </w:r>
      <w:r w:rsidRPr="00FF4E52">
        <w:rPr>
          <w:rFonts w:ascii="Times New Roman" w:eastAsia="맑은 고딕" w:hAnsi="Times New Roman"/>
          <w:i/>
          <w:iCs/>
          <w:lang w:val="en-US" w:eastAsia="ko-KR"/>
        </w:rPr>
        <w:t>ssb-PositionsInBurst</w:t>
      </w:r>
      <w:r>
        <w:rPr>
          <w:rFonts w:ascii="Times New Roman" w:eastAsia="맑은 고딕"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r w:rsidRPr="00FF4E52">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Sub-carrier spacing of the on-demand SSB (e.g., </w:t>
      </w:r>
      <w:r w:rsidRPr="00FF4E52">
        <w:rPr>
          <w:rFonts w:ascii="Times New Roman" w:eastAsia="맑은 고딕" w:hAnsi="Times New Roman"/>
          <w:i/>
          <w:iCs/>
          <w:lang w:val="en-US" w:eastAsia="ko-KR"/>
        </w:rPr>
        <w:t>subcarrierSpacing</w:t>
      </w:r>
      <w:r>
        <w:rPr>
          <w:rFonts w:ascii="Times New Roman" w:eastAsia="맑은 고딕"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r w:rsidRPr="00FF4E52">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hint="eastAsia"/>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hint="eastAsia"/>
                <w:iCs/>
                <w:lang w:val="en-US" w:eastAsia="ja-JP"/>
              </w:rPr>
            </w:pPr>
            <w:r w:rsidRPr="00407729">
              <w:t>As for us, it is positive to start discussing parameters to be provided by L3 RRC message for indication of On-demand SSB</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lastRenderedPageBreak/>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lastRenderedPageBreak/>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gNB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lastRenderedPageBreak/>
              <w:t>Option 1A: UE expects that on-demand SSB burst(s) is periodically transmitted from time instance A until gNB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lastRenderedPageBreak/>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lastRenderedPageBreak/>
              <w:t>Time instance A can be determined by a (pre-)configured time offset after the on-demand SSB triggering signaling.</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lastRenderedPageBreak/>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af1"/>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lastRenderedPageBreak/>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hint="eastAsia"/>
                <w:iCs/>
                <w:lang w:val="en-US" w:eastAsia="zh-CN"/>
              </w:rPr>
            </w:pPr>
            <w:r w:rsidRPr="00537571">
              <w:t xml:space="preserve">Prefer Alt 1-2, Alt 3-2 to Alt 1-1, Alt 3-1. We think that T in Alt1 or Alt3 can be configurable, and T is more than or equal to the minimum requirement by RAN4 </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lastRenderedPageBreak/>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t>
      </w:r>
      <w:r w:rsidR="007432B8">
        <w:rPr>
          <w:rFonts w:ascii="Times New Roman" w:eastAsia="맑은 고딕" w:hAnsi="Times New Roman" w:hint="eastAsia"/>
          <w:lang w:val="en-US" w:eastAsia="ko-KR"/>
        </w:rPr>
        <w:t xml:space="preserve">which is </w:t>
      </w:r>
      <w:r>
        <w:rPr>
          <w:rFonts w:ascii="Times New Roman" w:eastAsia="맑은 고딕"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L1 measurement based </w:t>
      </w:r>
      <w:r w:rsidR="00C443A1">
        <w:rPr>
          <w:rFonts w:ascii="Times New Roman" w:eastAsia="맑은 고딕" w:hAnsi="Times New Roman" w:hint="eastAsia"/>
          <w:lang w:val="en-US" w:eastAsia="ko-KR"/>
        </w:rPr>
        <w:t xml:space="preserve">on </w:t>
      </w:r>
      <w:r>
        <w:rPr>
          <w:rFonts w:ascii="Times New Roman" w:eastAsia="맑은 고딕" w:hAnsi="Times New Roman" w:hint="eastAsia"/>
          <w:lang w:val="en-US" w:eastAsia="ko-KR"/>
        </w:rPr>
        <w:t>on-demand SSB, p</w:t>
      </w:r>
      <w:r w:rsidR="001A2F22">
        <w:rPr>
          <w:rFonts w:ascii="Times New Roman" w:eastAsia="맑은 고딕" w:hAnsi="Times New Roman" w:hint="eastAsia"/>
          <w:lang w:val="en-US" w:eastAsia="ko-KR"/>
        </w:rPr>
        <w:t>eriodic, semi-persistent, and aperiodic L1 measurement reports</w:t>
      </w:r>
      <w:r w:rsidR="002A0216">
        <w:rPr>
          <w:rFonts w:ascii="Times New Roman" w:eastAsia="맑은 고딕" w:hAnsi="Times New Roman" w:hint="eastAsia"/>
          <w:lang w:val="en-US" w:eastAsia="ko-KR"/>
        </w:rPr>
        <w:t xml:space="preserve"> based on existing CSI framework</w:t>
      </w:r>
      <w:r w:rsidR="001A2F22">
        <w:rPr>
          <w:rFonts w:ascii="Times New Roman" w:eastAsia="맑은 고딕"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w:t>
      </w:r>
      <w:r w:rsidR="008D4A41">
        <w:rPr>
          <w:rFonts w:ascii="Times New Roman" w:eastAsia="맑은 고딕" w:hAnsi="Times New Roman" w:hint="eastAsia"/>
          <w:lang w:val="en-US" w:eastAsia="ko-KR"/>
        </w:rPr>
        <w:t xml:space="preserve">potential enhancements of </w:t>
      </w:r>
      <w:r>
        <w:rPr>
          <w:rFonts w:ascii="Times New Roman" w:eastAsia="맑은 고딕" w:hAnsi="Times New Roman" w:hint="eastAsia"/>
          <w:lang w:val="en-US" w:eastAsia="ko-KR"/>
        </w:rPr>
        <w:t>CSI report configuration</w:t>
      </w:r>
      <w:r w:rsidR="005178AA">
        <w:rPr>
          <w:rFonts w:ascii="Times New Roman" w:eastAsia="맑은 고딕" w:hAnsi="Times New Roman" w:hint="eastAsia"/>
          <w:lang w:val="en-US" w:eastAsia="ko-KR"/>
        </w:rPr>
        <w:t xml:space="preserve"> and/or triggering/activation mechanisms</w:t>
      </w:r>
      <w:r>
        <w:rPr>
          <w:rFonts w:ascii="Times New Roman" w:eastAsia="맑은 고딕"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hint="eastAsia"/>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bl>
    <w:p w14:paraId="6CF15AEC" w14:textId="77777777" w:rsidR="00FD15B3"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lastRenderedPageBreak/>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lastRenderedPageBreak/>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lastRenderedPageBreak/>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E61E86">
        <w:tc>
          <w:tcPr>
            <w:tcW w:w="1668"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hint="eastAsia"/>
                <w:lang w:eastAsia="ko-KR"/>
              </w:rPr>
            </w:pPr>
            <w:r>
              <w:rPr>
                <w:rFonts w:eastAsiaTheme="minorEastAsia" w:hint="eastAsia"/>
                <w:lang w:eastAsia="ko-KR"/>
              </w:rPr>
              <w:t>LGE</w:t>
            </w:r>
          </w:p>
        </w:tc>
        <w:tc>
          <w:tcPr>
            <w:tcW w:w="8171"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hint="eastAsia"/>
                <w:iCs/>
                <w:lang w:val="en-US" w:eastAsia="ko-KR"/>
              </w:rPr>
            </w:pPr>
            <w:r>
              <w:rPr>
                <w:rFonts w:eastAsiaTheme="minorEastAsia" w:hint="eastAsia"/>
                <w:iCs/>
                <w:lang w:val="en-US" w:eastAsia="ko-KR"/>
              </w:rPr>
              <w:t>Support the proposal</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lastRenderedPageBreak/>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bookmarkStart w:id="2" w:name="_GoBack"/>
      <w:bookmarkEnd w:id="2"/>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Discussion of on-demand SSB Scell operation</w:t>
      </w:r>
      <w:r>
        <w:tab/>
        <w:t>FUTUREWEI</w:t>
      </w:r>
    </w:p>
    <w:p w14:paraId="7BF152ED" w14:textId="77777777" w:rsidR="00770180" w:rsidRDefault="00770180" w:rsidP="00812BE5">
      <w:pPr>
        <w:pStyle w:val="a6"/>
        <w:numPr>
          <w:ilvl w:val="0"/>
          <w:numId w:val="2"/>
        </w:numPr>
        <w:ind w:leftChars="0"/>
      </w:pPr>
      <w:r>
        <w:t>R1-2403896</w:t>
      </w:r>
      <w:r>
        <w:tab/>
        <w:t>On-demand SSB SCell operation</w:t>
      </w:r>
      <w:r>
        <w:tab/>
        <w:t>Tejas Networks Limited</w:t>
      </w:r>
    </w:p>
    <w:p w14:paraId="20549978" w14:textId="77777777" w:rsidR="00770180" w:rsidRDefault="00770180" w:rsidP="00AF1849">
      <w:pPr>
        <w:pStyle w:val="a6"/>
        <w:numPr>
          <w:ilvl w:val="0"/>
          <w:numId w:val="2"/>
        </w:numPr>
        <w:ind w:leftChars="0"/>
      </w:pPr>
      <w:r>
        <w:t>R1-2403960</w:t>
      </w:r>
      <w:r>
        <w:tab/>
        <w:t>On-demand SSB SCell operation for eNES</w:t>
      </w:r>
      <w:r>
        <w:tab/>
        <w:t>Huawei, HiSilicon</w:t>
      </w:r>
    </w:p>
    <w:p w14:paraId="33F31904" w14:textId="77777777" w:rsidR="00770180" w:rsidRDefault="00770180" w:rsidP="009D4094">
      <w:pPr>
        <w:pStyle w:val="a6"/>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a6"/>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a6"/>
        <w:numPr>
          <w:ilvl w:val="0"/>
          <w:numId w:val="2"/>
        </w:numPr>
        <w:ind w:leftChars="0"/>
      </w:pPr>
      <w:r>
        <w:t>R1-2404121</w:t>
      </w:r>
      <w:r>
        <w:tab/>
        <w:t>On-demand SSB SCell operation</w:t>
      </w:r>
      <w:r>
        <w:tab/>
        <w:t>Samsung</w:t>
      </w:r>
    </w:p>
    <w:p w14:paraId="49D6447B" w14:textId="77777777" w:rsidR="00770180" w:rsidRDefault="00770180" w:rsidP="00C65C6E">
      <w:pPr>
        <w:pStyle w:val="a6"/>
        <w:numPr>
          <w:ilvl w:val="0"/>
          <w:numId w:val="2"/>
        </w:numPr>
        <w:ind w:leftChars="0"/>
      </w:pPr>
      <w:r>
        <w:t>R1-2404183</w:t>
      </w:r>
      <w:r>
        <w:tab/>
        <w:t>Discussions on on-demand SSB Scell operation</w:t>
      </w:r>
      <w:r>
        <w:tab/>
        <w:t>vivo</w:t>
      </w:r>
    </w:p>
    <w:p w14:paraId="5C801CAF" w14:textId="77777777" w:rsidR="00770180" w:rsidRDefault="00770180" w:rsidP="00562005">
      <w:pPr>
        <w:pStyle w:val="a6"/>
        <w:numPr>
          <w:ilvl w:val="0"/>
          <w:numId w:val="2"/>
        </w:numPr>
        <w:ind w:leftChars="0"/>
      </w:pPr>
      <w:r>
        <w:t>R1-2404223</w:t>
      </w:r>
      <w:r>
        <w:tab/>
        <w:t>On-demand SSB SCell Operation</w:t>
      </w:r>
      <w:r>
        <w:tab/>
        <w:t>Nokia, Nokia Shanghai Bell</w:t>
      </w:r>
    </w:p>
    <w:p w14:paraId="6DE0EF3C" w14:textId="77777777" w:rsidR="00770180" w:rsidRDefault="00770180" w:rsidP="00016D9A">
      <w:pPr>
        <w:pStyle w:val="a6"/>
        <w:numPr>
          <w:ilvl w:val="0"/>
          <w:numId w:val="2"/>
        </w:numPr>
        <w:ind w:leftChars="0"/>
      </w:pPr>
      <w:r>
        <w:t>R1-2404293</w:t>
      </w:r>
      <w:r>
        <w:tab/>
        <w:t>On-demand SSB SCell Operation</w:t>
      </w:r>
      <w:r>
        <w:tab/>
        <w:t>Apple</w:t>
      </w:r>
    </w:p>
    <w:p w14:paraId="76B40D2D" w14:textId="77777777" w:rsidR="00770180" w:rsidRDefault="00770180" w:rsidP="00AE3EB3">
      <w:pPr>
        <w:pStyle w:val="a6"/>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a6"/>
        <w:numPr>
          <w:ilvl w:val="0"/>
          <w:numId w:val="2"/>
        </w:numPr>
        <w:ind w:leftChars="0"/>
      </w:pPr>
      <w:r>
        <w:t>R1-2404407</w:t>
      </w:r>
      <w:r>
        <w:tab/>
        <w:t>Discussion on on-demand SSB SCell operation</w:t>
      </w:r>
      <w:r>
        <w:tab/>
        <w:t>CATT</w:t>
      </w:r>
    </w:p>
    <w:p w14:paraId="3D53EBCE" w14:textId="77777777" w:rsidR="00770180" w:rsidRDefault="00770180" w:rsidP="004C3BCC">
      <w:pPr>
        <w:pStyle w:val="a6"/>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a6"/>
        <w:numPr>
          <w:ilvl w:val="0"/>
          <w:numId w:val="2"/>
        </w:numPr>
        <w:ind w:leftChars="0"/>
      </w:pPr>
      <w:r>
        <w:t>R1-2404462</w:t>
      </w:r>
      <w:r>
        <w:tab/>
        <w:t>Discussion on on-demand SSB SCell operation</w:t>
      </w:r>
      <w:r>
        <w:tab/>
        <w:t>CMCC</w:t>
      </w:r>
    </w:p>
    <w:p w14:paraId="4457978A" w14:textId="77777777" w:rsidR="00770180" w:rsidRDefault="00770180" w:rsidP="00D712D0">
      <w:pPr>
        <w:pStyle w:val="a6"/>
        <w:numPr>
          <w:ilvl w:val="0"/>
          <w:numId w:val="2"/>
        </w:numPr>
        <w:ind w:leftChars="0"/>
      </w:pPr>
      <w:r>
        <w:t>R1-2404506</w:t>
      </w:r>
      <w:r>
        <w:tab/>
        <w:t>On-demand SSB SCell operation</w:t>
      </w:r>
      <w:r>
        <w:tab/>
        <w:t>Sony</w:t>
      </w:r>
    </w:p>
    <w:p w14:paraId="489D8726" w14:textId="77777777" w:rsidR="00770180" w:rsidRDefault="00770180" w:rsidP="00FF22E3">
      <w:pPr>
        <w:pStyle w:val="a6"/>
        <w:numPr>
          <w:ilvl w:val="0"/>
          <w:numId w:val="2"/>
        </w:numPr>
        <w:ind w:leftChars="0"/>
      </w:pPr>
      <w:r>
        <w:t>R1-2404560</w:t>
      </w:r>
      <w:r>
        <w:tab/>
        <w:t>Discussion on on-demond SSB for NES</w:t>
      </w:r>
      <w:r>
        <w:tab/>
        <w:t>ZTE, Sanechips</w:t>
      </w:r>
    </w:p>
    <w:p w14:paraId="4E4A83F4" w14:textId="77777777" w:rsidR="00770180" w:rsidRDefault="00770180" w:rsidP="00FC02BF">
      <w:pPr>
        <w:pStyle w:val="a6"/>
        <w:numPr>
          <w:ilvl w:val="0"/>
          <w:numId w:val="2"/>
        </w:numPr>
        <w:ind w:leftChars="0"/>
      </w:pPr>
      <w:r>
        <w:t>R1-2404577</w:t>
      </w:r>
      <w:r>
        <w:tab/>
        <w:t>Discussion on on-demand SSB SCell operation</w:t>
      </w:r>
      <w:r>
        <w:tab/>
        <w:t>HONOR</w:t>
      </w:r>
    </w:p>
    <w:p w14:paraId="3769DA41" w14:textId="77777777" w:rsidR="00770180" w:rsidRDefault="00770180" w:rsidP="00FA7630">
      <w:pPr>
        <w:pStyle w:val="a6"/>
        <w:numPr>
          <w:ilvl w:val="0"/>
          <w:numId w:val="2"/>
        </w:numPr>
        <w:ind w:leftChars="0"/>
      </w:pPr>
      <w:r>
        <w:t>R1-2404624</w:t>
      </w:r>
      <w:r>
        <w:tab/>
        <w:t>Discussion on on-demand SSB SCell operation</w:t>
      </w:r>
      <w:r>
        <w:tab/>
        <w:t>Xiaomi</w:t>
      </w:r>
    </w:p>
    <w:p w14:paraId="7B4F82B9" w14:textId="77777777" w:rsidR="00770180" w:rsidRDefault="00770180" w:rsidP="002832A7">
      <w:pPr>
        <w:pStyle w:val="a6"/>
        <w:numPr>
          <w:ilvl w:val="0"/>
          <w:numId w:val="2"/>
        </w:numPr>
        <w:ind w:leftChars="0"/>
      </w:pPr>
      <w:r>
        <w:t>R1-2404648</w:t>
      </w:r>
      <w:r>
        <w:tab/>
        <w:t>On-demand SSB Scell operation</w:t>
      </w:r>
      <w:r>
        <w:tab/>
        <w:t>Quectel</w:t>
      </w:r>
    </w:p>
    <w:p w14:paraId="6CCDBFAF" w14:textId="77777777" w:rsidR="00770180" w:rsidRDefault="00770180" w:rsidP="00652847">
      <w:pPr>
        <w:pStyle w:val="a6"/>
        <w:numPr>
          <w:ilvl w:val="0"/>
          <w:numId w:val="2"/>
        </w:numPr>
        <w:ind w:leftChars="0"/>
      </w:pPr>
      <w:r>
        <w:t>R1-2404689</w:t>
      </w:r>
      <w:r>
        <w:tab/>
        <w:t>On-demand SSB SCell Operation</w:t>
      </w:r>
      <w:r>
        <w:tab/>
        <w:t>Google</w:t>
      </w:r>
    </w:p>
    <w:p w14:paraId="5CF5F8C8" w14:textId="77777777" w:rsidR="00770180" w:rsidRDefault="00770180" w:rsidP="005106DF">
      <w:pPr>
        <w:pStyle w:val="a6"/>
        <w:numPr>
          <w:ilvl w:val="0"/>
          <w:numId w:val="2"/>
        </w:numPr>
        <w:ind w:leftChars="0"/>
      </w:pPr>
      <w:r>
        <w:t>R1-2404697</w:t>
      </w:r>
      <w:r>
        <w:tab/>
        <w:t>On-demand SSB SCell operation</w:t>
      </w:r>
      <w:r>
        <w:tab/>
        <w:t>Lenovo</w:t>
      </w:r>
    </w:p>
    <w:p w14:paraId="67381679" w14:textId="77777777" w:rsidR="00770180" w:rsidRDefault="00770180" w:rsidP="00A619FE">
      <w:pPr>
        <w:pStyle w:val="a6"/>
        <w:numPr>
          <w:ilvl w:val="0"/>
          <w:numId w:val="2"/>
        </w:numPr>
        <w:ind w:leftChars="0"/>
      </w:pPr>
      <w:r>
        <w:t>R1-2404757</w:t>
      </w:r>
      <w:r>
        <w:tab/>
        <w:t>Discussion on on-demand SSB SCell operation</w:t>
      </w:r>
      <w:r>
        <w:tab/>
        <w:t>Panasonic</w:t>
      </w:r>
    </w:p>
    <w:p w14:paraId="25FC5F44" w14:textId="77777777" w:rsidR="00770180" w:rsidRDefault="00770180" w:rsidP="003B62D3">
      <w:pPr>
        <w:pStyle w:val="a6"/>
        <w:numPr>
          <w:ilvl w:val="0"/>
          <w:numId w:val="2"/>
        </w:numPr>
        <w:ind w:leftChars="0"/>
      </w:pPr>
      <w:r>
        <w:t>R1-2404779</w:t>
      </w:r>
      <w:r>
        <w:tab/>
        <w:t>Discussion on On-demand SSB SCell operation</w:t>
      </w:r>
      <w:r>
        <w:tab/>
        <w:t>ETRI</w:t>
      </w:r>
    </w:p>
    <w:p w14:paraId="35443F5A" w14:textId="77777777" w:rsidR="00770180" w:rsidRDefault="00770180" w:rsidP="007879BE">
      <w:pPr>
        <w:pStyle w:val="a6"/>
        <w:numPr>
          <w:ilvl w:val="0"/>
          <w:numId w:val="2"/>
        </w:numPr>
        <w:ind w:leftChars="0"/>
      </w:pPr>
      <w:r>
        <w:t>R1-2404795</w:t>
      </w:r>
      <w:r>
        <w:tab/>
        <w:t>Discussion on on-demand SSB for SCell operation</w:t>
      </w:r>
      <w:r>
        <w:tab/>
        <w:t>NEC</w:t>
      </w:r>
    </w:p>
    <w:p w14:paraId="1EFF379D" w14:textId="77777777" w:rsidR="00770180" w:rsidRDefault="00770180" w:rsidP="007D114A">
      <w:pPr>
        <w:pStyle w:val="a6"/>
        <w:numPr>
          <w:ilvl w:val="0"/>
          <w:numId w:val="2"/>
        </w:numPr>
        <w:ind w:leftChars="0"/>
      </w:pPr>
      <w:r>
        <w:t>R1-2404807</w:t>
      </w:r>
      <w:r>
        <w:tab/>
        <w:t>Discussion on on-demand SSB SCell operation</w:t>
      </w:r>
      <w:r>
        <w:tab/>
        <w:t>Fujitsu</w:t>
      </w:r>
    </w:p>
    <w:p w14:paraId="6A5C8FD5" w14:textId="77777777" w:rsidR="00770180" w:rsidRDefault="00770180" w:rsidP="001D2F51">
      <w:pPr>
        <w:pStyle w:val="a6"/>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a6"/>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a6"/>
        <w:numPr>
          <w:ilvl w:val="0"/>
          <w:numId w:val="2"/>
        </w:numPr>
        <w:ind w:leftChars="0"/>
      </w:pPr>
      <w:r>
        <w:t>R1-2404894</w:t>
      </w:r>
      <w:r>
        <w:tab/>
        <w:t>On-demand SSB SCell operation</w:t>
      </w:r>
      <w:r>
        <w:tab/>
        <w:t>LG Electronics</w:t>
      </w:r>
    </w:p>
    <w:p w14:paraId="6B4DBD17" w14:textId="77777777" w:rsidR="00770180" w:rsidRDefault="00770180" w:rsidP="00271881">
      <w:pPr>
        <w:pStyle w:val="a6"/>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a6"/>
        <w:numPr>
          <w:ilvl w:val="0"/>
          <w:numId w:val="2"/>
        </w:numPr>
        <w:ind w:leftChars="0"/>
      </w:pPr>
      <w:r>
        <w:t>R1-2405070</w:t>
      </w:r>
      <w:r>
        <w:tab/>
        <w:t>Discussion on on-demand SSB SCell operation</w:t>
      </w:r>
      <w:r>
        <w:tab/>
        <w:t>Sharp</w:t>
      </w:r>
    </w:p>
    <w:p w14:paraId="38C6894E" w14:textId="77777777" w:rsidR="00770180" w:rsidRDefault="00770180" w:rsidP="00882126">
      <w:pPr>
        <w:pStyle w:val="a6"/>
        <w:numPr>
          <w:ilvl w:val="0"/>
          <w:numId w:val="2"/>
        </w:numPr>
        <w:ind w:leftChars="0"/>
      </w:pPr>
      <w:r>
        <w:t>R1-2405084</w:t>
      </w:r>
      <w:r>
        <w:tab/>
        <w:t>On-demand SSB SCell operation</w:t>
      </w:r>
      <w:r>
        <w:tab/>
        <w:t>MediaTek Inc.</w:t>
      </w:r>
    </w:p>
    <w:p w14:paraId="3E2A6C62" w14:textId="77777777" w:rsidR="00770180" w:rsidRDefault="00770180" w:rsidP="00B512FD">
      <w:pPr>
        <w:pStyle w:val="a6"/>
        <w:numPr>
          <w:ilvl w:val="0"/>
          <w:numId w:val="2"/>
        </w:numPr>
        <w:ind w:leftChars="0"/>
      </w:pPr>
      <w:r>
        <w:t>R1-2405105</w:t>
      </w:r>
      <w:r>
        <w:tab/>
        <w:t>On-demand SSB SCell operation</w:t>
      </w:r>
      <w:r>
        <w:tab/>
        <w:t>Ericsson</w:t>
      </w:r>
    </w:p>
    <w:p w14:paraId="5FE40C4C" w14:textId="77777777" w:rsidR="00770180" w:rsidRDefault="00770180" w:rsidP="002D414C">
      <w:pPr>
        <w:pStyle w:val="a6"/>
        <w:numPr>
          <w:ilvl w:val="0"/>
          <w:numId w:val="2"/>
        </w:numPr>
        <w:ind w:leftChars="0"/>
      </w:pPr>
      <w:r>
        <w:t>R1-2405114</w:t>
      </w:r>
      <w:r>
        <w:tab/>
        <w:t>Discussion on On-demand SSB SCell operation</w:t>
      </w:r>
      <w:r>
        <w:tab/>
        <w:t>ITRI</w:t>
      </w:r>
    </w:p>
    <w:p w14:paraId="29811E36" w14:textId="77777777" w:rsidR="00770180" w:rsidRDefault="00770180" w:rsidP="00691B37">
      <w:pPr>
        <w:pStyle w:val="a6"/>
        <w:numPr>
          <w:ilvl w:val="0"/>
          <w:numId w:val="2"/>
        </w:numPr>
        <w:ind w:leftChars="0"/>
      </w:pPr>
      <w:r>
        <w:t>R1-2405126</w:t>
      </w:r>
      <w:r>
        <w:tab/>
        <w:t>Discussion of On-demand SSB SCell operation</w:t>
      </w:r>
      <w:r>
        <w:tab/>
        <w:t>Mavenir</w:t>
      </w:r>
    </w:p>
    <w:p w14:paraId="7EC08B61" w14:textId="77777777" w:rsidR="00770180" w:rsidRDefault="00770180" w:rsidP="009F090A">
      <w:pPr>
        <w:pStyle w:val="a6"/>
        <w:numPr>
          <w:ilvl w:val="0"/>
          <w:numId w:val="2"/>
        </w:numPr>
        <w:ind w:leftChars="0"/>
      </w:pPr>
      <w:r>
        <w:t>R1-2405127</w:t>
      </w:r>
      <w:r>
        <w:tab/>
        <w:t>Discussion on on-demand SSB SCell operation</w:t>
      </w:r>
      <w:r>
        <w:tab/>
        <w:t>CAICT</w:t>
      </w:r>
    </w:p>
    <w:p w14:paraId="15A500DE" w14:textId="77777777" w:rsidR="00770180" w:rsidRDefault="00770180" w:rsidP="00D52E3A">
      <w:pPr>
        <w:pStyle w:val="a6"/>
        <w:numPr>
          <w:ilvl w:val="0"/>
          <w:numId w:val="2"/>
        </w:numPr>
        <w:ind w:leftChars="0"/>
      </w:pPr>
      <w:r>
        <w:t>R1-2405161</w:t>
      </w:r>
      <w:r>
        <w:tab/>
        <w:t>On-demand SSB operation for Scell</w:t>
      </w:r>
      <w:r>
        <w:tab/>
        <w:t>Qualcomm Incorporated</w:t>
      </w:r>
    </w:p>
    <w:p w14:paraId="2ED202C8" w14:textId="77777777" w:rsidR="00770180" w:rsidRDefault="00770180" w:rsidP="00C25F34">
      <w:pPr>
        <w:pStyle w:val="a6"/>
        <w:numPr>
          <w:ilvl w:val="0"/>
          <w:numId w:val="2"/>
        </w:numPr>
        <w:ind w:leftChars="0"/>
      </w:pPr>
      <w:r>
        <w:t>R1-2405201</w:t>
      </w:r>
      <w:r>
        <w:tab/>
        <w:t>On-demand SSB for SCell</w:t>
      </w:r>
      <w:r>
        <w:tab/>
        <w:t>ASUSTeK</w:t>
      </w:r>
    </w:p>
    <w:p w14:paraId="489EF618" w14:textId="77777777" w:rsidR="00770180" w:rsidRDefault="00770180" w:rsidP="003C1DD3">
      <w:pPr>
        <w:pStyle w:val="a6"/>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a6"/>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lastRenderedPageBreak/>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3" w:name="_Hlk166698521"/>
      <w:r w:rsidRPr="004159B2">
        <w:rPr>
          <w:szCs w:val="20"/>
        </w:rPr>
        <w:t>No always-on SSB on the cell</w:t>
      </w:r>
      <w:bookmarkEnd w:id="3"/>
    </w:p>
    <w:p w14:paraId="13322164"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lastRenderedPageBreak/>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맑은 고딕"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AF03" w14:textId="77777777" w:rsidR="00745E71" w:rsidRDefault="00745E71" w:rsidP="00D55E99">
      <w:r>
        <w:separator/>
      </w:r>
    </w:p>
  </w:endnote>
  <w:endnote w:type="continuationSeparator" w:id="0">
    <w:p w14:paraId="53BB2D3A" w14:textId="77777777" w:rsidR="00745E71" w:rsidRDefault="00745E71"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FB98" w14:textId="77777777" w:rsidR="00745E71" w:rsidRDefault="00745E71" w:rsidP="00D55E99">
      <w:r>
        <w:separator/>
      </w:r>
    </w:p>
  </w:footnote>
  <w:footnote w:type="continuationSeparator" w:id="0">
    <w:p w14:paraId="776CEFEB" w14:textId="77777777" w:rsidR="00745E71" w:rsidRDefault="00745E71" w:rsidP="00D55E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4"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lvlOverride w:ilvl="0">
      <w:startOverride w:val="1"/>
    </w:lvlOverride>
  </w:num>
  <w:num w:numId="3">
    <w:abstractNumId w:val="26"/>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0"/>
  </w:num>
  <w:num w:numId="6">
    <w:abstractNumId w:val="3"/>
  </w:num>
  <w:num w:numId="7">
    <w:abstractNumId w:val="23"/>
  </w:num>
  <w:num w:numId="8">
    <w:abstractNumId w:val="34"/>
  </w:num>
  <w:num w:numId="9">
    <w:abstractNumId w:val="29"/>
  </w:num>
  <w:num w:numId="10">
    <w:abstractNumId w:val="6"/>
  </w:num>
  <w:num w:numId="11">
    <w:abstractNumId w:val="36"/>
  </w:num>
  <w:num w:numId="12">
    <w:abstractNumId w:val="9"/>
  </w:num>
  <w:num w:numId="13">
    <w:abstractNumId w:val="30"/>
  </w:num>
  <w:num w:numId="14">
    <w:abstractNumId w:val="2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5"/>
  </w:num>
  <w:num w:numId="18">
    <w:abstractNumId w:val="22"/>
  </w:num>
  <w:num w:numId="19">
    <w:abstractNumId w:val="19"/>
  </w:num>
  <w:num w:numId="20">
    <w:abstractNumId w:val="5"/>
  </w:num>
  <w:num w:numId="21">
    <w:abstractNumId w:val="32"/>
  </w:num>
  <w:num w:numId="22">
    <w:abstractNumId w:val="27"/>
  </w:num>
  <w:num w:numId="23">
    <w:abstractNumId w:val="21"/>
  </w:num>
  <w:num w:numId="24">
    <w:abstractNumId w:val="7"/>
  </w:num>
  <w:num w:numId="25">
    <w:abstractNumId w:val="2"/>
  </w:num>
  <w:num w:numId="26">
    <w:abstractNumId w:val="4"/>
  </w:num>
  <w:num w:numId="27">
    <w:abstractNumId w:val="31"/>
  </w:num>
  <w:num w:numId="28">
    <w:abstractNumId w:val="0"/>
  </w:num>
  <w:num w:numId="29">
    <w:abstractNumId w:val="25"/>
  </w:num>
  <w:num w:numId="30">
    <w:abstractNumId w:val="33"/>
  </w:num>
  <w:num w:numId="31">
    <w:abstractNumId w:val="10"/>
  </w:num>
  <w:num w:numId="32">
    <w:abstractNumId w:val="18"/>
  </w:num>
  <w:num w:numId="33">
    <w:abstractNumId w:val="12"/>
  </w:num>
  <w:num w:numId="34">
    <w:abstractNumId w:val="11"/>
  </w:num>
  <w:num w:numId="35">
    <w:abstractNumId w:val="16"/>
  </w:num>
  <w:num w:numId="36">
    <w:abstractNumId w:val="8"/>
  </w:num>
  <w:num w:numId="3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29E2"/>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2"/>
    <w:next w:val="a2"/>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Char"/>
    <w:uiPriority w:val="9"/>
    <w:qFormat/>
    <w:rsid w:val="000E09C4"/>
    <w:pPr>
      <w:numPr>
        <w:ilvl w:val="3"/>
      </w:numPr>
      <w:outlineLvl w:val="3"/>
    </w:pPr>
    <w:rPr>
      <w:i/>
    </w:rPr>
  </w:style>
  <w:style w:type="paragraph" w:styleId="5">
    <w:name w:val="heading 5"/>
    <w:aliases w:val="h5,Heading5"/>
    <w:basedOn w:val="4"/>
    <w:next w:val="a2"/>
    <w:link w:val="5Char"/>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1"/>
    <w:basedOn w:val="a3"/>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3"/>
    <w:link w:val="30"/>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uiPriority w:val="9"/>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ì¬º¥¹¥È¶ÎÂä,ÁÐ³ö¶ÎÂä,列表段落1,—ño’i—Ž,¥ê¥¹¥È¶ÎÂä,1st level - Bullet List Paragraph,Lettre d'introduction,Paragrafo elenco,Normal bullet 2,Bullet list,목록단락,列表段落11"/>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ì¬º¥¹¥È¶ÎÂä Char,ÁÐ³ö¶ÎÂä Char,列表段落1 Char,—ño’i—Ž Char,¥ê¥¹¥È¶ÎÂä Char,1st level - Bullet List Paragraph Char,Paragrafo elenco Char"/>
    <w:link w:val="a6"/>
    <w:uiPriority w:val="99"/>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7"/>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iPriority w:val="99"/>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10"/>
    <w:rsid w:val="001B40F2"/>
    <w:rPr>
      <w:rFonts w:ascii="Arial" w:hAnsi="Arial"/>
    </w:rPr>
  </w:style>
  <w:style w:type="paragraph" w:customStyle="1" w:styleId="510">
    <w:name w:val="标题 51"/>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4">
    <w:name w:val="未处理的提及1"/>
    <w:uiPriority w:val="99"/>
    <w:semiHidden/>
    <w:unhideWhenUsed/>
    <w:rsid w:val="001B40F2"/>
    <w:rPr>
      <w:color w:val="605E5C"/>
      <w:shd w:val="clear" w:color="auto" w:fill="E1DFDD"/>
    </w:rPr>
  </w:style>
  <w:style w:type="numbering" w:customStyle="1" w:styleId="15">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SimSun"/>
    </w:rPr>
  </w:style>
  <w:style w:type="character" w:styleId="aff0">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1">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6"/>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6">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2"/>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3">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ff4"/>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7"/>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8">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5">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5"/>
    <w:rsid w:val="00AD417C"/>
    <w:rPr>
      <w:rFonts w:ascii="Arial" w:eastAsia="MS Mincho" w:hAnsi="Arial" w:cs="Times New Roman"/>
      <w:b/>
      <w:kern w:val="0"/>
      <w:sz w:val="24"/>
      <w:szCs w:val="20"/>
      <w:lang w:val="de-DE" w:eastAsia="ja-JP"/>
    </w:rPr>
  </w:style>
  <w:style w:type="paragraph" w:customStyle="1" w:styleId="TableText0">
    <w:name w:val="TableText"/>
    <w:basedOn w:val="aff4"/>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4">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4"/>
    <w:uiPriority w:val="99"/>
    <w:semiHidden/>
    <w:rsid w:val="00AD417C"/>
    <w:rPr>
      <w:rFonts w:ascii="Times" w:eastAsia="바탕" w:hAnsi="Times" w:cs="Times New Roman"/>
      <w:kern w:val="0"/>
      <w:szCs w:val="24"/>
      <w:lang w:val="en-GB" w:eastAsia="en-US"/>
    </w:rPr>
  </w:style>
  <w:style w:type="paragraph" w:styleId="28">
    <w:name w:val="Body Text First Indent 2"/>
    <w:basedOn w:val="aff4"/>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8"/>
    <w:rsid w:val="00AD417C"/>
    <w:rPr>
      <w:rFonts w:ascii="Times New Roman" w:eastAsia="MS Mincho" w:hAnsi="Times New Roman" w:cs="Times New Roman"/>
      <w:kern w:val="0"/>
      <w:szCs w:val="20"/>
      <w:lang w:val="en-GB" w:eastAsia="en-US"/>
    </w:rPr>
  </w:style>
  <w:style w:type="character" w:styleId="a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9">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sid w:val="00AD417C"/>
    <w:rPr>
      <w:rFonts w:ascii="Times New Roman" w:eastAsia="SimSun" w:hAnsi="Times New Roman" w:cs="SimSun"/>
      <w:sz w:val="21"/>
      <w:szCs w:val="20"/>
      <w:lang w:eastAsia="zh-CN"/>
    </w:rPr>
  </w:style>
  <w:style w:type="paragraph" w:customStyle="1" w:styleId="a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c">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2"/>
    <w:link w:val="a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d">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e">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a"/>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표 테마1"/>
    <w:basedOn w:val="a4"/>
    <w:next w:val="a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b"/>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c"/>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e">
    <w:name w:val="표 꾸밈형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
    <w:name w:val="table of figures"/>
    <w:basedOn w:val="ac"/>
    <w:next w:val="a2"/>
    <w:uiPriority w:val="99"/>
    <w:rsid w:val="00E7334C"/>
    <w:pPr>
      <w:ind w:left="1701" w:hanging="1701"/>
      <w:jc w:val="left"/>
    </w:pPr>
    <w:rPr>
      <w:b/>
    </w:rPr>
  </w:style>
  <w:style w:type="table" w:customStyle="1" w:styleId="2f0">
    <w:name w:val="网格型2"/>
    <w:basedOn w:val="a4"/>
    <w:next w:val="af1"/>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
    <w:name w:val="Unresolved Mention"/>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B8F5-BADF-4C08-840F-403DD56D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16714</Words>
  <Characters>95274</Characters>
  <Application>Microsoft Office Word</Application>
  <DocSecurity>0</DocSecurity>
  <Lines>793</Lines>
  <Paragraphs>223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Ahn Seung Jin/5G Wireless Connect Standard Task(seungjin.ahn@lge.com)</cp:lastModifiedBy>
  <cp:revision>7</cp:revision>
  <dcterms:created xsi:type="dcterms:W3CDTF">2024-05-20T02:59:00Z</dcterms:created>
  <dcterms:modified xsi:type="dcterms:W3CDTF">2024-05-20T03:29:00Z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