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ＭＳ 明朝" w:hAnsi="Arial" w:cs="Arial"/>
          <w:b/>
          <w:bCs/>
          <w:sz w:val="28"/>
          <w:lang w:eastAsia="ja-JP"/>
        </w:rPr>
      </w:pPr>
      <w:r w:rsidRPr="00583995">
        <w:rPr>
          <w:rFonts w:ascii="Arial" w:eastAsia="ＭＳ 明朝"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ＭＳ 明朝"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ＭＳ 明朝" w:hAnsi="Arial" w:cs="Arial"/>
          <w:b/>
          <w:bCs/>
          <w:sz w:val="28"/>
          <w:lang w:eastAsia="ja-JP"/>
        </w:rPr>
        <w:t xml:space="preserve">, </w:t>
      </w:r>
      <w:r w:rsidR="001E40E2" w:rsidRPr="001E40E2">
        <w:rPr>
          <w:rFonts w:ascii="Arial" w:eastAsia="ＭＳ 明朝"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07E6ABFC"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0EE11BEF"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1E96067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29F38F64"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lastRenderedPageBreak/>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lastRenderedPageBreak/>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lastRenderedPageBreak/>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A6665D">
        <w:tc>
          <w:tcPr>
            <w:tcW w:w="1668"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A6665D">
        <w:tc>
          <w:tcPr>
            <w:tcW w:w="1668"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8171"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A6665D">
        <w:tc>
          <w:tcPr>
            <w:tcW w:w="1668"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ＭＳ 明朝" w:hint="eastAsia"/>
                <w:lang w:eastAsia="ja-JP"/>
              </w:rPr>
            </w:pPr>
            <w:r>
              <w:rPr>
                <w:rFonts w:eastAsia="ＭＳ 明朝" w:hint="eastAsia"/>
                <w:lang w:eastAsia="ja-JP"/>
              </w:rPr>
              <w:t>D</w:t>
            </w:r>
            <w:r>
              <w:rPr>
                <w:rFonts w:eastAsia="ＭＳ 明朝"/>
                <w:lang w:eastAsia="ja-JP"/>
              </w:rPr>
              <w:t>CM</w:t>
            </w:r>
          </w:p>
        </w:tc>
        <w:tc>
          <w:tcPr>
            <w:tcW w:w="8171"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ＭＳ 明朝" w:hint="eastAsia"/>
                <w:iCs/>
                <w:lang w:val="en-US" w:eastAsia="ja-JP"/>
              </w:rPr>
            </w:pPr>
            <w:r>
              <w:rPr>
                <w:rFonts w:eastAsia="ＭＳ 明朝" w:hint="eastAsia"/>
                <w:iCs/>
                <w:lang w:val="en-US" w:eastAsia="ja-JP"/>
              </w:rPr>
              <w:t>O</w:t>
            </w:r>
            <w:r>
              <w:rPr>
                <w:rFonts w:eastAsia="ＭＳ 明朝"/>
                <w:iCs/>
                <w:lang w:val="en-US" w:eastAsia="ja-JP"/>
              </w:rPr>
              <w:t>K</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a6"/>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lastRenderedPageBreak/>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 xml:space="preserve">From our understanding, there is no limitation on </w:t>
            </w:r>
            <w:proofErr w:type="spellStart"/>
            <w:r w:rsidR="00C56A6B">
              <w:rPr>
                <w:rFonts w:eastAsia="SimSun"/>
                <w:iCs/>
                <w:lang w:val="en-US" w:eastAsia="zh-CN"/>
              </w:rPr>
              <w:t>SCell</w:t>
            </w:r>
            <w:proofErr w:type="spellEnd"/>
            <w:r w:rsidR="00C56A6B">
              <w:rPr>
                <w:rFonts w:eastAsia="SimSun"/>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ＭＳ 明朝" w:hint="eastAsia"/>
                <w:lang w:eastAsia="ja-JP"/>
              </w:rPr>
              <w:t>D</w:t>
            </w:r>
            <w:r>
              <w:rPr>
                <w:rFonts w:eastAsia="ＭＳ 明朝"/>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617847BE" w:rsidR="00A337D2" w:rsidRPr="00686244" w:rsidRDefault="00A337D2" w:rsidP="00D00D41">
            <w:pPr>
              <w:jc w:val="both"/>
              <w:rPr>
                <w:iCs/>
                <w:lang w:val="en-US" w:eastAsia="ko-KR"/>
              </w:rPr>
            </w:pPr>
            <w:r>
              <w:rPr>
                <w:rFonts w:eastAsia="ＭＳ 明朝"/>
                <w:iCs/>
                <w:lang w:val="en-US" w:eastAsia="ja-JP"/>
              </w:rPr>
              <w:t xml:space="preserve">Which case#1 or case#2 to be applied should be up to NW implementation </w:t>
            </w:r>
            <w:r w:rsidR="00D00D41">
              <w:rPr>
                <w:rFonts w:eastAsia="ＭＳ 明朝"/>
                <w:iCs/>
                <w:lang w:val="en-US" w:eastAsia="ja-JP"/>
              </w:rPr>
              <w:t>considering deployment</w:t>
            </w:r>
            <w:r w:rsidR="007A47F0">
              <w:rPr>
                <w:rFonts w:eastAsia="ＭＳ 明朝"/>
                <w:iCs/>
                <w:lang w:val="en-US" w:eastAsia="ja-JP"/>
              </w:rPr>
              <w:t>, required NES, c</w:t>
            </w:r>
            <w:r w:rsidR="00D00D41">
              <w:rPr>
                <w:rFonts w:eastAsia="ＭＳ 明朝"/>
                <w:iCs/>
                <w:lang w:val="en-US" w:eastAsia="ja-JP"/>
              </w:rPr>
              <w:t>omplexity of on-demand SSB operation</w:t>
            </w:r>
            <w:r w:rsidR="007A47F0">
              <w:rPr>
                <w:rFonts w:eastAsia="ＭＳ 明朝"/>
                <w:iCs/>
                <w:lang w:val="en-US" w:eastAsia="ja-JP"/>
              </w:rPr>
              <w:t xml:space="preserve"> and so on</w:t>
            </w:r>
            <w:r w:rsidR="00D00D41">
              <w:rPr>
                <w:rFonts w:eastAsia="ＭＳ 明朝"/>
                <w:iCs/>
                <w:lang w:val="en-US" w:eastAsia="ja-JP"/>
              </w:rPr>
              <w:t xml:space="preserve">, </w:t>
            </w:r>
            <w:r w:rsidR="007A47F0">
              <w:rPr>
                <w:rFonts w:eastAsia="ＭＳ 明朝"/>
                <w:iCs/>
                <w:lang w:val="en-US" w:eastAsia="ja-JP"/>
              </w:rPr>
              <w:t xml:space="preserve">thus </w:t>
            </w:r>
            <w:r>
              <w:rPr>
                <w:rFonts w:eastAsia="ＭＳ 明朝"/>
                <w:iCs/>
                <w:lang w:val="en-US" w:eastAsia="ja-JP"/>
              </w:rPr>
              <w:t>there should no restriction</w:t>
            </w:r>
            <w:r w:rsidR="00D00D41">
              <w:rPr>
                <w:rFonts w:eastAsia="ＭＳ 明朝"/>
                <w:iCs/>
                <w:lang w:val="en-US" w:eastAsia="ja-JP"/>
              </w:rPr>
              <w:t xml:space="preserve"> in </w:t>
            </w:r>
            <w:proofErr w:type="gramStart"/>
            <w:r w:rsidR="00D00D41">
              <w:rPr>
                <w:rFonts w:eastAsia="ＭＳ 明朝"/>
                <w:iCs/>
                <w:lang w:val="en-US" w:eastAsia="ja-JP"/>
              </w:rPr>
              <w:t>spec.</w:t>
            </w:r>
            <w:r>
              <w:rPr>
                <w:rFonts w:eastAsia="ＭＳ 明朝"/>
                <w:iCs/>
                <w:lang w:val="en-US" w:eastAsia="ja-JP"/>
              </w:rPr>
              <w:t>.</w:t>
            </w:r>
            <w:proofErr w:type="gramEnd"/>
            <w:r>
              <w:rPr>
                <w:iCs/>
                <w:lang w:val="en-US" w:eastAsia="ko-KR"/>
              </w:rPr>
              <w:t xml:space="preserve"> </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lastRenderedPageBreak/>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a6"/>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a6"/>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a6"/>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lastRenderedPageBreak/>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lastRenderedPageBreak/>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ＭＳ 明朝" w:hint="eastAsia"/>
                <w:lang w:eastAsia="ja-JP"/>
              </w:rPr>
            </w:pPr>
            <w:r>
              <w:rPr>
                <w:rFonts w:eastAsia="ＭＳ 明朝" w:hint="eastAsia"/>
                <w:lang w:eastAsia="ja-JP"/>
              </w:rPr>
              <w:t>D</w:t>
            </w:r>
            <w:r>
              <w:rPr>
                <w:rFonts w:eastAsia="ＭＳ 明朝"/>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ＭＳ 明朝" w:hint="eastAsia"/>
                <w:iCs/>
                <w:lang w:val="en-US" w:eastAsia="ja-JP"/>
              </w:rPr>
            </w:pPr>
            <w:r>
              <w:rPr>
                <w:rFonts w:eastAsia="ＭＳ 明朝" w:hint="eastAsia"/>
                <w:iCs/>
                <w:lang w:val="en-US" w:eastAsia="ja-JP"/>
              </w:rPr>
              <w:t>S</w:t>
            </w:r>
            <w:r>
              <w:rPr>
                <w:rFonts w:eastAsia="ＭＳ 明朝"/>
                <w:iCs/>
                <w:lang w:val="en-US" w:eastAsia="ja-JP"/>
              </w:rPr>
              <w:t>upport</w:t>
            </w: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lastRenderedPageBreak/>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ＭＳ 明朝" w:hint="eastAsia"/>
                <w:lang w:eastAsia="ja-JP"/>
              </w:rPr>
            </w:pPr>
            <w:r>
              <w:rPr>
                <w:rFonts w:eastAsia="ＭＳ 明朝" w:hint="eastAsia"/>
                <w:lang w:eastAsia="ja-JP"/>
              </w:rPr>
              <w:t>D</w:t>
            </w:r>
            <w:r>
              <w:rPr>
                <w:rFonts w:eastAsia="ＭＳ 明朝"/>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hint="eastAsia"/>
                <w:iCs/>
                <w:lang w:val="en-US" w:eastAsia="zh-CN"/>
              </w:rPr>
            </w:pPr>
            <w:r>
              <w:rPr>
                <w:rFonts w:eastAsia="ＭＳ 明朝" w:hint="eastAsia"/>
                <w:iCs/>
                <w:lang w:val="en-US" w:eastAsia="ja-JP"/>
              </w:rPr>
              <w:t>G</w:t>
            </w:r>
            <w:r>
              <w:rPr>
                <w:rFonts w:eastAsia="ＭＳ 明朝"/>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lastRenderedPageBreak/>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lastRenderedPageBreak/>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lastRenderedPageBreak/>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lastRenderedPageBreak/>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lastRenderedPageBreak/>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lastRenderedPageBreak/>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lastRenderedPageBreak/>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bl>
    <w:p w14:paraId="6CF15AEC" w14:textId="77777777" w:rsidR="00FD15B3"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lastRenderedPageBreak/>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lastRenderedPageBreak/>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lastRenderedPageBreak/>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lastRenderedPageBreak/>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lastRenderedPageBreak/>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a6"/>
        <w:numPr>
          <w:ilvl w:val="0"/>
          <w:numId w:val="2"/>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20549978" w14:textId="77777777" w:rsidR="00770180" w:rsidRDefault="00770180" w:rsidP="00AF1849">
      <w:pPr>
        <w:pStyle w:val="a6"/>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a6"/>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a6"/>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a6"/>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a6"/>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a6"/>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a6"/>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a6"/>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a6"/>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a6"/>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a6"/>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a6"/>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a6"/>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a6"/>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a6"/>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a6"/>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a6"/>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a6"/>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a6"/>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a6"/>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a6"/>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a6"/>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a6"/>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a6"/>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a6"/>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a6"/>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a6"/>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a6"/>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a6"/>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a6"/>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a6"/>
        <w:numPr>
          <w:ilvl w:val="0"/>
          <w:numId w:val="2"/>
        </w:numPr>
        <w:ind w:leftChars="0"/>
      </w:pPr>
      <w:r>
        <w:t>R1-2405126</w:t>
      </w:r>
      <w:r>
        <w:tab/>
        <w:t xml:space="preserve">Discussion of On-demand SSB </w:t>
      </w:r>
      <w:proofErr w:type="spellStart"/>
      <w:r>
        <w:t>SCell</w:t>
      </w:r>
      <w:proofErr w:type="spellEnd"/>
      <w:r>
        <w:t xml:space="preserve"> operation</w:t>
      </w:r>
      <w:r>
        <w:tab/>
      </w:r>
      <w:proofErr w:type="spellStart"/>
      <w:r>
        <w:t>Mavenir</w:t>
      </w:r>
      <w:proofErr w:type="spellEnd"/>
    </w:p>
    <w:p w14:paraId="7EC08B61" w14:textId="77777777" w:rsidR="00770180" w:rsidRDefault="00770180" w:rsidP="009F090A">
      <w:pPr>
        <w:pStyle w:val="a6"/>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a6"/>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a6"/>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a6"/>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a6"/>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lastRenderedPageBreak/>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2" w:name="_Hlk166698521"/>
      <w:r w:rsidRPr="004159B2">
        <w:rPr>
          <w:szCs w:val="20"/>
        </w:rPr>
        <w:t>No always-on SSB on the cell</w:t>
      </w:r>
      <w:bookmarkEnd w:id="2"/>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F682" w14:textId="77777777" w:rsidR="00D7388F" w:rsidRDefault="00D7388F" w:rsidP="00D55E99">
      <w:r>
        <w:separator/>
      </w:r>
    </w:p>
  </w:endnote>
  <w:endnote w:type="continuationSeparator" w:id="0">
    <w:p w14:paraId="4696D8D6" w14:textId="77777777" w:rsidR="00D7388F" w:rsidRDefault="00D7388F"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B5B6" w14:textId="77777777" w:rsidR="00D7388F" w:rsidRDefault="00D7388F" w:rsidP="00D55E99">
      <w:r>
        <w:separator/>
      </w:r>
    </w:p>
  </w:footnote>
  <w:footnote w:type="continuationSeparator" w:id="0">
    <w:p w14:paraId="56E4C87D" w14:textId="77777777" w:rsidR="00D7388F" w:rsidRDefault="00D7388F"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4"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2620079">
    <w:abstractNumId w:val="17"/>
  </w:num>
  <w:num w:numId="2" w16cid:durableId="2045400207">
    <w:abstractNumId w:val="13"/>
    <w:lvlOverride w:ilvl="0">
      <w:startOverride w:val="1"/>
    </w:lvlOverride>
  </w:num>
  <w:num w:numId="3" w16cid:durableId="1074549032">
    <w:abstractNumId w:val="26"/>
  </w:num>
  <w:num w:numId="4" w16cid:durableId="76323287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472558088">
    <w:abstractNumId w:val="20"/>
  </w:num>
  <w:num w:numId="6" w16cid:durableId="1254701308">
    <w:abstractNumId w:val="3"/>
  </w:num>
  <w:num w:numId="7" w16cid:durableId="920528587">
    <w:abstractNumId w:val="23"/>
  </w:num>
  <w:num w:numId="8" w16cid:durableId="1894349902">
    <w:abstractNumId w:val="34"/>
  </w:num>
  <w:num w:numId="9" w16cid:durableId="1019430529">
    <w:abstractNumId w:val="29"/>
  </w:num>
  <w:num w:numId="10" w16cid:durableId="630063264">
    <w:abstractNumId w:val="6"/>
  </w:num>
  <w:num w:numId="11" w16cid:durableId="1838032217">
    <w:abstractNumId w:val="36"/>
  </w:num>
  <w:num w:numId="12" w16cid:durableId="25954628">
    <w:abstractNumId w:val="9"/>
  </w:num>
  <w:num w:numId="13" w16cid:durableId="243414113">
    <w:abstractNumId w:val="30"/>
  </w:num>
  <w:num w:numId="14" w16cid:durableId="618101886">
    <w:abstractNumId w:val="28"/>
  </w:num>
  <w:num w:numId="15" w16cid:durableId="354575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447380">
    <w:abstractNumId w:val="15"/>
  </w:num>
  <w:num w:numId="17" w16cid:durableId="503206819">
    <w:abstractNumId w:val="35"/>
  </w:num>
  <w:num w:numId="18" w16cid:durableId="98113134">
    <w:abstractNumId w:val="22"/>
  </w:num>
  <w:num w:numId="19" w16cid:durableId="541865368">
    <w:abstractNumId w:val="19"/>
  </w:num>
  <w:num w:numId="20" w16cid:durableId="478309049">
    <w:abstractNumId w:val="5"/>
  </w:num>
  <w:num w:numId="21" w16cid:durableId="892351595">
    <w:abstractNumId w:val="32"/>
  </w:num>
  <w:num w:numId="22" w16cid:durableId="820538101">
    <w:abstractNumId w:val="27"/>
  </w:num>
  <w:num w:numId="23" w16cid:durableId="136799685">
    <w:abstractNumId w:val="21"/>
  </w:num>
  <w:num w:numId="24" w16cid:durableId="1268925449">
    <w:abstractNumId w:val="7"/>
  </w:num>
  <w:num w:numId="25" w16cid:durableId="215510197">
    <w:abstractNumId w:val="2"/>
  </w:num>
  <w:num w:numId="26" w16cid:durableId="979115736">
    <w:abstractNumId w:val="4"/>
  </w:num>
  <w:num w:numId="27" w16cid:durableId="1493646216">
    <w:abstractNumId w:val="31"/>
  </w:num>
  <w:num w:numId="28" w16cid:durableId="1418790203">
    <w:abstractNumId w:val="0"/>
  </w:num>
  <w:num w:numId="29" w16cid:durableId="1375959448">
    <w:abstractNumId w:val="25"/>
  </w:num>
  <w:num w:numId="30" w16cid:durableId="1057972761">
    <w:abstractNumId w:val="33"/>
  </w:num>
  <w:num w:numId="31" w16cid:durableId="1074820401">
    <w:abstractNumId w:val="10"/>
  </w:num>
  <w:num w:numId="32" w16cid:durableId="631330948">
    <w:abstractNumId w:val="18"/>
  </w:num>
  <w:num w:numId="33" w16cid:durableId="54597132">
    <w:abstractNumId w:val="12"/>
  </w:num>
  <w:num w:numId="34" w16cid:durableId="8258671">
    <w:abstractNumId w:val="11"/>
  </w:num>
  <w:num w:numId="35" w16cid:durableId="1172453586">
    <w:abstractNumId w:val="16"/>
  </w:num>
  <w:num w:numId="36" w16cid:durableId="38013503">
    <w:abstractNumId w:val="8"/>
  </w:num>
  <w:num w:numId="37" w16cid:durableId="2058506009">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3"/>
    <w:link w:val="30"/>
    <w:rsid w:val="000E09C4"/>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uiPriority w:val="9"/>
    <w:rsid w:val="000E09C4"/>
    <w:rPr>
      <w:rFonts w:ascii="Arial" w:eastAsia="Batang" w:hAnsi="Arial" w:cs="Times New Roman"/>
      <w:b/>
      <w:bCs/>
      <w:i/>
      <w:kern w:val="0"/>
      <w:szCs w:val="26"/>
      <w:lang w:val="en-GB" w:eastAsia="x-none"/>
    </w:rPr>
  </w:style>
  <w:style w:type="character" w:customStyle="1" w:styleId="50">
    <w:name w:val="見出し 5 (文字)"/>
    <w:aliases w:val="h5 (文字),Heading5 (文字)"/>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見出し 6 (文字)"/>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見出し 7 (文字)"/>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見出し 8 (文字)"/>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見出し 9 (文字)"/>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ì¬º¥¹¥È¶ÎÂä,ÁÐ³ö¶ÎÂä,列表段落1,—ño’i—Ž,¥ê¥¹¥È¶ÎÂä,1st level - Bullet List Paragraph,Lettre d'introduction,Paragrafo elenco,Normal bullet 2,Bullet list,목록단락,列表段落11"/>
    <w:basedOn w:val="a2"/>
    <w:link w:val="a7"/>
    <w:uiPriority w:val="34"/>
    <w:qFormat/>
    <w:rsid w:val="000E09C4"/>
    <w:pPr>
      <w:ind w:leftChars="400" w:left="840"/>
    </w:pPr>
    <w:rPr>
      <w:lang w:eastAsia="x-none"/>
    </w:rPr>
  </w:style>
  <w:style w:type="character" w:customStyle="1" w:styleId="a7">
    <w:name w:val="リスト段落 (文字)"/>
    <w:aliases w:val="- Bullets (文字),?? ?? (文字),????? (文字),???? (文字),Lista1 (文字),列出段落1 (文字),中等深浅网格 1 - 着色 21 (文字),列出段落 (文字),¥¡¡¡¡ì¬º¥¹¥È¶ÎÂä (文字),ÁÐ³ö¶ÎÂä (文字),列表段落1 (文字),—ño’i—Ž (文字),¥ê¥¹¥È¶ÎÂä (文字),1st level - Bullet List Paragraph (文字),Paragrafo elenco (文字)"/>
    <w:link w:val="a6"/>
    <w:uiPriority w:val="99"/>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1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11">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8"/>
    <w:qFormat/>
    <w:rsid w:val="00F436EA"/>
    <w:rPr>
      <w:rFonts w:ascii="Times New Roman" w:eastAsia="SimSun"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フッター (文字)"/>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吹き出し (文字)"/>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コメント文字列 (文字)"/>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コメント内容 (文字)"/>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ＭＳ ゴシック" w:hAnsi="Arial"/>
      <w:color w:val="000000"/>
      <w:szCs w:val="20"/>
      <w:lang w:val="x-none" w:eastAsia="x-none"/>
    </w:rPr>
  </w:style>
  <w:style w:type="character" w:customStyle="1" w:styleId="afc">
    <w:name w:val="書式なし (文字)"/>
    <w:basedOn w:val="a3"/>
    <w:link w:val="afb"/>
    <w:uiPriority w:val="99"/>
    <w:rsid w:val="001B40F2"/>
    <w:rPr>
      <w:rFonts w:ascii="Arial" w:eastAsia="ＭＳ ゴシック"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見出しマップ (文字)"/>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Web">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f2">
    <w:name w:val="Date"/>
    <w:basedOn w:val="a2"/>
    <w:next w:val="a2"/>
    <w:link w:val="aff3"/>
    <w:uiPriority w:val="99"/>
    <w:rsid w:val="001B40F2"/>
    <w:rPr>
      <w:lang w:eastAsia="x-none"/>
    </w:rPr>
  </w:style>
  <w:style w:type="character" w:customStyle="1" w:styleId="aff3">
    <w:name w:val="日付 (文字)"/>
    <w:basedOn w:val="a3"/>
    <w:link w:val="aff2"/>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ＭＳ 明朝"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ＭＳ 明朝"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3"/>
    <w:link w:val="B2Char"/>
    <w:qFormat/>
    <w:rsid w:val="001B40F2"/>
    <w:pPr>
      <w:spacing w:after="180"/>
      <w:ind w:left="851" w:hanging="284"/>
    </w:pPr>
    <w:rPr>
      <w:rFonts w:ascii="Times New Roman" w:eastAsia="ＭＳ 明朝" w:hAnsi="Times New Roman"/>
      <w:szCs w:val="20"/>
    </w:rPr>
  </w:style>
  <w:style w:type="character" w:customStyle="1" w:styleId="B10">
    <w:name w:val="B1 (文字)"/>
    <w:link w:val="B1"/>
    <w:qFormat/>
    <w:rsid w:val="001B40F2"/>
    <w:rPr>
      <w:rFonts w:ascii="Times New Roman" w:eastAsia="ＭＳ 明朝" w:hAnsi="Times New Roman" w:cs="Times New Roman"/>
      <w:kern w:val="0"/>
      <w:szCs w:val="20"/>
      <w:lang w:val="en-GB" w:eastAsia="en-US"/>
    </w:rPr>
  </w:style>
  <w:style w:type="character" w:customStyle="1" w:styleId="B2Char">
    <w:name w:val="B2 Char"/>
    <w:link w:val="B2"/>
    <w:qFormat/>
    <w:rsid w:val="001B40F2"/>
    <w:rPr>
      <w:rFonts w:ascii="Times New Roman" w:eastAsia="ＭＳ 明朝"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ＭＳ 明朝" w:hAnsi="Times New Roman"/>
      <w:sz w:val="24"/>
      <w:lang w:eastAsia="ja-JP"/>
    </w:rPr>
  </w:style>
  <w:style w:type="paragraph" w:styleId="61">
    <w:name w:val="toc 6"/>
    <w:basedOn w:val="a2"/>
    <w:next w:val="a2"/>
    <w:autoRedefine/>
    <w:uiPriority w:val="39"/>
    <w:rsid w:val="001B40F2"/>
    <w:pPr>
      <w:ind w:left="1200"/>
    </w:pPr>
    <w:rPr>
      <w:rFonts w:ascii="Times New Roman" w:eastAsia="ＭＳ 明朝" w:hAnsi="Times New Roman"/>
      <w:sz w:val="24"/>
      <w:lang w:eastAsia="ja-JP"/>
    </w:rPr>
  </w:style>
  <w:style w:type="paragraph" w:styleId="71">
    <w:name w:val="toc 7"/>
    <w:basedOn w:val="a2"/>
    <w:next w:val="a2"/>
    <w:autoRedefine/>
    <w:uiPriority w:val="39"/>
    <w:rsid w:val="001B40F2"/>
    <w:rPr>
      <w:rFonts w:ascii="Times New Roman" w:eastAsia="ＭＳ 明朝" w:hAnsi="Times New Roman"/>
      <w:sz w:val="24"/>
      <w:lang w:eastAsia="ja-JP"/>
    </w:rPr>
  </w:style>
  <w:style w:type="paragraph" w:styleId="81">
    <w:name w:val="toc 8"/>
    <w:basedOn w:val="a2"/>
    <w:next w:val="a2"/>
    <w:autoRedefine/>
    <w:uiPriority w:val="39"/>
    <w:rsid w:val="001B40F2"/>
    <w:pPr>
      <w:ind w:left="1680"/>
    </w:pPr>
    <w:rPr>
      <w:rFonts w:ascii="Times New Roman" w:eastAsia="ＭＳ 明朝" w:hAnsi="Times New Roman"/>
      <w:sz w:val="24"/>
      <w:lang w:eastAsia="ja-JP"/>
    </w:rPr>
  </w:style>
  <w:style w:type="paragraph" w:styleId="91">
    <w:name w:val="toc 9"/>
    <w:basedOn w:val="a2"/>
    <w:next w:val="a2"/>
    <w:autoRedefine/>
    <w:uiPriority w:val="39"/>
    <w:rsid w:val="001B40F2"/>
    <w:pPr>
      <w:ind w:left="1920"/>
    </w:pPr>
    <w:rPr>
      <w:rFonts w:ascii="Times New Roman" w:eastAsia="ＭＳ 明朝"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ＭＳ 明朝"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4">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ＭＳ 明朝" w:hAnsi="Arial"/>
      <w:i/>
      <w:sz w:val="18"/>
      <w:lang w:eastAsia="en-GB"/>
    </w:rPr>
  </w:style>
  <w:style w:type="character" w:customStyle="1" w:styleId="CommentsChar">
    <w:name w:val="Comments Char"/>
    <w:link w:val="Comments"/>
    <w:rsid w:val="001B40F2"/>
    <w:rPr>
      <w:rFonts w:ascii="Arial" w:eastAsia="ＭＳ 明朝"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5">
    <w:name w:val="Strong"/>
    <w:uiPriority w:val="22"/>
    <w:qFormat/>
    <w:rsid w:val="001B40F2"/>
    <w:rPr>
      <w:b/>
      <w:bCs/>
    </w:rPr>
  </w:style>
  <w:style w:type="character" w:customStyle="1" w:styleId="TALChar">
    <w:name w:val="TAL Char"/>
    <w:link w:val="TAL"/>
    <w:qFormat/>
    <w:locked/>
    <w:rsid w:val="001B40F2"/>
    <w:rPr>
      <w:rFonts w:ascii="Arial" w:eastAsia="ＭＳ 明朝"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ＭＳ 明朝" w:hAnsi="Arial"/>
      <w:lang w:eastAsia="en-GB"/>
    </w:rPr>
  </w:style>
  <w:style w:type="character" w:customStyle="1" w:styleId="Doc-text2Char">
    <w:name w:val="Doc-text2 Char"/>
    <w:link w:val="Doc-text2"/>
    <w:rsid w:val="001B40F2"/>
    <w:rPr>
      <w:rFonts w:ascii="Arial" w:eastAsia="ＭＳ 明朝"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6">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rsid w:val="001B40F2"/>
    <w:pPr>
      <w:tabs>
        <w:tab w:val="num" w:pos="1152"/>
      </w:tabs>
    </w:pPr>
    <w:rPr>
      <w:rFonts w:eastAsia="ＭＳ Ｐゴシック" w:cs="Times"/>
      <w:szCs w:val="20"/>
      <w:lang w:val="en-US" w:eastAsia="ja-JP"/>
    </w:rPr>
  </w:style>
  <w:style w:type="paragraph" w:customStyle="1" w:styleId="710">
    <w:name w:val="标题 71"/>
    <w:basedOn w:val="a2"/>
    <w:rsid w:val="001B40F2"/>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ＭＳ Ｐゴシック"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7">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ＭＳ Ｐゴシック"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ＭＳ 明朝"/>
      <w:bCs w:val="0"/>
      <w:iCs/>
      <w:color w:val="000000"/>
    </w:rPr>
  </w:style>
  <w:style w:type="character" w:customStyle="1" w:styleId="130">
    <w:name w:val="表 (青) 13 (文字)"/>
    <w:link w:val="131"/>
    <w:uiPriority w:val="34"/>
    <w:locked/>
    <w:rsid w:val="001B40F2"/>
    <w:rPr>
      <w:rFonts w:eastAsia="ＭＳ ゴシック"/>
      <w:sz w:val="24"/>
      <w:szCs w:val="24"/>
      <w:lang w:val="en-GB" w:eastAsia="en-US"/>
    </w:rPr>
  </w:style>
  <w:style w:type="table" w:styleId="131">
    <w:name w:val="Colorful List Accent 1"/>
    <w:basedOn w:val="a4"/>
    <w:link w:val="130"/>
    <w:uiPriority w:val="34"/>
    <w:rsid w:val="001B40F2"/>
    <w:pPr>
      <w:spacing w:after="0" w:line="240" w:lineRule="auto"/>
      <w:jc w:val="left"/>
    </w:pPr>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8">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本文 2 (文字)"/>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ＭＳ ゴシック"/>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a">
    <w:name w:val="Subtitle"/>
    <w:basedOn w:val="a2"/>
    <w:next w:val="a2"/>
    <w:link w:val="affb"/>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affb">
    <w:name w:val="副題 (文字)"/>
    <w:basedOn w:val="a3"/>
    <w:link w:val="affa"/>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ＭＳ 明朝"/>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rsid w:val="001B40F2"/>
    <w:pPr>
      <w:tabs>
        <w:tab w:val="left" w:pos="1152"/>
      </w:tabs>
    </w:pPr>
    <w:rPr>
      <w:rFonts w:eastAsia="ＭＳ Ｐゴシック" w:cs="Times"/>
      <w:szCs w:val="20"/>
      <w:lang w:val="en-US" w:eastAsia="ja-JP"/>
    </w:rPr>
  </w:style>
  <w:style w:type="paragraph" w:customStyle="1" w:styleId="72">
    <w:name w:val="标题 72"/>
    <w:basedOn w:val="a2"/>
    <w:rsid w:val="001B40F2"/>
    <w:pPr>
      <w:tabs>
        <w:tab w:val="left" w:pos="1296"/>
      </w:tabs>
    </w:pPr>
    <w:rPr>
      <w:rFonts w:eastAsia="ＭＳ Ｐゴシック"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SimSun"/>
    </w:rPr>
  </w:style>
  <w:style w:type="character" w:styleId="affc">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5">
    <w:name w:val="List Bullet 3"/>
    <w:basedOn w:val="28"/>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d">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a">
    <w:name w:val="本文インデント 2 (文字)"/>
    <w:basedOn w:val="a3"/>
    <w:link w:val="29"/>
    <w:rsid w:val="00AD417C"/>
    <w:rPr>
      <w:rFonts w:ascii="Times New Roman" w:eastAsia="SimSun"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7">
    <w:name w:val="本文インデント 3 (文字)"/>
    <w:basedOn w:val="a3"/>
    <w:link w:val="36"/>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ＭＳ 明朝"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ＭＳ 明朝"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一覧 (文字)"/>
    <w:link w:val="ae"/>
    <w:rsid w:val="00AD417C"/>
    <w:rPr>
      <w:rFonts w:ascii="Times" w:eastAsia="Batang" w:hAnsi="Times" w:cs="Times New Roman"/>
      <w:kern w:val="0"/>
      <w:szCs w:val="24"/>
      <w:lang w:val="en-GB" w:eastAsia="en-US"/>
    </w:rPr>
  </w:style>
  <w:style w:type="character" w:customStyle="1" w:styleId="24">
    <w:name w:val="一覧 2 (文字)"/>
    <w:link w:val="23"/>
    <w:rsid w:val="00AD417C"/>
    <w:rPr>
      <w:rFonts w:ascii="Times" w:eastAsia="Batang" w:hAnsi="Times" w:cs="Times New Roman"/>
      <w:kern w:val="0"/>
      <w:szCs w:val="24"/>
      <w:lang w:val="en-GB" w:eastAsia="en-US"/>
    </w:rPr>
  </w:style>
  <w:style w:type="character" w:customStyle="1" w:styleId="34">
    <w:name w:val="一覧 3 (文字)"/>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ＭＳ 明朝"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affe">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フォームの終わり (文字)"/>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ＭＳ 明朝"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character" w:customStyle="1" w:styleId="afff3">
    <w:name w:val="表題 (文字)"/>
    <w:aliases w:val="Heading 31 (文字)"/>
    <w:basedOn w:val="a3"/>
    <w:link w:val="afff2"/>
    <w:rsid w:val="00AD417C"/>
    <w:rPr>
      <w:rFonts w:ascii="Arial" w:eastAsia="ＭＳ 明朝"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ＭＳ 明朝" w:hAnsi="Times New Roman"/>
      <w:szCs w:val="20"/>
      <w:lang w:val="en-US" w:eastAsia="ja-JP"/>
    </w:rPr>
  </w:style>
  <w:style w:type="paragraph" w:styleId="2b">
    <w:name w:val="List Continue 2"/>
    <w:basedOn w:val="a2"/>
    <w:rsid w:val="00AD417C"/>
    <w:pPr>
      <w:spacing w:after="180"/>
      <w:ind w:leftChars="400" w:left="850"/>
    </w:pPr>
    <w:rPr>
      <w:rFonts w:ascii="Times New Roman" w:eastAsia="ＭＳ 明朝"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本文インデント (文字)"/>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ＭＳ 明朝" w:hAnsi="Times New Roman"/>
      <w:szCs w:val="20"/>
    </w:rPr>
  </w:style>
  <w:style w:type="character" w:customStyle="1" w:styleId="2d">
    <w:name w:val="本文字下げ 2 (文字)"/>
    <w:basedOn w:val="afff4"/>
    <w:link w:val="2c"/>
    <w:rsid w:val="00AD417C"/>
    <w:rPr>
      <w:rFonts w:ascii="Times New Roman" w:eastAsia="ＭＳ 明朝"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ＭＳ 明朝" w:hAnsi="Arial"/>
      <w:szCs w:val="22"/>
      <w:lang w:eastAsia="ja-JP"/>
    </w:rPr>
  </w:style>
  <w:style w:type="paragraph" w:customStyle="1" w:styleId="assocaitedwith">
    <w:name w:val="assocaited with"/>
    <w:basedOn w:val="a2"/>
    <w:rsid w:val="00AD417C"/>
    <w:pPr>
      <w:spacing w:after="180"/>
      <w:jc w:val="center"/>
    </w:pPr>
    <w:rPr>
      <w:rFonts w:ascii="Times New Roman" w:eastAsia="ＭＳ 明朝"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c">
    <w:name w:val="Light Shading Accent 6"/>
    <w:basedOn w:val="a4"/>
    <w:uiPriority w:val="60"/>
    <w:rsid w:val="00AD417C"/>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rsid w:val="00AD417C"/>
    <w:rPr>
      <w:rFonts w:ascii="Times New Roman" w:eastAsia="SimSun" w:hAnsi="Times New Roman" w:cs="SimSun"/>
      <w:sz w:val="21"/>
      <w:szCs w:val="20"/>
      <w:lang w:eastAsia="zh-CN"/>
    </w:rPr>
  </w:style>
  <w:style w:type="paragraph" w:customStyle="1" w:styleId="afff9">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ＭＳ 明朝"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ＭＳ 明朝"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AD417C"/>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AD417C"/>
    <w:rPr>
      <w:rFonts w:ascii="Arial" w:eastAsia="ＭＳ 明朝"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書式付き (文字)"/>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ＭＳ 明朝"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e">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ＭＳ ゴシック"/>
      <w:sz w:val="24"/>
      <w:szCs w:val="20"/>
      <w:lang w:eastAsia="ja-JP"/>
    </w:rPr>
  </w:style>
  <w:style w:type="paragraph" w:customStyle="1" w:styleId="a">
    <w:name w:val="佐藤２"/>
    <w:basedOn w:val="a2"/>
    <w:rsid w:val="00AD417C"/>
    <w:pPr>
      <w:numPr>
        <w:numId w:val="34"/>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ＭＳ ゴシック" w:cs="Times New Roman"/>
      <w:sz w:val="24"/>
      <w:szCs w:val="20"/>
      <w:lang w:val="en-GB"/>
    </w:rPr>
  </w:style>
  <w:style w:type="paragraph" w:styleId="39">
    <w:name w:val="Body Text 3"/>
    <w:basedOn w:val="a2"/>
    <w:link w:val="3a"/>
    <w:rsid w:val="00AD417C"/>
    <w:pPr>
      <w:jc w:val="both"/>
    </w:pPr>
    <w:rPr>
      <w:rFonts w:ascii="Times New Roman" w:eastAsia="ＭＳ ゴシック" w:hAnsi="Times New Roman"/>
      <w:sz w:val="24"/>
      <w:szCs w:val="20"/>
      <w:lang w:eastAsia="ja-JP"/>
    </w:rPr>
  </w:style>
  <w:style w:type="character" w:customStyle="1" w:styleId="3a">
    <w:name w:val="本文 3 (文字)"/>
    <w:basedOn w:val="a3"/>
    <w:link w:val="39"/>
    <w:rsid w:val="00AD417C"/>
    <w:rPr>
      <w:rFonts w:ascii="Times New Roman" w:eastAsia="ＭＳ ゴシック"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ＭＳ Ｐゴシック" w:eastAsia="ＭＳ Ｐゴシック" w:hAnsi="Century" w:cs="Times New Roman"/>
      <w:kern w:val="0"/>
      <w:szCs w:val="20"/>
      <w:lang w:eastAsia="ja-JP"/>
    </w:rPr>
  </w:style>
  <w:style w:type="character" w:customStyle="1" w:styleId="afffb">
    <w:name w:val="図表番号 (文字)"/>
    <w:aliases w:val="cap (文字),cap Char (文字) (文字)1"/>
    <w:rsid w:val="00AD417C"/>
    <w:rPr>
      <w:rFonts w:eastAsia="ＭＳ ゴシック"/>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ＭＳ ゴシック"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11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d">
    <w:name w:val="テキスト (文字)"/>
    <w:link w:val="afffc"/>
    <w:rsid w:val="00AD417C"/>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1">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ＭＳ 明朝"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표 기본형 11"/>
    <w:basedOn w:val="a4"/>
    <w:next w:val="1a"/>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
    <w:name w:val="표 테마1"/>
    <w:basedOn w:val="a4"/>
    <w:next w:val="afff6"/>
    <w:rsid w:val="005F4C9F"/>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4"/>
    <w:uiPriority w:val="61"/>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1c"/>
    <w:uiPriority w:val="60"/>
    <w:rsid w:val="005F4C9F"/>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55"/>
    <w:uiPriority w:val="64"/>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4"/>
    <w:rsid w:val="005F4C9F"/>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8"/>
    <w:rsid w:val="005F4C9F"/>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0">
    <w:name w:val="표 꾸밈형1"/>
    <w:basedOn w:val="a4"/>
    <w:next w:val="afff7"/>
    <w:rsid w:val="005F4C9F"/>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11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5">
    <w:name w:val="网格型2"/>
    <w:basedOn w:val="a4"/>
    <w:next w:val="af9"/>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styleId="affff">
    <w:name w:val="Unresolved Mention"/>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16557</Words>
  <Characters>94378</Characters>
  <Application>Microsoft Office Word</Application>
  <DocSecurity>0</DocSecurity>
  <Lines>786</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Taichi Shichijo (七條 太一)</cp:lastModifiedBy>
  <cp:revision>6</cp:revision>
  <dcterms:created xsi:type="dcterms:W3CDTF">2024-05-20T02:59:00Z</dcterms:created>
  <dcterms:modified xsi:type="dcterms:W3CDTF">2024-05-20T03:08:00Z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