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77777777"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BC0B418" w14:textId="77777777" w:rsidR="00B7451D" w:rsidRDefault="00711167">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DengXian"/>
          <w:b/>
          <w:bCs/>
          <w:szCs w:val="20"/>
          <w:lang w:eastAsia="zh-CN"/>
        </w:rPr>
      </w:pPr>
      <w:r>
        <w:rPr>
          <w:rFonts w:eastAsia="DengXian"/>
          <w:b/>
          <w:bCs/>
          <w:szCs w:val="20"/>
          <w:lang w:eastAsia="zh-CN"/>
        </w:rPr>
        <w:t>Alt 1: CP location related information is known by device before starting decoding</w:t>
      </w:r>
    </w:p>
    <w:p w14:paraId="2BC0B41A"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r>
              <w:rPr>
                <w:rFonts w:hint="eastAsia"/>
                <w:lang w:eastAsia="zh-CN"/>
              </w:rPr>
              <w:lastRenderedPageBreak/>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6"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SimSun"/>
          <w:b/>
          <w:lang w:eastAsia="zh-CN"/>
        </w:rPr>
      </w:pPr>
    </w:p>
    <w:p w14:paraId="2BC0B44C" w14:textId="77777777" w:rsidR="00B7451D" w:rsidRDefault="00711167">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2BC0B44E" w14:textId="77777777" w:rsidR="00B7451D" w:rsidRDefault="00711167">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DengXian"/>
          <w:b/>
          <w:bCs/>
          <w:szCs w:val="20"/>
          <w:lang w:eastAsia="zh-CN"/>
        </w:rPr>
      </w:pPr>
      <w:r>
        <w:rPr>
          <w:rFonts w:eastAsia="DengXian"/>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2BC0B451" w14:textId="77777777" w:rsidR="00B7451D" w:rsidRDefault="00711167">
      <w:pPr>
        <w:numPr>
          <w:ilvl w:val="0"/>
          <w:numId w:val="5"/>
        </w:numPr>
        <w:jc w:val="both"/>
        <w:rPr>
          <w:rFonts w:eastAsia="SimSun"/>
          <w:b/>
          <w:lang w:eastAsia="zh-CN"/>
        </w:rPr>
      </w:pPr>
      <w:r>
        <w:rPr>
          <w:rFonts w:eastAsia="SimSun"/>
          <w:b/>
          <w:lang w:eastAsia="zh-CN"/>
        </w:rPr>
        <w:t>Alt 2: Method Type 2 does not retain subcarrier orthogonality</w:t>
      </w:r>
    </w:p>
    <w:p w14:paraId="2BC0B452" w14:textId="77777777" w:rsidR="00B7451D" w:rsidRDefault="00711167">
      <w:pPr>
        <w:numPr>
          <w:ilvl w:val="0"/>
          <w:numId w:val="6"/>
        </w:numPr>
        <w:jc w:val="both"/>
        <w:rPr>
          <w:rFonts w:eastAsia="SimSun"/>
          <w:b/>
          <w:lang w:eastAsia="zh-CN"/>
        </w:rPr>
      </w:pPr>
      <w:r>
        <w:rPr>
          <w:rFonts w:eastAsia="SimSun"/>
          <w:b/>
          <w:lang w:eastAsia="zh-CN"/>
        </w:rPr>
        <w:t>E.g., CP is copied from the beginning of an OFDM symbol</w:t>
      </w:r>
    </w:p>
    <w:p w14:paraId="2BC0B453"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CB1F96" w14:paraId="14BD7256" w14:textId="77777777">
        <w:tc>
          <w:tcPr>
            <w:tcW w:w="1513" w:type="dxa"/>
            <w:gridSpan w:val="2"/>
            <w:shd w:val="clear" w:color="auto" w:fill="auto"/>
          </w:tcPr>
          <w:p w14:paraId="40C3E529" w14:textId="77777777" w:rsidR="00CB1F96" w:rsidRDefault="00CB1F96">
            <w:pPr>
              <w:jc w:val="both"/>
              <w:rPr>
                <w:lang w:eastAsia="zh-CN"/>
              </w:rPr>
            </w:pPr>
          </w:p>
        </w:tc>
        <w:tc>
          <w:tcPr>
            <w:tcW w:w="8118" w:type="dxa"/>
            <w:gridSpan w:val="2"/>
            <w:shd w:val="clear" w:color="auto" w:fill="auto"/>
          </w:tcPr>
          <w:p w14:paraId="363B1C67" w14:textId="77777777" w:rsidR="00CB1F96" w:rsidRDefault="00CB1F96">
            <w:pPr>
              <w:jc w:val="both"/>
              <w:rPr>
                <w:lang w:eastAsia="zh-CN"/>
              </w:rPr>
            </w:pPr>
          </w:p>
        </w:tc>
      </w:tr>
    </w:tbl>
    <w:p w14:paraId="2BC0B46F" w14:textId="77777777" w:rsidR="00B7451D" w:rsidRDefault="00B7451D">
      <w:pPr>
        <w:jc w:val="both"/>
        <w:rPr>
          <w:lang w:eastAsia="zh-CN"/>
        </w:rPr>
      </w:pPr>
    </w:p>
    <w:p w14:paraId="2BC0B470" w14:textId="77777777" w:rsidR="00B7451D" w:rsidRDefault="00711167">
      <w:pPr>
        <w:pStyle w:val="Heading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(e.g.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lastRenderedPageBreak/>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1pt;height:129.4pt" o:ole="">
                  <v:imagedata r:id="rId7" o:title=""/>
                </v:shape>
                <o:OLEObject Type="Embed" ProgID="Visio.Drawing.15" ShapeID="_x0000_i1025" DrawAspect="Content" ObjectID="_1777726901" r:id="rId8"/>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Heading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lastRenderedPageBreak/>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lastRenderedPageBreak/>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Heading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lastRenderedPageBreak/>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bl>
    <w:p w14:paraId="2BC0B546" w14:textId="77777777" w:rsidR="00B7451D" w:rsidRDefault="00B7451D">
      <w:pPr>
        <w:jc w:val="both"/>
        <w:rPr>
          <w:lang w:eastAsia="zh-CN"/>
        </w:rPr>
      </w:pPr>
    </w:p>
    <w:p w14:paraId="2BC0B547" w14:textId="77777777" w:rsidR="00B7451D" w:rsidRDefault="00711167">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bl>
    <w:p w14:paraId="2BC0B58A" w14:textId="77777777" w:rsidR="00B7451D" w:rsidRDefault="00B7451D">
      <w:pPr>
        <w:jc w:val="both"/>
        <w:rPr>
          <w:b/>
          <w:bCs/>
          <w:lang w:eastAsia="zh-CN"/>
        </w:rPr>
      </w:pPr>
    </w:p>
    <w:p w14:paraId="2BC0B58B" w14:textId="77777777" w:rsidR="00B7451D" w:rsidRDefault="00711167">
      <w:pPr>
        <w:pStyle w:val="Heading2"/>
        <w:jc w:val="both"/>
      </w:pPr>
      <w:bookmarkStart w:id="23" w:name="_A-IoT_DL_FEC"/>
      <w:bookmarkStart w:id="24" w:name="_R2D_FEC_/"/>
      <w:bookmarkStart w:id="25" w:name="_Toc159620314"/>
      <w:bookmarkStart w:id="26" w:name="_Ref164029025"/>
      <w:bookmarkEnd w:id="23"/>
      <w:bookmarkEnd w:id="24"/>
      <w:r>
        <w:lastRenderedPageBreak/>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9"/>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 xml:space="preserve">Not support this proposal. Coverage issue was raised by several companies as well as gain of repetition. For companies which show little interest on repetition, they </w:t>
            </w:r>
            <w:r>
              <w:rPr>
                <w:rFonts w:eastAsiaTheme="minorEastAsia"/>
                <w:lang w:eastAsia="zh-CN"/>
              </w:rPr>
              <w:lastRenderedPageBreak/>
              <w:t>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lastRenderedPageBreak/>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Heading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hint="eastAsia"/>
                <w:lang w:eastAsia="zh-CN"/>
              </w:rPr>
            </w:pPr>
            <w:r>
              <w:rPr>
                <w:rFonts w:eastAsia="SimSun"/>
                <w:lang w:eastAsia="zh-CN"/>
              </w:rPr>
              <w:lastRenderedPageBreak/>
              <w:t>Futurewei</w:t>
            </w:r>
          </w:p>
        </w:tc>
        <w:tc>
          <w:tcPr>
            <w:tcW w:w="8117" w:type="dxa"/>
            <w:shd w:val="clear" w:color="auto" w:fill="auto"/>
          </w:tcPr>
          <w:p w14:paraId="01E8A8EA" w14:textId="7D017412" w:rsidR="00DC6360" w:rsidRDefault="00DC6360" w:rsidP="00DC6360">
            <w:pPr>
              <w:jc w:val="both"/>
              <w:rPr>
                <w:rFonts w:hint="eastAsia"/>
                <w:lang w:eastAsia="zh-CN"/>
              </w:rPr>
            </w:pPr>
            <w:r>
              <w:rPr>
                <w:lang w:eastAsia="zh-CN"/>
              </w:rPr>
              <w:t xml:space="preserve">Support to study whether </w:t>
            </w:r>
            <w:r w:rsidRPr="00400AC9">
              <w:rPr>
                <w:lang w:eastAsia="zh-CN"/>
              </w:rPr>
              <w:t>it is necessary to define a guard time</w:t>
            </w:r>
            <w:r>
              <w:rPr>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hint="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bl>
    <w:p w14:paraId="2BC0B600" w14:textId="77777777" w:rsidR="00B7451D" w:rsidRDefault="00B7451D">
      <w:pPr>
        <w:jc w:val="both"/>
        <w:rPr>
          <w:lang w:eastAsia="zh-CN"/>
        </w:rPr>
      </w:pPr>
    </w:p>
    <w:p w14:paraId="2BC0B601" w14:textId="77777777" w:rsidR="00B7451D" w:rsidRDefault="00711167">
      <w:pPr>
        <w:pStyle w:val="Heading2"/>
        <w:jc w:val="both"/>
      </w:pPr>
      <w:r>
        <w:t>R2D time-domain definitions</w:t>
      </w:r>
      <w:bookmarkEnd w:id="36"/>
      <w:bookmarkEnd w:id="37"/>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hint="eastAsia"/>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rFonts w:hint="eastAsia"/>
                <w:lang w:eastAsia="zh-CN"/>
              </w:rPr>
            </w:pPr>
            <w:r>
              <w:rPr>
                <w:lang w:eastAsia="zh-CN"/>
              </w:rPr>
              <w:t>The proposal is fine as a starting point.</w:t>
            </w:r>
          </w:p>
        </w:tc>
      </w:tr>
    </w:tbl>
    <w:p w14:paraId="2BC0B62C" w14:textId="77777777" w:rsidR="00B7451D" w:rsidRDefault="00B7451D">
      <w:pPr>
        <w:jc w:val="both"/>
        <w:rPr>
          <w:lang w:eastAsia="zh-CN"/>
        </w:rPr>
      </w:pPr>
    </w:p>
    <w:p w14:paraId="2BC0B62D" w14:textId="77777777" w:rsidR="00B7451D" w:rsidRDefault="00711167">
      <w:pPr>
        <w:pStyle w:val="Heading2"/>
        <w:jc w:val="both"/>
      </w:pPr>
      <w:bookmarkStart w:id="38" w:name="_R2D_bandwidths_[ACTIVE]"/>
      <w:bookmarkStart w:id="39" w:name="_A-IoT_DL_bandwidths"/>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lastRenderedPageBreak/>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t>D2R modulation [ACTIVE]</w:t>
      </w:r>
      <w:bookmarkEnd w:id="49"/>
      <w:bookmarkEnd w:id="50"/>
      <w:bookmarkEnd w:id="51"/>
      <w:bookmarkEnd w:id="52"/>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bl>
    <w:p w14:paraId="2BC0B68C" w14:textId="77777777" w:rsidR="00B7451D" w:rsidRDefault="00B7451D">
      <w:pPr>
        <w:jc w:val="both"/>
        <w:rPr>
          <w:color w:val="FF0000"/>
          <w:lang w:eastAsia="zh-CN"/>
        </w:rPr>
      </w:pPr>
    </w:p>
    <w:p w14:paraId="2BC0B68D" w14:textId="77777777" w:rsidR="00B7451D" w:rsidRDefault="00711167">
      <w:pPr>
        <w:pStyle w:val="Heading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lastRenderedPageBreak/>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bl>
    <w:p w14:paraId="2BC0B6A8" w14:textId="77777777" w:rsidR="00B7451D" w:rsidRDefault="00B7451D">
      <w:pPr>
        <w:jc w:val="both"/>
        <w:rPr>
          <w:b/>
          <w:bCs/>
          <w:lang w:eastAsia="zh-CN"/>
        </w:rPr>
      </w:pPr>
    </w:p>
    <w:p w14:paraId="2BC0B6A9" w14:textId="77777777" w:rsidR="00B7451D" w:rsidRDefault="00711167">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 xml:space="preserve">chips{0001}, </w:t>
            </w:r>
            <w:r>
              <w:rPr>
                <w:lang w:eastAsia="zh-CN"/>
              </w:rPr>
              <w:lastRenderedPageBreak/>
              <w:t>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lastRenderedPageBreak/>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lastRenderedPageBreak/>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Heading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tc>
          <w:tcPr>
            <w:tcW w:w="1512"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2BC0B775" w14:textId="77777777" w:rsidR="00B7451D" w:rsidRDefault="00B7451D">
      <w:pPr>
        <w:jc w:val="both"/>
        <w:rPr>
          <w:lang w:eastAsia="zh-CN"/>
        </w:rPr>
      </w:pPr>
    </w:p>
    <w:p w14:paraId="2BC0B776" w14:textId="77777777" w:rsidR="00B7451D" w:rsidRDefault="00711167">
      <w:pPr>
        <w:pStyle w:val="Heading3"/>
        <w:jc w:val="both"/>
      </w:pPr>
      <w:r>
        <w:lastRenderedPageBreak/>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Heading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lastRenderedPageBreak/>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lastRenderedPageBreak/>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hint="eastAsia"/>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hint="eastAsia"/>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bl>
    <w:p w14:paraId="2BC0B7F0" w14:textId="77777777" w:rsidR="00B7451D" w:rsidRDefault="00B7451D">
      <w:pPr>
        <w:jc w:val="both"/>
        <w:rPr>
          <w:b/>
          <w:bCs/>
          <w:lang w:eastAsia="zh-CN"/>
        </w:rPr>
      </w:pPr>
    </w:p>
    <w:p w14:paraId="2BC0B7F1" w14:textId="77777777" w:rsidR="00B7451D" w:rsidRDefault="00711167">
      <w:pPr>
        <w:pStyle w:val="Heading2"/>
        <w:jc w:val="both"/>
      </w:pPr>
      <w:bookmarkStart w:id="69" w:name="_A-IoT_UL_numerology"/>
      <w:bookmarkStart w:id="70" w:name="_D2R_numerology_[INACTIVE]"/>
      <w:bookmarkStart w:id="71" w:name="_Toc159620326"/>
      <w:bookmarkStart w:id="72" w:name="_Ref167049241"/>
      <w:bookmarkEnd w:id="69"/>
      <w:bookmarkEnd w:id="70"/>
      <w:r>
        <w:lastRenderedPageBreak/>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lastRenderedPageBreak/>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Heading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6" w:name="OLE_LINK36"/>
      <w:r>
        <w:rPr>
          <w:b/>
          <w:bCs/>
          <w:lang w:eastAsia="zh-CN"/>
        </w:rPr>
        <w:t>Proposal 3.8.1a(I)</w:t>
      </w:r>
      <w:bookmarkEnd w:id="76"/>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7" w:name="OLE_LINK37"/>
      <w:r>
        <w:rPr>
          <w:b/>
          <w:bCs/>
          <w:lang w:eastAsia="zh-CN"/>
        </w:rPr>
        <w:t xml:space="preserve">Proposal 3.8.1b(I) </w:t>
      </w:r>
      <w:bookmarkEnd w:id="77"/>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lastRenderedPageBreak/>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bl>
    <w:p w14:paraId="2BC0B858" w14:textId="77777777" w:rsidR="00B7451D" w:rsidRDefault="00711167">
      <w:pPr>
        <w:pStyle w:val="Heading1"/>
        <w:ind w:left="862" w:hanging="862"/>
        <w:jc w:val="both"/>
      </w:pPr>
      <w:bookmarkStart w:id="78" w:name="_Ref167006624"/>
      <w:r>
        <w:t>R2D and D2R</w:t>
      </w:r>
      <w:bookmarkEnd w:id="78"/>
    </w:p>
    <w:p w14:paraId="2BC0B859" w14:textId="77777777" w:rsidR="00B7451D" w:rsidRDefault="00711167">
      <w:pPr>
        <w:pStyle w:val="Heading2"/>
        <w:jc w:val="both"/>
      </w:pPr>
      <w:bookmarkStart w:id="79" w:name="_CRC"/>
      <w:bookmarkEnd w:id="79"/>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Heading1"/>
        <w:ind w:left="862" w:hanging="862"/>
        <w:jc w:val="both"/>
      </w:pPr>
      <w:bookmarkStart w:id="80" w:name="_Proposals_for_online_1"/>
      <w:bookmarkStart w:id="81" w:name="_Ref159620214"/>
      <w:bookmarkStart w:id="82" w:name="_Toc159620330"/>
      <w:bookmarkEnd w:id="80"/>
      <w:r>
        <w:t>Proposals for online sessions</w:t>
      </w:r>
      <w:bookmarkEnd w:id="46"/>
      <w:bookmarkEnd w:id="81"/>
      <w:bookmarkEnd w:id="82"/>
    </w:p>
    <w:p w14:paraId="2BC0B893" w14:textId="77777777" w:rsidR="00B7451D" w:rsidRDefault="00B7451D">
      <w:pPr>
        <w:jc w:val="both"/>
        <w:rPr>
          <w:lang w:eastAsia="zh-CN"/>
        </w:rPr>
      </w:pPr>
    </w:p>
    <w:p w14:paraId="2BC0B894" w14:textId="77777777" w:rsidR="00B7451D" w:rsidRDefault="00711167">
      <w:pPr>
        <w:pStyle w:val="Heading1"/>
        <w:ind w:left="862" w:hanging="862"/>
        <w:jc w:val="both"/>
      </w:pPr>
      <w:bookmarkStart w:id="83" w:name="_Summary"/>
      <w:bookmarkStart w:id="84" w:name="_Toc159620332"/>
      <w:bookmarkStart w:id="85" w:name="_Ref159743720"/>
      <w:bookmarkEnd w:id="83"/>
      <w:r>
        <w:t>Summary</w:t>
      </w:r>
      <w:bookmarkStart w:id="86" w:name="_Toc159620333"/>
      <w:bookmarkEnd w:id="84"/>
      <w:bookmarkEnd w:id="85"/>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86"/>
    </w:p>
    <w:p w14:paraId="2BC0B897" w14:textId="77777777" w:rsidR="00B7451D" w:rsidRDefault="00711167">
      <w:pPr>
        <w:numPr>
          <w:ilvl w:val="0"/>
          <w:numId w:val="33"/>
        </w:numPr>
        <w:jc w:val="both"/>
        <w:rPr>
          <w:lang w:eastAsia="zh-CN"/>
        </w:rPr>
      </w:pPr>
      <w:r>
        <w:rPr>
          <w:lang w:eastAsia="zh-CN"/>
        </w:rPr>
        <w:lastRenderedPageBreak/>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87" w:name="_Annex_A_–"/>
      <w:bookmarkEnd w:id="87"/>
      <w:r>
        <w:t>Annex A – Previous Decisions</w:t>
      </w:r>
    </w:p>
    <w:p w14:paraId="2BC0B8BB" w14:textId="77777777" w:rsidR="00B7451D" w:rsidRDefault="00711167">
      <w:pPr>
        <w:pStyle w:val="Heading2"/>
        <w:numPr>
          <w:ilvl w:val="0"/>
          <w:numId w:val="0"/>
        </w:numPr>
        <w:ind w:left="576" w:hanging="576"/>
        <w:jc w:val="both"/>
      </w:pPr>
      <w:r>
        <w:lastRenderedPageBreak/>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lastRenderedPageBreak/>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1634354">
    <w:abstractNumId w:val="23"/>
  </w:num>
  <w:num w:numId="2" w16cid:durableId="944925962">
    <w:abstractNumId w:val="2"/>
  </w:num>
  <w:num w:numId="3" w16cid:durableId="1911378335">
    <w:abstractNumId w:val="1"/>
  </w:num>
  <w:num w:numId="4" w16cid:durableId="1653486481">
    <w:abstractNumId w:val="28"/>
  </w:num>
  <w:num w:numId="5" w16cid:durableId="560872437">
    <w:abstractNumId w:val="30"/>
  </w:num>
  <w:num w:numId="6" w16cid:durableId="1587843">
    <w:abstractNumId w:val="29"/>
  </w:num>
  <w:num w:numId="7" w16cid:durableId="865677631">
    <w:abstractNumId w:val="20"/>
  </w:num>
  <w:num w:numId="8" w16cid:durableId="506410692">
    <w:abstractNumId w:val="33"/>
  </w:num>
  <w:num w:numId="9" w16cid:durableId="1289706497">
    <w:abstractNumId w:val="6"/>
  </w:num>
  <w:num w:numId="10" w16cid:durableId="1015115115">
    <w:abstractNumId w:val="0"/>
  </w:num>
  <w:num w:numId="11" w16cid:durableId="2009283056">
    <w:abstractNumId w:val="5"/>
  </w:num>
  <w:num w:numId="12" w16cid:durableId="1106123583">
    <w:abstractNumId w:val="21"/>
  </w:num>
  <w:num w:numId="13" w16cid:durableId="2078094262">
    <w:abstractNumId w:val="18"/>
  </w:num>
  <w:num w:numId="14" w16cid:durableId="1812746793">
    <w:abstractNumId w:val="13"/>
  </w:num>
  <w:num w:numId="15" w16cid:durableId="1110474030">
    <w:abstractNumId w:val="16"/>
  </w:num>
  <w:num w:numId="16" w16cid:durableId="1132409598">
    <w:abstractNumId w:val="12"/>
  </w:num>
  <w:num w:numId="17" w16cid:durableId="474026814">
    <w:abstractNumId w:val="31"/>
  </w:num>
  <w:num w:numId="18" w16cid:durableId="1500119480">
    <w:abstractNumId w:val="17"/>
  </w:num>
  <w:num w:numId="19" w16cid:durableId="767627984">
    <w:abstractNumId w:val="25"/>
  </w:num>
  <w:num w:numId="20" w16cid:durableId="1415735913">
    <w:abstractNumId w:val="24"/>
  </w:num>
  <w:num w:numId="21" w16cid:durableId="2036227826">
    <w:abstractNumId w:val="26"/>
  </w:num>
  <w:num w:numId="22" w16cid:durableId="2033410933">
    <w:abstractNumId w:val="4"/>
  </w:num>
  <w:num w:numId="23" w16cid:durableId="1496022188">
    <w:abstractNumId w:val="27"/>
  </w:num>
  <w:num w:numId="24" w16cid:durableId="2557148">
    <w:abstractNumId w:val="9"/>
  </w:num>
  <w:num w:numId="25" w16cid:durableId="522591407">
    <w:abstractNumId w:val="8"/>
  </w:num>
  <w:num w:numId="26" w16cid:durableId="2011562922">
    <w:abstractNumId w:val="10"/>
  </w:num>
  <w:num w:numId="27" w16cid:durableId="1646738564">
    <w:abstractNumId w:val="22"/>
  </w:num>
  <w:num w:numId="28" w16cid:durableId="1487941710">
    <w:abstractNumId w:val="19"/>
  </w:num>
  <w:num w:numId="29" w16cid:durableId="82536745">
    <w:abstractNumId w:val="3"/>
  </w:num>
  <w:num w:numId="30" w16cid:durableId="1546677538">
    <w:abstractNumId w:val="32"/>
  </w:num>
  <w:num w:numId="31" w16cid:durableId="1037511264">
    <w:abstractNumId w:val="14"/>
  </w:num>
  <w:num w:numId="32" w16cid:durableId="1263145508">
    <w:abstractNumId w:val="15"/>
  </w:num>
  <w:num w:numId="33" w16cid:durableId="2088650968">
    <w:abstractNumId w:val="11"/>
  </w:num>
  <w:num w:numId="34" w16cid:durableId="1490898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1.microchip.com/downloads/en/Appnotes/Atmel-9164-Manchester-Coding-Basics_Application-Note.pdf"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1A5D-FE85-4DB3-8543-C5CEE490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11389</Words>
  <Characters>64920</Characters>
  <Application>Microsoft Office Word</Application>
  <DocSecurity>0</DocSecurity>
  <Lines>541</Lines>
  <Paragraphs>152</Paragraphs>
  <ScaleCrop>false</ScaleCrop>
  <Company/>
  <LinksUpToDate>false</LinksUpToDate>
  <CharactersWithSpaces>76157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Anthony Lo</cp:lastModifiedBy>
  <cp:revision>46</cp:revision>
  <dcterms:created xsi:type="dcterms:W3CDTF">2024-05-20T19:59:00Z</dcterms:created>
  <dcterms:modified xsi:type="dcterms:W3CDTF">2024-05-20T21:15:00Z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y fmtid="{D5CDD505-2E9C-101B-9397-08002B2CF9AE}" pid="10" name="CWMaf6cf7e0169f11ef8000113100001031">
    <vt:lpwstr>CWMOGlBEsK0+uJzQoiYP1hfi/wRIUBJEuSgi10r6Yp8Ol8HPkExVM4KQSGZOvJo8r1fNzNFK1TRI97b3X6VGqnqlA==</vt:lpwstr>
  </property>
  <property fmtid="{D5CDD505-2E9C-101B-9397-08002B2CF9AE}" pid="11" name="KSOProductBuildVer">
    <vt:lpwstr>2052-11.8.2.12085</vt:lpwstr>
  </property>
  <property fmtid="{D5CDD505-2E9C-101B-9397-08002B2CF9AE}" pid="12" name="ICV">
    <vt:lpwstr>3DDF098A9D27463AA7ED9A3126728AAC</vt:lpwstr>
  </property>
</Properties>
</file>