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lastRenderedPageBreak/>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lastRenderedPageBreak/>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lastRenderedPageBreak/>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0CCBC4A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lastRenderedPageBreak/>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lastRenderedPageBreak/>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ssb-PositionsInBurst</w:t>
            </w:r>
            <w:proofErr w:type="spellEnd"/>
            <w:r>
              <w:rPr>
                <w:rFonts w:cs="Times New Roman"/>
                <w:b/>
                <w:szCs w:val="20"/>
                <w:lang w:val="en-US"/>
              </w:rPr>
              <w:t xml:space="preserve"> in SIB1 or in </w:t>
            </w:r>
            <w:proofErr w:type="spellStart"/>
            <w:r>
              <w:rPr>
                <w:rFonts w:cs="Times New Roman"/>
                <w:b/>
                <w:szCs w:val="20"/>
                <w:lang w:val="en-US"/>
              </w:rPr>
              <w:t>ServingCellConfigCommon</w:t>
            </w:r>
            <w:proofErr w:type="spellEnd"/>
            <w:r>
              <w:rPr>
                <w:rFonts w:cs="Times New Roman"/>
                <w:b/>
                <w:szCs w:val="20"/>
                <w:lang w:val="en-US"/>
              </w:rPr>
              <w:t>.</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lastRenderedPageBreak/>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lastRenderedPageBreak/>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310A8680"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lastRenderedPageBreak/>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lastRenderedPageBreak/>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lastRenderedPageBreak/>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lastRenderedPageBreak/>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w:t>
            </w:r>
            <w:r>
              <w:rPr>
                <w:rFonts w:ascii="Times New Roman" w:hAnsi="Times New Roman" w:cs="Times New Roman"/>
                <w:b/>
                <w:szCs w:val="20"/>
              </w:rPr>
              <w:lastRenderedPageBreak/>
              <w:t xml:space="preserve">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 xml:space="preserve">cannot be supported in TDD configuration DDDSUDDSUU and DDDDDDDSUU according to the PRACH configurations </w:t>
            </w:r>
            <w:r>
              <w:rPr>
                <w:rFonts w:cs="Times New Roman"/>
                <w:b/>
                <w:szCs w:val="20"/>
                <w:lang w:val="en-US"/>
              </w:rPr>
              <w:lastRenderedPageBreak/>
              <w:t>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prach-ConfigurationIndex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w:t>
            </w:r>
            <w:r>
              <w:rPr>
                <w:rFonts w:cs="Times New Roman"/>
                <w:b/>
                <w:szCs w:val="20"/>
              </w:rPr>
              <w:lastRenderedPageBreak/>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lastRenderedPageBreak/>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65BE1D7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DF061B">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93.45pt;mso-width-percent:0;mso-height-percent:0;mso-width-percent:0;mso-height-percent:0" o:ole="">
            <v:imagedata r:id="rId10" o:title=""/>
          </v:shape>
          <o:OLEObject Type="Embed" ProgID="Visio.Drawing.15" ShapeID="_x0000_i1025" DrawAspect="Content" ObjectID="_1777876530"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1pt;height:117.7pt;mso-width-percent:0;mso-height-percent:0;mso-width-percent:0;mso-height-percent:0" o:ole="">
            <v:imagedata r:id="rId12" o:title=""/>
          </v:shape>
          <o:OLEObject Type="Embed" ProgID="Visio.Drawing.15" ShapeID="_x0000_i1026" DrawAspect="Content" ObjectID="_1777876531"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w:t>
      </w:r>
      <w:r>
        <w:lastRenderedPageBreak/>
        <w:t xml:space="preserve">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subbands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 xml:space="preserve">Tejas, WILUS, </w:t>
      </w:r>
      <w:proofErr w:type="spellStart"/>
      <w:r>
        <w:rPr>
          <w:i/>
          <w:iCs/>
          <w:lang w:val="en-US"/>
        </w:rPr>
        <w:t>Spreadtrum</w:t>
      </w:r>
      <w:proofErr w:type="spellEnd"/>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lastRenderedPageBreak/>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lastRenderedPageBreak/>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ra-</w:t>
      </w:r>
      <w:proofErr w:type="spellStart"/>
      <w:r>
        <w:rPr>
          <w:b/>
          <w:bCs/>
          <w:i/>
          <w:iCs/>
          <w:lang w:val="en-US"/>
        </w:rPr>
        <w:t>ResponseWindow</w:t>
      </w:r>
      <w:proofErr w:type="spellEnd"/>
      <w:r>
        <w:rPr>
          <w:b/>
          <w:bCs/>
          <w:i/>
          <w:iCs/>
          <w:lang w:val="en-US"/>
        </w:rPr>
        <w:t xml:space="preserve">, </w:t>
      </w:r>
      <w:proofErr w:type="spellStart"/>
      <w:r>
        <w:rPr>
          <w:b/>
          <w:bCs/>
          <w:i/>
          <w:iCs/>
          <w:lang w:val="en-US"/>
        </w:rPr>
        <w:t>groupBconfigured</w:t>
      </w:r>
      <w:proofErr w:type="spellEnd"/>
      <w:r>
        <w:rPr>
          <w:b/>
          <w:bCs/>
          <w:i/>
          <w:iCs/>
          <w:lang w:val="en-US"/>
        </w:rPr>
        <w:t>, ra-</w:t>
      </w:r>
      <w:proofErr w:type="spellStart"/>
      <w:r>
        <w:rPr>
          <w:b/>
          <w:bCs/>
          <w:i/>
          <w:iCs/>
          <w:lang w:val="en-US"/>
        </w:rPr>
        <w:t>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138F4E68" w14:textId="77777777" w:rsidR="000B3D0E" w:rsidRDefault="007B22D2">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21376ACF" w14:textId="77777777" w:rsidR="000B3D0E" w:rsidRDefault="007B22D2">
      <w:pPr>
        <w:spacing w:before="120"/>
      </w:pPr>
      <w:r>
        <w:lastRenderedPageBreak/>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lastRenderedPageBreak/>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 xml:space="preserve">Tejas, LGE, Huawei, </w:t>
      </w:r>
      <w:proofErr w:type="spellStart"/>
      <w:r>
        <w:rPr>
          <w:i/>
          <w:iCs/>
          <w:lang w:val="en-US"/>
        </w:rPr>
        <w:t>HiSilicon</w:t>
      </w:r>
      <w:proofErr w:type="spellEnd"/>
      <w:r>
        <w:rPr>
          <w:i/>
          <w:iCs/>
          <w:lang w:val="en-US"/>
        </w:rPr>
        <w:t>,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lastRenderedPageBreak/>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Heading3"/>
        <w:spacing w:before="120"/>
      </w:pPr>
      <w:r>
        <w:t>1</w:t>
      </w:r>
      <w:r>
        <w:rPr>
          <w:vertAlign w:val="superscript"/>
        </w:rPr>
        <w:t>st</w:t>
      </w:r>
      <w:r>
        <w:t xml:space="preserve"> Round Proposals</w:t>
      </w:r>
    </w:p>
    <w:p w14:paraId="7BD05AF9" w14:textId="77777777" w:rsidR="000B3D0E" w:rsidRDefault="007B22D2">
      <w:pPr>
        <w:pStyle w:val="Heading3"/>
        <w:numPr>
          <w:ilvl w:val="0"/>
          <w:numId w:val="0"/>
        </w:numPr>
        <w:spacing w:before="120"/>
      </w:pPr>
      <w:r>
        <w:t>Proposals related to both Option 1 and Option 2:</w:t>
      </w:r>
    </w:p>
    <w:p w14:paraId="033F0E34"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proofErr w:type="spellStart"/>
            <w:r>
              <w:t>InterDigital</w:t>
            </w:r>
            <w:proofErr w:type="spellEnd"/>
          </w:p>
        </w:tc>
        <w:tc>
          <w:tcPr>
            <w:tcW w:w="8402" w:type="dxa"/>
          </w:tcPr>
          <w:p w14:paraId="666D9DEA" w14:textId="77777777" w:rsidR="000B3D0E" w:rsidRDefault="007B22D2">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w:t>
            </w:r>
            <w:r>
              <w:rPr>
                <w:bCs/>
              </w:rPr>
              <w:lastRenderedPageBreak/>
              <w:t>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lastRenderedPageBreak/>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1-1-2:</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proofErr w:type="spellStart"/>
            <w:r>
              <w:rPr>
                <w:rFonts w:hint="eastAsia"/>
                <w:bCs/>
              </w:rPr>
              <w:t>S</w:t>
            </w:r>
            <w:r>
              <w:rPr>
                <w:bCs/>
              </w:rPr>
              <w:t>preadtrum</w:t>
            </w:r>
            <w:proofErr w:type="spellEnd"/>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lastRenderedPageBreak/>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proofErr w:type="spellStart"/>
            <w:r>
              <w:t>InterDigital</w:t>
            </w:r>
            <w:proofErr w:type="spellEnd"/>
          </w:p>
        </w:tc>
        <w:tc>
          <w:tcPr>
            <w:tcW w:w="8402" w:type="dxa"/>
          </w:tcPr>
          <w:p w14:paraId="7E559CAF" w14:textId="77777777" w:rsidR="000B3D0E" w:rsidRDefault="007B22D2">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lastRenderedPageBreak/>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 xml:space="preserve">dditional-ROs for RACH configuration Option 1 with Alt 1-1: the ROs in SBFD symbols configured as downlink 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 xml:space="preserve">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sidRPr="004A6CEC">
              <w:rPr>
                <w:rFonts w:eastAsia="MS Mincho"/>
                <w:bCs/>
              </w:rPr>
              <w:t>.</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2BB8A5D1">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4D901669">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subband, Option 2 can be used. </w:t>
            </w:r>
            <w:proofErr w:type="gramStart"/>
            <w:r>
              <w:rPr>
                <w:bCs/>
              </w:rPr>
              <w:t>Otherwise</w:t>
            </w:r>
            <w:proofErr w:type="gramEnd"/>
            <w:r>
              <w:rPr>
                <w:bCs/>
              </w:rPr>
              <w:t xml:space="preserv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lastRenderedPageBreak/>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proofErr w:type="spellStart"/>
            <w:r>
              <w:t>InterDigital</w:t>
            </w:r>
            <w:proofErr w:type="spellEnd"/>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lastRenderedPageBreak/>
              <w:t>Sony</w:t>
            </w:r>
          </w:p>
        </w:tc>
        <w:tc>
          <w:tcPr>
            <w:tcW w:w="8441" w:type="dxa"/>
          </w:tcPr>
          <w:p w14:paraId="12B40EA2" w14:textId="77777777" w:rsidR="000B3D0E" w:rsidRDefault="007B22D2">
            <w:pPr>
              <w:rPr>
                <w:bCs/>
              </w:rPr>
            </w:pPr>
            <w:r>
              <w:rPr>
                <w:bCs/>
              </w:rPr>
              <w:t xml:space="preserve">Similar view with CATT &amp; </w:t>
            </w:r>
            <w:proofErr w:type="spellStart"/>
            <w:r>
              <w:rPr>
                <w:bCs/>
              </w:rPr>
              <w:t>Spreadtrum</w:t>
            </w:r>
            <w:proofErr w:type="spellEnd"/>
            <w:r>
              <w:rPr>
                <w:bCs/>
              </w:rPr>
              <w:t xml:space="preserve">.  We do not see the need for reinterpretation.  The gNB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E8F6A3E" w14:textId="77777777" w:rsidR="000B3D0E" w:rsidRDefault="000B3D0E">
      <w:pPr>
        <w:spacing w:before="120"/>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w:t>
            </w:r>
            <w:r>
              <w:rPr>
                <w:szCs w:val="20"/>
              </w:rPr>
              <w:lastRenderedPageBreak/>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lastRenderedPageBreak/>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proofErr w:type="spellStart"/>
            <w:r>
              <w:t>InterDigital</w:t>
            </w:r>
            <w:proofErr w:type="spellEnd"/>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 xml:space="preserve">In </w:t>
            </w:r>
            <w:proofErr w:type="gramStart"/>
            <w:r>
              <w:rPr>
                <w:bCs/>
              </w:rPr>
              <w:t>general</w:t>
            </w:r>
            <w:proofErr w:type="gramEnd"/>
            <w:r>
              <w:rPr>
                <w:bCs/>
              </w:rPr>
              <w:t xml:space="preserve">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1-1-5:</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proofErr w:type="spellStart"/>
            <w:r>
              <w:t>InterDigital</w:t>
            </w:r>
            <w:proofErr w:type="spellEnd"/>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lastRenderedPageBreak/>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lastRenderedPageBreak/>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w:t>
            </w:r>
            <w:proofErr w:type="gramStart"/>
            <w:r>
              <w:rPr>
                <w:rFonts w:eastAsia="Malgun Gothic"/>
                <w:bCs/>
              </w:rPr>
              <w:t>define  Ngap</w:t>
            </w:r>
            <w:proofErr w:type="gramEnd"/>
            <w:r>
              <w:rPr>
                <w:rFonts w:eastAsia="Malgun Gothic"/>
                <w:bCs/>
              </w:rPr>
              <w:t xml:space="preserve">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lastRenderedPageBreak/>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lastRenderedPageBreak/>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lastRenderedPageBreak/>
              <w:t>WILUS</w:t>
            </w:r>
          </w:p>
        </w:tc>
        <w:tc>
          <w:tcPr>
            <w:tcW w:w="8402" w:type="dxa"/>
            <w:vAlign w:val="center"/>
          </w:tcPr>
          <w:p w14:paraId="69662E3C" w14:textId="77777777" w:rsidR="000B3D0E" w:rsidRDefault="007B22D2">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w:t>
            </w:r>
            <w:r>
              <w:lastRenderedPageBreak/>
              <w:t>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lastRenderedPageBreak/>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proofErr w:type="spellStart"/>
            <w:r>
              <w:t>InterDigital</w:t>
            </w:r>
            <w:proofErr w:type="spellEnd"/>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w:t>
            </w:r>
            <w:r>
              <w:rPr>
                <w:rFonts w:hint="eastAsia"/>
                <w:bCs/>
              </w:rPr>
              <w:lastRenderedPageBreak/>
              <w:t>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lastRenderedPageBreak/>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lastRenderedPageBreak/>
                    <w:t>msg1-FDM</w:t>
                  </w:r>
                </w:p>
                <w:p w14:paraId="1B9CD162" w14:textId="77777777" w:rsidR="000B3D0E" w:rsidRDefault="007B22D2">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proofErr w:type="spellStart"/>
            <w:r>
              <w:t>InterDigital</w:t>
            </w:r>
            <w:proofErr w:type="spellEnd"/>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lastRenderedPageBreak/>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1-1-11:</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lastRenderedPageBreak/>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signaling overhead. For that reason, we support new entries on top of the existing entries in the </w:t>
            </w:r>
            <w:proofErr w:type="gramStart"/>
            <w:r>
              <w:rPr>
                <w:rFonts w:eastAsia="Malgun Gothic"/>
                <w:bCs/>
              </w:rPr>
              <w:t>above mentioned</w:t>
            </w:r>
            <w:proofErr w:type="gramEnd"/>
            <w:r>
              <w:rPr>
                <w:rFonts w:eastAsia="Malgun Gothic"/>
                <w:bCs/>
              </w:rPr>
              <w:t xml:space="preserve">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lastRenderedPageBreak/>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lastRenderedPageBreak/>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5A515837" w14:textId="77777777" w:rsidR="000B3D0E"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783DD5A8" w14:textId="77777777"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773A7967" w14:textId="77777777"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lastRenderedPageBreak/>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77777777" w:rsidR="000B3D0E" w:rsidRDefault="007B22D2">
      <w:pPr>
        <w:pStyle w:val="Heading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lastRenderedPageBreak/>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648B8697" w14:textId="77777777" w:rsidR="000B3D0E" w:rsidRDefault="000B3D0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lastRenderedPageBreak/>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66072943" w14:textId="77777777" w:rsidR="000B3D0E" w:rsidRDefault="007B22D2">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lastRenderedPageBreak/>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lastRenderedPageBreak/>
        <w:t xml:space="preserve">Msg3 </w:t>
      </w:r>
      <w:proofErr w:type="gramStart"/>
      <w:r>
        <w:rPr>
          <w:lang w:val="en-US"/>
        </w:rPr>
        <w:t>PUSCH[</w:t>
      </w:r>
      <w:proofErr w:type="gramEnd"/>
      <w:r>
        <w:rPr>
          <w:lang w:val="en-US"/>
        </w:rPr>
        <w:t>/Msg4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lastRenderedPageBreak/>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Msg A </w:t>
            </w:r>
            <w:proofErr w:type="spellStart"/>
            <w:r>
              <w:rPr>
                <w:rFonts w:eastAsia="SimSun" w:cs="Times New Roman"/>
                <w:b/>
                <w:szCs w:val="20"/>
                <w:lang w:val="en-US"/>
              </w:rPr>
              <w:t>POs.</w:t>
            </w:r>
            <w:proofErr w:type="spellEnd"/>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w:t>
      </w:r>
      <w:proofErr w:type="spellStart"/>
      <w:r>
        <w:rPr>
          <w:i/>
          <w:iCs/>
          <w:lang w:val="en-US"/>
        </w:rPr>
        <w:t>Langbo</w:t>
      </w:r>
      <w:proofErr w:type="spellEnd"/>
      <w:r>
        <w:rPr>
          <w:i/>
          <w:iCs/>
          <w:lang w:val="en-US"/>
        </w:rPr>
        <w:t xml:space="preserve">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lastRenderedPageBreak/>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DF061B">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lastRenderedPageBreak/>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lastRenderedPageBreak/>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xml:space="preserve">, </w:t>
      </w:r>
      <w:proofErr w:type="spellStart"/>
      <w:r>
        <w:rPr>
          <w:i/>
          <w:iCs/>
          <w:lang w:val="en-US"/>
        </w:rPr>
        <w:t>Wilus</w:t>
      </w:r>
      <w:proofErr w:type="spellEnd"/>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lastRenderedPageBreak/>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1A1B3A3" w14:textId="77777777" w:rsidR="000B3D0E" w:rsidRDefault="000B3D0E">
      <w:pPr>
        <w:spacing w:before="120"/>
      </w:pPr>
    </w:p>
    <w:p w14:paraId="7375461C" w14:textId="77777777" w:rsidR="000B3D0E" w:rsidRDefault="007B22D2">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40"/>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DF061B">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DF061B">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DF061B">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UE-to-gNB interference power. In the SBFD symbol, the total INR is derived from the sum of self-interference, co-site CLI, gNB-gNB CLI and UE-</w:t>
      </w:r>
      <w:r>
        <w:rPr>
          <w:rFonts w:eastAsia="Malgun Gothic"/>
          <w:color w:val="000000" w:themeColor="text1"/>
        </w:rPr>
        <w:lastRenderedPageBreak/>
        <w:t xml:space="preserv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DF061B">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DF061B">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lastRenderedPageBreak/>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lastRenderedPageBreak/>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Heading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lastRenderedPageBreak/>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lastRenderedPageBreak/>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lastRenderedPageBreak/>
              <w:t>NEC</w:t>
            </w:r>
          </w:p>
        </w:tc>
        <w:tc>
          <w:tcPr>
            <w:tcW w:w="8402" w:type="dxa"/>
            <w:vAlign w:val="center"/>
          </w:tcPr>
          <w:p w14:paraId="584FD1BB" w14:textId="77777777" w:rsidR="000B3D0E" w:rsidRDefault="007B22D2">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471945DD" w14:textId="77777777" w:rsidR="000B3D0E" w:rsidRDefault="000B3D0E">
      <w:pPr>
        <w:spacing w:before="120" w:afterLines="50" w:after="120"/>
      </w:pPr>
    </w:p>
    <w:p w14:paraId="2F9A016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14:paraId="4234CF9E" w14:textId="77777777" w:rsidR="000B3D0E" w:rsidRDefault="007B22D2">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7F0DBC42" w14:textId="77777777" w:rsidR="000B3D0E" w:rsidRDefault="007B22D2">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4CFC2457"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000AFAE5"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047DC23"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FD5065B"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4A6197CA"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1D090C35"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7F260F56" w14:textId="77777777" w:rsidR="000B3D0E" w:rsidRDefault="007B22D2">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72275E62" w14:textId="77777777" w:rsidR="000B3D0E" w:rsidRDefault="000B3D0E">
      <w:pPr>
        <w:spacing w:before="120" w:afterLines="50" w:after="120"/>
      </w:pPr>
    </w:p>
    <w:p w14:paraId="6B5CD773" w14:textId="77777777"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14:paraId="0DA886D9" w14:textId="77777777"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C24EBC" w14:textId="77777777" w:rsidR="000B3D0E" w:rsidRDefault="007B22D2">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537B28" w14:textId="77777777" w:rsidR="000B3D0E" w:rsidRDefault="007B22D2">
            <w:pPr>
              <w:spacing w:before="120" w:line="240" w:lineRule="auto"/>
              <w:jc w:val="center"/>
              <w:rPr>
                <w:b/>
              </w:rPr>
            </w:pPr>
            <w:r>
              <w:rPr>
                <w:b/>
              </w:rPr>
              <w:t>Comment</w:t>
            </w:r>
          </w:p>
        </w:tc>
      </w:tr>
      <w:tr w:rsidR="000B3D0E" w14:paraId="3470E70A" w14:textId="77777777" w:rsidTr="00BE39E3">
        <w:tc>
          <w:tcPr>
            <w:tcW w:w="1555" w:type="dxa"/>
            <w:tcBorders>
              <w:top w:val="single" w:sz="4" w:space="0" w:color="auto"/>
              <w:left w:val="single" w:sz="4" w:space="0" w:color="auto"/>
              <w:bottom w:val="single" w:sz="4" w:space="0" w:color="auto"/>
              <w:right w:val="single" w:sz="4" w:space="0" w:color="auto"/>
            </w:tcBorders>
            <w:vAlign w:val="center"/>
          </w:tcPr>
          <w:p w14:paraId="1549FA17" w14:textId="77777777" w:rsidR="000B3D0E" w:rsidRDefault="007B22D2">
            <w:pPr>
              <w:spacing w:before="120" w:line="240" w:lineRule="auto"/>
              <w:jc w:val="center"/>
              <w:rPr>
                <w:bCs/>
              </w:rPr>
            </w:pPr>
            <w:r>
              <w:rPr>
                <w:rFonts w:hint="eastAsia"/>
                <w:bCs/>
                <w:lang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520C143A" w14:textId="77777777"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 xml:space="preserve">t clear to us so </w:t>
            </w:r>
            <w:proofErr w:type="spellStart"/>
            <w:r>
              <w:rPr>
                <w:rFonts w:hint="eastAsia"/>
                <w:bCs/>
                <w:lang w:eastAsia="zh-CN"/>
              </w:rPr>
              <w:t>plz</w:t>
            </w:r>
            <w:proofErr w:type="spellEnd"/>
            <w:r>
              <w:rPr>
                <w:rFonts w:hint="eastAsia"/>
                <w:bCs/>
                <w:lang w:eastAsia="zh-CN"/>
              </w:rPr>
              <w:t xml:space="preserve"> elaborate it in detail.</w:t>
            </w:r>
          </w:p>
        </w:tc>
      </w:tr>
      <w:tr w:rsidR="00BE39E3" w14:paraId="539BDEE3" w14:textId="77777777" w:rsidTr="00BE39E3">
        <w:tc>
          <w:tcPr>
            <w:tcW w:w="1555" w:type="dxa"/>
          </w:tcPr>
          <w:p w14:paraId="6A5C28AC" w14:textId="77777777" w:rsidR="00BE39E3" w:rsidRDefault="00BE39E3" w:rsidP="00D5616B">
            <w:pPr>
              <w:spacing w:before="120" w:line="240" w:lineRule="auto"/>
              <w:jc w:val="center"/>
              <w:rPr>
                <w:bCs/>
              </w:rPr>
            </w:pPr>
            <w:r>
              <w:rPr>
                <w:bCs/>
                <w:lang w:eastAsia="zh-CN"/>
              </w:rPr>
              <w:t>Sony</w:t>
            </w:r>
          </w:p>
        </w:tc>
        <w:tc>
          <w:tcPr>
            <w:tcW w:w="8397" w:type="dxa"/>
          </w:tcPr>
          <w:p w14:paraId="6C91379B" w14:textId="77777777" w:rsidR="00BE39E3" w:rsidRDefault="00BE39E3" w:rsidP="00D5616B">
            <w:pPr>
              <w:spacing w:before="120" w:line="240" w:lineRule="auto"/>
              <w:rPr>
                <w:bCs/>
                <w:lang w:eastAsia="zh-CN"/>
              </w:rPr>
            </w:pPr>
            <w:r>
              <w:rPr>
                <w:bCs/>
                <w:lang w:eastAsia="zh-CN"/>
              </w:rPr>
              <w:t>Support the proposal.</w:t>
            </w:r>
          </w:p>
          <w:p w14:paraId="1A0F2F72" w14:textId="77777777" w:rsidR="00BE39E3" w:rsidRDefault="00BE39E3" w:rsidP="00D5616B">
            <w:pPr>
              <w:spacing w:before="120" w:line="240" w:lineRule="auto"/>
              <w:rPr>
                <w:bCs/>
              </w:rPr>
            </w:pPr>
            <w:r>
              <w:rPr>
                <w:bCs/>
                <w:lang w:eastAsia="zh-CN"/>
              </w:rPr>
              <w:t xml:space="preserve">The NOTE is for the case where the gNB configures a legacy RO starting in an UL slot and an additional RO starting in an SBFD slot and ending in the UL slot. The argument is that the FR2 gNB may not be able to listen to two different SSBs, and so the gNB may need to </w:t>
            </w:r>
            <w:r>
              <w:rPr>
                <w:bCs/>
                <w:lang w:eastAsia="zh-CN"/>
              </w:rPr>
              <w:lastRenderedPageBreak/>
              <w:t>ensure that the legacy RO and the additional RO are mapped to the same SSB.  This is a gNB configuration issue and up to gNB hardware.  If the gNB cannot manage it, then it can disable the RO spanning SBFD and UL slot.</w:t>
            </w:r>
          </w:p>
        </w:tc>
      </w:tr>
      <w:tr w:rsidR="00D773E8" w14:paraId="6FAD3698" w14:textId="77777777" w:rsidTr="007F5351">
        <w:tc>
          <w:tcPr>
            <w:tcW w:w="1555" w:type="dxa"/>
            <w:vAlign w:val="center"/>
          </w:tcPr>
          <w:p w14:paraId="1DC28654" w14:textId="77777777" w:rsidR="00D773E8" w:rsidRDefault="00D773E8" w:rsidP="00D773E8">
            <w:pPr>
              <w:spacing w:before="120" w:line="240" w:lineRule="auto"/>
              <w:jc w:val="center"/>
              <w:rPr>
                <w:bCs/>
                <w:lang w:eastAsia="zh-CN"/>
              </w:rPr>
            </w:pPr>
            <w:r>
              <w:rPr>
                <w:bCs/>
                <w:lang w:eastAsia="zh-CN"/>
              </w:rPr>
              <w:lastRenderedPageBreak/>
              <w:t xml:space="preserve">TCL </w:t>
            </w:r>
          </w:p>
        </w:tc>
        <w:tc>
          <w:tcPr>
            <w:tcW w:w="8397" w:type="dxa"/>
            <w:vAlign w:val="center"/>
          </w:tcPr>
          <w:p w14:paraId="4AA81284" w14:textId="77777777" w:rsidR="00D773E8" w:rsidRDefault="00D773E8" w:rsidP="00D773E8">
            <w:pPr>
              <w:spacing w:before="120" w:line="240" w:lineRule="auto"/>
              <w:rPr>
                <w:bCs/>
                <w:lang w:eastAsia="zh-CN"/>
              </w:rPr>
            </w:pPr>
            <w:r>
              <w:rPr>
                <w:bCs/>
                <w:lang w:eastAsia="zh-CN"/>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2CDB2F2A" w14:textId="77777777"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tr w:rsidR="00A0215B" w14:paraId="0C120930" w14:textId="77777777" w:rsidTr="007F5351">
        <w:tc>
          <w:tcPr>
            <w:tcW w:w="1555" w:type="dxa"/>
            <w:vAlign w:val="center"/>
          </w:tcPr>
          <w:p w14:paraId="132DF7F2" w14:textId="6ED027FF" w:rsidR="00A0215B" w:rsidRPr="00A0215B" w:rsidRDefault="00A0215B" w:rsidP="00D773E8">
            <w:pPr>
              <w:spacing w:before="120"/>
              <w:jc w:val="center"/>
              <w:rPr>
                <w:bCs/>
                <w:lang w:eastAsia="zh-CN"/>
              </w:rPr>
            </w:pPr>
            <w:r>
              <w:rPr>
                <w:bCs/>
                <w:lang w:eastAsia="zh-CN"/>
              </w:rPr>
              <w:t>Fujitsu</w:t>
            </w:r>
          </w:p>
        </w:tc>
        <w:tc>
          <w:tcPr>
            <w:tcW w:w="8397" w:type="dxa"/>
            <w:vAlign w:val="center"/>
          </w:tcPr>
          <w:p w14:paraId="658DCD83" w14:textId="23C922B6" w:rsidR="00A0215B" w:rsidRPr="00A0215B" w:rsidRDefault="00A0215B" w:rsidP="00D773E8">
            <w:pPr>
              <w:spacing w:before="120"/>
              <w:rPr>
                <w:rFonts w:eastAsia="MS Mincho"/>
                <w:bCs/>
              </w:rPr>
            </w:pPr>
            <w:r>
              <w:rPr>
                <w:rFonts w:eastAsia="MS Mincho" w:hint="eastAsia"/>
                <w:bCs/>
              </w:rPr>
              <w:t>S</w:t>
            </w:r>
            <w:r>
              <w:rPr>
                <w:rFonts w:eastAsia="MS Mincho"/>
                <w:bCs/>
              </w:rPr>
              <w:t>upport the proposal.</w:t>
            </w:r>
          </w:p>
        </w:tc>
      </w:tr>
      <w:tr w:rsidR="00B415BE" w14:paraId="2FA5E82B" w14:textId="77777777" w:rsidTr="007F5351">
        <w:tc>
          <w:tcPr>
            <w:tcW w:w="1555" w:type="dxa"/>
            <w:vAlign w:val="center"/>
          </w:tcPr>
          <w:p w14:paraId="699E55E3" w14:textId="527850D3" w:rsidR="00B415BE" w:rsidRDefault="00B415BE" w:rsidP="00D773E8">
            <w:pPr>
              <w:spacing w:before="120"/>
              <w:jc w:val="center"/>
              <w:rPr>
                <w:bCs/>
                <w:lang w:eastAsia="zh-CN"/>
              </w:rPr>
            </w:pPr>
            <w:r>
              <w:rPr>
                <w:bCs/>
                <w:lang w:eastAsia="zh-CN"/>
              </w:rPr>
              <w:t>Nokia</w:t>
            </w:r>
          </w:p>
        </w:tc>
        <w:tc>
          <w:tcPr>
            <w:tcW w:w="8397" w:type="dxa"/>
            <w:vAlign w:val="center"/>
          </w:tcPr>
          <w:p w14:paraId="7A51D002" w14:textId="3744BF0A" w:rsidR="00770957" w:rsidRDefault="0054575D" w:rsidP="0054575D">
            <w:pPr>
              <w:spacing w:before="120"/>
              <w:rPr>
                <w:rFonts w:eastAsia="MS Mincho"/>
                <w:bCs/>
              </w:rPr>
            </w:pPr>
            <w:r>
              <w:rPr>
                <w:rFonts w:eastAsia="MS Mincho"/>
                <w:bCs/>
              </w:rPr>
              <w:t>Fine with the proposal.</w:t>
            </w:r>
          </w:p>
        </w:tc>
      </w:tr>
      <w:tr w:rsidR="00A1461A" w14:paraId="40BB8A77" w14:textId="77777777" w:rsidTr="007F5351">
        <w:tc>
          <w:tcPr>
            <w:tcW w:w="1555" w:type="dxa"/>
            <w:vAlign w:val="center"/>
          </w:tcPr>
          <w:p w14:paraId="3503736D" w14:textId="4DEDC87A" w:rsidR="00A1461A" w:rsidRPr="00A1461A" w:rsidRDefault="00A1461A" w:rsidP="00D773E8">
            <w:pPr>
              <w:spacing w:before="120"/>
              <w:jc w:val="center"/>
              <w:rPr>
                <w:rFonts w:eastAsia="Malgun Gothic"/>
                <w:bCs/>
              </w:rPr>
            </w:pPr>
            <w:r>
              <w:rPr>
                <w:rFonts w:eastAsia="Malgun Gothic" w:hint="eastAsia"/>
                <w:bCs/>
              </w:rPr>
              <w:t>LGE</w:t>
            </w:r>
          </w:p>
        </w:tc>
        <w:tc>
          <w:tcPr>
            <w:tcW w:w="8397" w:type="dxa"/>
            <w:vAlign w:val="center"/>
          </w:tcPr>
          <w:p w14:paraId="57009571" w14:textId="77777777" w:rsidR="00A1461A" w:rsidRDefault="00A1461A" w:rsidP="0054575D">
            <w:pPr>
              <w:spacing w:before="120"/>
              <w:rPr>
                <w:rFonts w:eastAsia="Malgun Gothic"/>
                <w:bCs/>
              </w:rPr>
            </w:pPr>
            <w:r>
              <w:rPr>
                <w:rFonts w:eastAsia="Malgun Gothic"/>
                <w:bCs/>
              </w:rPr>
              <w:t>W</w:t>
            </w:r>
            <w:r>
              <w:rPr>
                <w:rFonts w:eastAsia="Malgun Gothic" w:hint="eastAsia"/>
                <w:bCs/>
              </w:rPr>
              <w:t>e are fine with this proposal.</w:t>
            </w:r>
          </w:p>
          <w:p w14:paraId="606FEBF2" w14:textId="4EDCEBB2" w:rsidR="00A1461A" w:rsidRPr="00A1461A" w:rsidRDefault="00D5561F" w:rsidP="0054575D">
            <w:pPr>
              <w:spacing w:before="120"/>
              <w:rPr>
                <w:rFonts w:eastAsia="Malgun Gothic"/>
                <w:bCs/>
              </w:rPr>
            </w:pPr>
            <w:r>
              <w:rPr>
                <w:rFonts w:eastAsia="Malgun Gothic" w:hint="eastAsia"/>
                <w:bCs/>
              </w:rPr>
              <w:t xml:space="preserve">As for the Note, </w:t>
            </w:r>
            <w:r w:rsidR="002E7E4A">
              <w:rPr>
                <w:rFonts w:eastAsia="Malgun Gothic" w:hint="eastAsia"/>
                <w:bCs/>
              </w:rPr>
              <w:t>as far as our understanding,</w:t>
            </w:r>
            <w:r w:rsidR="00A1461A">
              <w:rPr>
                <w:rFonts w:eastAsia="Malgun Gothic" w:hint="eastAsia"/>
                <w:bCs/>
              </w:rPr>
              <w:t xml:space="preserve"> the intension is to consider capa</w:t>
            </w:r>
            <w:r>
              <w:rPr>
                <w:rFonts w:eastAsia="Malgun Gothic" w:hint="eastAsia"/>
                <w:bCs/>
              </w:rPr>
              <w:t>bility</w:t>
            </w:r>
            <w:r w:rsidR="00A1461A">
              <w:rPr>
                <w:rFonts w:eastAsia="Malgun Gothic" w:hint="eastAsia"/>
                <w:bCs/>
              </w:rPr>
              <w:t xml:space="preserve"> of gNB. </w:t>
            </w:r>
            <w:r w:rsidR="00A1461A">
              <w:rPr>
                <w:rFonts w:eastAsia="Malgun Gothic"/>
                <w:bCs/>
              </w:rPr>
              <w:t>I</w:t>
            </w:r>
            <w:r w:rsidR="00A1461A">
              <w:rPr>
                <w:rFonts w:eastAsia="Malgun Gothic" w:hint="eastAsia"/>
                <w:bCs/>
              </w:rPr>
              <w:t xml:space="preserve">n FR2, </w:t>
            </w:r>
            <w:r w:rsidR="002E7E4A">
              <w:rPr>
                <w:rFonts w:eastAsia="Malgun Gothic" w:hint="eastAsia"/>
                <w:bCs/>
              </w:rPr>
              <w:t>since it</w:t>
            </w:r>
            <w:r w:rsidR="00A1461A">
              <w:rPr>
                <w:rFonts w:eastAsia="Malgun Gothic" w:hint="eastAsia"/>
                <w:bCs/>
              </w:rPr>
              <w:t xml:space="preserve"> may be hard to create multi beam</w:t>
            </w:r>
            <w:r>
              <w:rPr>
                <w:rFonts w:eastAsia="Malgun Gothic" w:hint="eastAsia"/>
                <w:bCs/>
              </w:rPr>
              <w:t>s</w:t>
            </w:r>
            <w:r w:rsidR="00A1461A">
              <w:rPr>
                <w:rFonts w:eastAsia="Malgun Gothic" w:hint="eastAsia"/>
                <w:bCs/>
              </w:rPr>
              <w:t xml:space="preserve"> in </w:t>
            </w:r>
            <w:r>
              <w:rPr>
                <w:rFonts w:eastAsia="Malgun Gothic" w:hint="eastAsia"/>
                <w:bCs/>
              </w:rPr>
              <w:t xml:space="preserve">the </w:t>
            </w:r>
            <w:r w:rsidR="00A1461A">
              <w:rPr>
                <w:rFonts w:eastAsia="Malgun Gothic" w:hint="eastAsia"/>
                <w:bCs/>
              </w:rPr>
              <w:t>same time</w:t>
            </w:r>
            <w:r w:rsidR="002E7E4A">
              <w:rPr>
                <w:rFonts w:eastAsia="Malgun Gothic" w:hint="eastAsia"/>
                <w:bCs/>
              </w:rPr>
              <w:t xml:space="preserve">, </w:t>
            </w:r>
            <w:r w:rsidR="00A1461A">
              <w:rPr>
                <w:rFonts w:eastAsia="Malgun Gothic" w:hint="eastAsia"/>
                <w:bCs/>
              </w:rPr>
              <w:t xml:space="preserve">it </w:t>
            </w:r>
            <w:r>
              <w:rPr>
                <w:rFonts w:eastAsia="Malgun Gothic" w:hint="eastAsia"/>
                <w:bCs/>
              </w:rPr>
              <w:t>is likely to</w:t>
            </w:r>
            <w:r w:rsidR="00A1461A">
              <w:rPr>
                <w:rFonts w:eastAsia="Malgun Gothic" w:hint="eastAsia"/>
                <w:bCs/>
              </w:rPr>
              <w:t xml:space="preserve"> </w:t>
            </w:r>
            <w:r w:rsidR="002E7E4A">
              <w:rPr>
                <w:rFonts w:eastAsia="Malgun Gothic" w:hint="eastAsia"/>
                <w:bCs/>
              </w:rPr>
              <w:t xml:space="preserve">enable </w:t>
            </w:r>
            <w:r w:rsidR="00A1461A">
              <w:rPr>
                <w:rFonts w:eastAsia="Malgun Gothic" w:hint="eastAsia"/>
                <w:bCs/>
              </w:rPr>
              <w:t xml:space="preserve">one SSB at a time. </w:t>
            </w:r>
            <w:r w:rsidR="002E7E4A">
              <w:rPr>
                <w:rFonts w:eastAsia="Malgun Gothic" w:hint="eastAsia"/>
                <w:bCs/>
              </w:rPr>
              <w:t xml:space="preserve">The same SSB may need to be associated with </w:t>
            </w:r>
            <w:r w:rsidR="00A1461A">
              <w:rPr>
                <w:rFonts w:eastAsia="Malgun Gothic" w:hint="eastAsia"/>
                <w:bCs/>
              </w:rPr>
              <w:t xml:space="preserve">both additional RO and legacy RO </w:t>
            </w:r>
            <w:r w:rsidR="002E7E4A">
              <w:rPr>
                <w:rFonts w:eastAsia="Malgun Gothic" w:hint="eastAsia"/>
                <w:bCs/>
              </w:rPr>
              <w:t>in non-SBFD symbol</w:t>
            </w:r>
            <w:r w:rsidR="00A1461A">
              <w:rPr>
                <w:rFonts w:eastAsia="Malgun Gothic" w:hint="eastAsia"/>
                <w:bCs/>
              </w:rPr>
              <w:t xml:space="preserve">. </w:t>
            </w:r>
            <w:r w:rsidR="00A1461A">
              <w:rPr>
                <w:rFonts w:eastAsia="Malgun Gothic"/>
                <w:bCs/>
              </w:rPr>
              <w:t>W</w:t>
            </w:r>
            <w:r w:rsidR="00A1461A">
              <w:rPr>
                <w:rFonts w:eastAsia="Malgun Gothic" w:hint="eastAsia"/>
                <w:bCs/>
              </w:rPr>
              <w:t>e are open to discuss with this.</w:t>
            </w:r>
          </w:p>
        </w:tc>
      </w:tr>
      <w:tr w:rsidR="009A6777" w14:paraId="6B0B2E5F" w14:textId="77777777" w:rsidTr="007F5351">
        <w:tc>
          <w:tcPr>
            <w:tcW w:w="1555" w:type="dxa"/>
            <w:vAlign w:val="center"/>
          </w:tcPr>
          <w:p w14:paraId="74C40940" w14:textId="5420A196" w:rsidR="009A6777" w:rsidRPr="009A6777" w:rsidRDefault="009A6777" w:rsidP="00D773E8">
            <w:pPr>
              <w:spacing w:before="120"/>
              <w:jc w:val="center"/>
              <w:rPr>
                <w:rFonts w:eastAsia="MS Mincho"/>
                <w:bCs/>
              </w:rPr>
            </w:pPr>
            <w:r>
              <w:rPr>
                <w:rFonts w:eastAsia="MS Mincho" w:hint="eastAsia"/>
                <w:bCs/>
              </w:rPr>
              <w:t>Sharp</w:t>
            </w:r>
          </w:p>
        </w:tc>
        <w:tc>
          <w:tcPr>
            <w:tcW w:w="8397" w:type="dxa"/>
            <w:vAlign w:val="center"/>
          </w:tcPr>
          <w:p w14:paraId="1FA3D410" w14:textId="5F0E95A7" w:rsidR="009A6777" w:rsidRPr="009A6777" w:rsidRDefault="009A6777" w:rsidP="0054575D">
            <w:pPr>
              <w:spacing w:before="120"/>
              <w:rPr>
                <w:rFonts w:eastAsia="MS Mincho"/>
                <w:bCs/>
              </w:rPr>
            </w:pPr>
            <w:r>
              <w:rPr>
                <w:rFonts w:eastAsia="MS Mincho" w:hint="eastAsia"/>
                <w:bCs/>
              </w:rPr>
              <w:t>We have the same question as TCL. Why would it be applied only to Option 2?</w:t>
            </w:r>
          </w:p>
        </w:tc>
      </w:tr>
      <w:tr w:rsidR="00F908FA" w14:paraId="3760ED61" w14:textId="77777777" w:rsidTr="007F5351">
        <w:tc>
          <w:tcPr>
            <w:tcW w:w="1555" w:type="dxa"/>
            <w:vAlign w:val="center"/>
          </w:tcPr>
          <w:p w14:paraId="7C790F9F" w14:textId="45A9B73B" w:rsidR="00F908FA" w:rsidRDefault="00F908FA" w:rsidP="00D773E8">
            <w:pPr>
              <w:spacing w:before="120"/>
              <w:jc w:val="center"/>
              <w:rPr>
                <w:rFonts w:eastAsia="MS Mincho" w:hint="eastAsia"/>
                <w:bCs/>
              </w:rPr>
            </w:pPr>
            <w:r>
              <w:rPr>
                <w:rFonts w:eastAsia="MS Mincho"/>
                <w:bCs/>
              </w:rPr>
              <w:t>Tejas</w:t>
            </w:r>
          </w:p>
        </w:tc>
        <w:tc>
          <w:tcPr>
            <w:tcW w:w="8397" w:type="dxa"/>
            <w:vAlign w:val="center"/>
          </w:tcPr>
          <w:p w14:paraId="4B592EB0" w14:textId="3C96C5A3" w:rsidR="00F908FA" w:rsidRDefault="00F908FA" w:rsidP="0054575D">
            <w:pPr>
              <w:spacing w:before="120"/>
              <w:rPr>
                <w:rFonts w:eastAsia="MS Mincho" w:hint="eastAsia"/>
                <w:bCs/>
              </w:rPr>
            </w:pPr>
            <w:r>
              <w:rPr>
                <w:rFonts w:eastAsia="MS Mincho"/>
                <w:bCs/>
              </w:rPr>
              <w:t>We support the proposal. We believe the above proposal should not be restricted to option 2 only. It is also applicable to option 1 as well.</w:t>
            </w:r>
          </w:p>
        </w:tc>
      </w:tr>
    </w:tbl>
    <w:p w14:paraId="63146B57" w14:textId="77777777" w:rsidR="000B3D0E" w:rsidRDefault="000B3D0E">
      <w:pPr>
        <w:spacing w:before="120" w:afterLines="50" w:after="120"/>
      </w:pPr>
    </w:p>
    <w:p w14:paraId="2166C7D7" w14:textId="77777777" w:rsidR="000B3D0E" w:rsidRDefault="000B3D0E">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lastRenderedPageBreak/>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77777777" w:rsidR="000B3D0E" w:rsidRDefault="007B22D2">
      <w:pPr>
        <w:pStyle w:val="Heading1"/>
        <w:numPr>
          <w:ilvl w:val="0"/>
          <w:numId w:val="157"/>
        </w:numPr>
      </w:pPr>
      <w:r>
        <w:lastRenderedPageBreak/>
        <w:t>A</w:t>
      </w:r>
      <w:r>
        <w:rPr>
          <w:rFonts w:hint="eastAsia"/>
        </w:rPr>
        <w:t>greements</w:t>
      </w:r>
      <w:r>
        <w:t xml:space="preserve"> in this meeting</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proofErr w:type="spellStart"/>
            <w:r>
              <w:t>InterDigital</w:t>
            </w:r>
            <w:proofErr w:type="spellEnd"/>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DF061B">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proofErr w:type="spellStart"/>
            <w:r>
              <w:t>Kaopeng</w:t>
            </w:r>
            <w:proofErr w:type="spellEnd"/>
            <w:r>
              <w:t xml:space="preserve"> Chou</w:t>
            </w:r>
          </w:p>
        </w:tc>
        <w:tc>
          <w:tcPr>
            <w:tcW w:w="5215" w:type="dxa"/>
          </w:tcPr>
          <w:p w14:paraId="0EC525E0" w14:textId="77777777" w:rsidR="000B3D0E" w:rsidRDefault="00DF061B">
            <w:pPr>
              <w:spacing w:before="120"/>
            </w:pPr>
            <w:hyperlink r:id="rId23" w:history="1">
              <w:r w:rsidR="007B22D2">
                <w:rPr>
                  <w:rStyle w:val="Hyperlink"/>
                </w:rPr>
                <w:t>asalah@google.com</w:t>
              </w:r>
            </w:hyperlink>
          </w:p>
          <w:p w14:paraId="3C4AC057" w14:textId="77777777" w:rsidR="000B3D0E" w:rsidRDefault="00DF061B">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DF061B">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DF061B">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DF061B">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DF061B">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92DE9D2" w14:textId="77777777" w:rsidR="000B3D0E" w:rsidRDefault="00DF061B">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DF061B">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DF061B">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lastRenderedPageBreak/>
              <w:t>P</w:t>
            </w:r>
            <w:r>
              <w:rPr>
                <w:rFonts w:eastAsia="MS Mincho"/>
              </w:rPr>
              <w:t>anasonic</w:t>
            </w:r>
          </w:p>
        </w:tc>
        <w:tc>
          <w:tcPr>
            <w:tcW w:w="2072" w:type="dxa"/>
          </w:tcPr>
          <w:p w14:paraId="605E8A64" w14:textId="77777777" w:rsidR="000B3D0E" w:rsidRDefault="007B22D2">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proofErr w:type="spellStart"/>
            <w:r>
              <w:rPr>
                <w:rFonts w:hint="eastAsia"/>
              </w:rPr>
              <w:t>S</w:t>
            </w:r>
            <w:r>
              <w:t>preadtrum</w:t>
            </w:r>
            <w:proofErr w:type="spellEnd"/>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proofErr w:type="spellStart"/>
            <w:r>
              <w:rPr>
                <w:rFonts w:hint="eastAsia"/>
              </w:rPr>
              <w:t>X</w:t>
            </w:r>
            <w:r>
              <w:t>ianghui</w:t>
            </w:r>
            <w:proofErr w:type="spellEnd"/>
            <w:r>
              <w:t xml:space="preserve"> Han</w:t>
            </w:r>
          </w:p>
        </w:tc>
        <w:tc>
          <w:tcPr>
            <w:tcW w:w="5215" w:type="dxa"/>
          </w:tcPr>
          <w:p w14:paraId="46484D9B" w14:textId="77777777" w:rsidR="000B3D0E" w:rsidRDefault="00DF061B">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A1461A"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proofErr w:type="spellStart"/>
            <w:r>
              <w:rPr>
                <w:rFonts w:hint="eastAsia"/>
              </w:rPr>
              <w:t>Q</w:t>
            </w:r>
            <w:r>
              <w:t>iping</w:t>
            </w:r>
            <w:proofErr w:type="spellEnd"/>
            <w:r>
              <w:t xml:space="preserve">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DF061B">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lastRenderedPageBreak/>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 xml:space="preserve">Huawei, </w:t>
      </w:r>
      <w:proofErr w:type="spellStart"/>
      <w:r>
        <w:rPr>
          <w:iCs/>
          <w:lang w:val="en-US"/>
        </w:rPr>
        <w:t>HiSilicon</w:t>
      </w:r>
      <w:proofErr w:type="spellEnd"/>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lastRenderedPageBreak/>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lastRenderedPageBreak/>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lastRenderedPageBreak/>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lastRenderedPageBreak/>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lastRenderedPageBreak/>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7795" w14:textId="77777777" w:rsidR="00DF061B" w:rsidRDefault="00DF061B">
      <w:r>
        <w:separator/>
      </w:r>
    </w:p>
  </w:endnote>
  <w:endnote w:type="continuationSeparator" w:id="0">
    <w:p w14:paraId="2BEDCD23" w14:textId="77777777" w:rsidR="00DF061B" w:rsidRDefault="00DF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B969" w14:textId="77777777" w:rsidR="00DF061B" w:rsidRDefault="00DF061B">
      <w:r>
        <w:separator/>
      </w:r>
    </w:p>
  </w:footnote>
  <w:footnote w:type="continuationSeparator" w:id="0">
    <w:p w14:paraId="393E25F7" w14:textId="77777777" w:rsidR="00DF061B" w:rsidRDefault="00DF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E06"/>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77"/>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1B"/>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58"/>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8FA"/>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8FA"/>
    <w:pPr>
      <w:spacing w:after="160" w:line="259" w:lineRule="auto"/>
    </w:pPr>
    <w:rPr>
      <w:rFonts w:asciiTheme="minorHAnsi" w:eastAsiaTheme="minorHAnsi" w:hAnsiTheme="minorHAnsi" w:cstheme="minorBidi"/>
      <w:sz w:val="22"/>
      <w:szCs w:val="22"/>
      <w:lang w:val="en-IN" w:eastAsia="en-US"/>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F90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08FA"/>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36038</Words>
  <Characters>205417</Characters>
  <Application>Microsoft Office Word</Application>
  <DocSecurity>0</DocSecurity>
  <Lines>1711</Lines>
  <Paragraphs>481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Abhijith B G</cp:lastModifiedBy>
  <cp:revision>2</cp:revision>
  <cp:lastPrinted>2014-11-06T03:38:00Z</cp:lastPrinted>
  <dcterms:created xsi:type="dcterms:W3CDTF">2024-05-22T04:19:00Z</dcterms:created>
  <dcterms:modified xsi:type="dcterms:W3CDTF">2024-05-22T04:19:00Z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