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w:t>
            </w:r>
            <w:r>
              <w:rPr>
                <w:rFonts w:cs="Times New Roman"/>
                <w:bCs w:val="0"/>
                <w:szCs w:val="20"/>
              </w:rPr>
              <w:lastRenderedPageBreak/>
              <w:t>and two separate 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SBFD symbols configured as downlink by tdd-UL-DL-ConfigurationCommon.</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lastRenderedPageBreak/>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lastRenderedPageBreak/>
              <w:t>Proposal 9: The following methods are used to distinguish an SBFD UE from a legacy UE at the gNB:</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The RO in SBFD symbols configured as downlink by tdd-UL-DL-ConfigurationCommon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lastRenderedPageBreak/>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ListParagraph"/>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lastRenderedPageBreak/>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lastRenderedPageBreak/>
              <w:t xml:space="preserve">The maximum number of ROs FDMed (msg1-FDM) in UL subband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lastRenderedPageBreak/>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Transsion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tdd-UL-DL-ConfigurationCommon, which are valid for non-SBFD aware UEs based on legacy RO validation rule, are also valid for SBFD aware UEs (i.e., the configured ROs in SBFD symbols, </w:t>
            </w:r>
            <w:r w:rsidRPr="00581840">
              <w:rPr>
                <w:rFonts w:cs="Times New Roman"/>
                <w:b/>
                <w:szCs w:val="20"/>
                <w:lang w:val="en-US"/>
              </w:rPr>
              <w:lastRenderedPageBreak/>
              <w:t>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w:t>
            </w:r>
            <w:r w:rsidRPr="00581840">
              <w:rPr>
                <w:rFonts w:cs="Times New Roman"/>
                <w:b/>
                <w:szCs w:val="20"/>
                <w:lang w:val="en-US" w:eastAsia="ko-KR"/>
              </w:rPr>
              <w:t>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lastRenderedPageBreak/>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5: It’s RAN1’s common understanding that “Time and frequency resource of the RO are fully within UL usable PRBs, and not overlapped with SSB” in the </w:t>
            </w:r>
            <w:r>
              <w:rPr>
                <w:rFonts w:eastAsia="DengXian" w:cs="Times New Roman"/>
                <w:b/>
                <w:szCs w:val="20"/>
              </w:rPr>
              <w:lastRenderedPageBreak/>
              <w:t>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The RO in SBFD symbols configured as downlink by tdd-UL-DL-ConfigurationCommon is valid if 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lastRenderedPageBreak/>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Otherwise, the RO is valid if it is fully within UL usable PRBs and not overlapped with SSB indicated by ssb-PositionsInBurst in SIB1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lastRenderedPageBreak/>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66DC49E1"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lastRenderedPageBreak/>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lastRenderedPageBreak/>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eastAsia="ko-KR"/>
              </w:rPr>
            </w:pPr>
            <w:r w:rsidRPr="00581840">
              <w:rPr>
                <w:rFonts w:cs="Times New Roman"/>
                <w:b/>
                <w:color w:val="000000"/>
                <w:szCs w:val="20"/>
                <w:lang w:val="en-US" w:eastAsia="ko-KR"/>
              </w:rPr>
              <w:t>For single RACH configuration, RAN #1 needs to consider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eastAsia="ko-KR"/>
              </w:rPr>
            </w:pPr>
            <w:r w:rsidRPr="00581840">
              <w:rPr>
                <w:rFonts w:cs="Times New Roman"/>
                <w:b/>
                <w:color w:val="000000"/>
                <w:szCs w:val="20"/>
                <w:lang w:val="en-US" w:eastAsia="ko-KR"/>
              </w:rPr>
              <w:t>Legacy SSB to RO mapping rule needs to be carried out before appling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eastAsia="ko-KR"/>
              </w:rPr>
            </w:pPr>
            <w:r w:rsidRPr="00581840">
              <w:rPr>
                <w:rFonts w:cs="Times New Roman"/>
                <w:b/>
                <w:color w:val="000000"/>
                <w:szCs w:val="20"/>
                <w:lang w:val="en-US" w:eastAsia="ko-KR"/>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28DF3C86"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{n1, n2} into the candidate set of preambleTransMax.</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rach-ConfigGeneric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Type2: parameters cannot be included, and the same parameters in legacy RACH configuration always applied. E.g rsrp-ThresholdSSB/rsrp-ThresholdSSB-SUL,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lastRenderedPageBreak/>
              <w:t>Freq. resource configuration</w:t>
            </w:r>
            <w:r>
              <w:rPr>
                <w:rFonts w:eastAsia="SimSun"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w:t>
            </w:r>
            <w:r w:rsidRPr="00581840">
              <w:rPr>
                <w:rFonts w:cs="Times New Roman"/>
                <w:b/>
                <w:szCs w:val="20"/>
                <w:lang w:val="en-US" w:eastAsia="ko-KR"/>
              </w:rPr>
              <w:t>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lastRenderedPageBreak/>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lastRenderedPageBreak/>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lastRenderedPageBreak/>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 xml:space="preserve">For RACH configuration Option 2 (i.e., Use two separate RACH configurations, including one legacy RACH configuration and one additional RACH configuration), an RO configured by additional RACH configuration is </w:t>
            </w:r>
            <w:r w:rsidRPr="00581840">
              <w:rPr>
                <w:rFonts w:eastAsia="SimSun" w:cs="Times New Roman"/>
                <w:b/>
                <w:szCs w:val="20"/>
                <w:lang w:val="en-US"/>
              </w:rPr>
              <w:lastRenderedPageBreak/>
              <w:t>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lastRenderedPageBreak/>
              <w:t>Proposal 7: For RACH configuration Option 2, the additional-ROs in SBFD symbols configured by 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lastRenderedPageBreak/>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lastRenderedPageBreak/>
              <w:t xml:space="preserve">WILUS </w:t>
            </w:r>
            <w:bookmarkEnd w:id="65"/>
            <w:r>
              <w:rPr>
                <w:rFonts w:cs="Times New Roman"/>
                <w:b/>
                <w:szCs w:val="20"/>
              </w:rPr>
              <w:t>Inc.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lastRenderedPageBreak/>
        <w:t>SSB-RO mapping</w:t>
      </w:r>
    </w:p>
    <w:tbl>
      <w:tblPr>
        <w:tblStyle w:val="TableGrid"/>
        <w:tblW w:w="0" w:type="auto"/>
        <w:tblLook w:val="04A0" w:firstRow="1" w:lastRow="0" w:firstColumn="1" w:lastColumn="0" w:noHBand="0" w:noVBand="1"/>
      </w:tblPr>
      <w:tblGrid>
        <w:gridCol w:w="1464"/>
        <w:gridCol w:w="8498"/>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w:t>
            </w:r>
            <w:r>
              <w:rPr>
                <w:rFonts w:eastAsia="DengXian" w:cs="Times New Roman"/>
                <w:b/>
                <w:szCs w:val="20"/>
                <w:lang w:val="en-GB"/>
              </w:rPr>
              <w:lastRenderedPageBreak/>
              <w:t>symbols configured as flexible by tdd-UL-DL-ConfigurationCommon (if any), the legacy SSB-RO mapping is followed.</w:t>
            </w:r>
          </w:p>
          <w:p w14:paraId="2AFD6278"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335"/>
        <w:gridCol w:w="8627"/>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eastAsia="ko-KR"/>
              </w:rPr>
            </w:pPr>
            <w:r w:rsidRPr="00581840">
              <w:rPr>
                <w:rFonts w:cs="Times New Roman"/>
                <w:b/>
                <w:szCs w:val="20"/>
                <w:lang w:val="en-US" w:eastAsia="ko-KR"/>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eastAsia="ko-KR"/>
              </w:rPr>
            </w:pPr>
            <w:r w:rsidRPr="00581840">
              <w:rPr>
                <w:rFonts w:cs="Times New Roman"/>
                <w:b/>
                <w:szCs w:val="20"/>
                <w:lang w:val="en-US" w:eastAsia="ko-KR"/>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lastRenderedPageBreak/>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lastRenderedPageBreak/>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w:t>
            </w:r>
            <w:r>
              <w:rPr>
                <w:i w:val="0"/>
                <w:iCs w:val="0"/>
                <w:szCs w:val="20"/>
              </w:rPr>
              <w:lastRenderedPageBreak/>
              <w:t>configuration) to support random access operation for SBFD-aware UEs in RRC CONNECTED state, and for interpretation of the parameter prach-ConfigurationIndex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ListParagraph"/>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ListParagraph"/>
              <w:numPr>
                <w:ilvl w:val="1"/>
                <w:numId w:val="99"/>
              </w:numPr>
              <w:spacing w:before="120"/>
              <w:rPr>
                <w:rFonts w:eastAsia="SimSun" w:cs="Times New Roman"/>
                <w:b/>
                <w:szCs w:val="20"/>
                <w:lang w:val="en-US"/>
              </w:rPr>
            </w:pPr>
            <w:r w:rsidRPr="00581840">
              <w:rPr>
                <w:rFonts w:eastAsia="SimSun" w:cs="Times New Roman"/>
                <w:b/>
                <w:szCs w:val="20"/>
                <w:lang w:val="en-US"/>
              </w:rPr>
              <w:lastRenderedPageBreak/>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lastRenderedPageBreak/>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lastRenderedPageBreak/>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r w:rsidRPr="00581840">
        <w:rPr>
          <w:i/>
          <w:iCs/>
          <w:lang w:val="en-US"/>
        </w:rPr>
        <w:t>InterDigital,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lastRenderedPageBreak/>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2622F172">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14:ligatures w14:val="none"/>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4pt;height:192.45pt;mso-width-percent:0;mso-height-percent:0;mso-width-percent:0;mso-height-percent:0" o:ole="">
            <v:imagedata r:id="rId10" o:title=""/>
          </v:shape>
          <o:OLEObject Type="Embed" ProgID="Visio.Drawing.15" ShapeID="_x0000_i1026" DrawAspect="Content" ObjectID="_1777711820"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14:ligatures w14:val="none"/>
        </w:rPr>
        <w:object w:dxaOrig="9960" w:dyaOrig="2370" w14:anchorId="0D76AA5B">
          <v:shape id="_x0000_i1025" type="#_x0000_t75" alt="" style="width:497.4pt;height:118.1pt;mso-width-percent:0;mso-height-percent:0;mso-width-percent:0;mso-height-percent:0" o:ole="">
            <v:imagedata r:id="rId12" o:title=""/>
          </v:shape>
          <o:OLEObject Type="Embed" ProgID="Visio.Drawing.15" ShapeID="_x0000_i1025" DrawAspect="Content" ObjectID="_1777711821"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w:t>
      </w:r>
      <w:r>
        <w:rPr>
          <w:i/>
          <w:iCs/>
          <w:szCs w:val="20"/>
        </w:rPr>
        <w:lastRenderedPageBreak/>
        <w:t xml:space="preserve">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lastRenderedPageBreak/>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lastRenderedPageBreak/>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ListParagraph"/>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lastRenderedPageBreak/>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ListParagraph"/>
        <w:numPr>
          <w:ilvl w:val="1"/>
          <w:numId w:val="111"/>
        </w:numPr>
        <w:spacing w:before="120"/>
        <w:rPr>
          <w:i/>
          <w:iCs/>
          <w:lang w:val="en-US" w:eastAsia="zh-CN"/>
        </w:rPr>
      </w:pPr>
      <w:r w:rsidRPr="00581840">
        <w:rPr>
          <w:i/>
          <w:iCs/>
          <w:lang w:val="en-US" w:eastAsia="zh-CN"/>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lastRenderedPageBreak/>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r>
              <w:t>InterDigital</w:t>
            </w:r>
          </w:p>
        </w:tc>
        <w:tc>
          <w:tcPr>
            <w:tcW w:w="8402" w:type="dxa"/>
          </w:tcPr>
          <w:p w14:paraId="5B8912C8" w14:textId="77777777" w:rsidR="00C83AF6" w:rsidRDefault="0000520D">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w:t>
            </w:r>
            <w:r>
              <w:lastRenderedPageBreak/>
              <w:t>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lastRenderedPageBreak/>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lang w:eastAsia="zh-CN"/>
              </w:rPr>
              <w:t>New H3C</w:t>
            </w:r>
          </w:p>
        </w:tc>
        <w:tc>
          <w:tcPr>
            <w:tcW w:w="8402" w:type="dxa"/>
          </w:tcPr>
          <w:p w14:paraId="33B8ED27" w14:textId="77777777" w:rsidR="00C83AF6" w:rsidRDefault="0000520D">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lang w:val="en-US" w:eastAsia="zh-CN"/>
              </w:rPr>
              <w:t>Sony</w:t>
            </w:r>
          </w:p>
        </w:tc>
        <w:tc>
          <w:tcPr>
            <w:tcW w:w="8402" w:type="dxa"/>
          </w:tcPr>
          <w:p w14:paraId="526C11A1" w14:textId="77777777" w:rsidR="00B27E26" w:rsidRDefault="00B27E26" w:rsidP="00E15D08">
            <w:pPr>
              <w:spacing w:before="120" w:line="240" w:lineRule="auto"/>
              <w:rPr>
                <w:bCs/>
              </w:rPr>
            </w:pPr>
            <w:r>
              <w:rPr>
                <w:rFonts w:hint="eastAsia"/>
                <w:bCs/>
                <w:lang w:val="en-US" w:eastAsia="zh-CN"/>
              </w:rPr>
              <w:t xml:space="preserve"> </w:t>
            </w:r>
            <w:r>
              <w:rPr>
                <w:bCs/>
                <w:lang w:val="en-US" w:eastAsia="zh-CN"/>
              </w:rPr>
              <w:t>We normally do not specify gNB’s behaviour and hence we do not think the added text “</w:t>
            </w:r>
            <w:r>
              <w:rPr>
                <w:b/>
                <w:bCs/>
                <w:color w:val="FF0000"/>
                <w:u w:val="single"/>
              </w:rPr>
              <w:t>Regardless from network perspective or from UE perspective</w:t>
            </w:r>
            <w:r>
              <w:rPr>
                <w:bCs/>
                <w:lang w:val="en-US" w:eastAsia="zh-CN"/>
              </w:rPr>
              <w:t>” is needed.</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ListParagraph"/>
              <w:numPr>
                <w:ilvl w:val="0"/>
                <w:numId w:val="50"/>
              </w:numPr>
              <w:spacing w:line="240" w:lineRule="auto"/>
              <w:rPr>
                <w:bCs/>
                <w:sz w:val="20"/>
                <w:szCs w:val="20"/>
                <w:lang w:val="en-US"/>
              </w:rPr>
            </w:pPr>
            <w:r w:rsidRPr="00581840">
              <w:rPr>
                <w:bCs/>
                <w:sz w:val="20"/>
                <w:szCs w:val="20"/>
                <w:lang w:val="en-US"/>
              </w:rPr>
              <w:t>Legacy ROs for RACH configuration</w:t>
            </w:r>
            <w:r>
              <w:rPr>
                <w:bCs/>
                <w:sz w:val="20"/>
                <w:szCs w:val="20"/>
                <w:lang w:val="en-US"/>
              </w:rPr>
              <w:t>s</w:t>
            </w:r>
            <w:r w:rsidRPr="00581840">
              <w:rPr>
                <w:bCs/>
                <w:sz w:val="20"/>
                <w:szCs w:val="20"/>
                <w:lang w:val="en-US"/>
              </w:rPr>
              <w:t xml:space="preserve"> Option 1</w:t>
            </w:r>
            <w:r>
              <w:rPr>
                <w:bCs/>
                <w:sz w:val="20"/>
                <w:szCs w:val="20"/>
                <w:lang w:val="en-US"/>
              </w:rPr>
              <w:t xml:space="preserve"> or Option </w:t>
            </w:r>
            <w:r w:rsidRPr="00581840">
              <w:rPr>
                <w:bCs/>
                <w:sz w:val="20"/>
                <w:szCs w:val="20"/>
                <w:lang w:val="en-US"/>
              </w:rPr>
              <w:t>2 are the ROs that would be valid without support of SBFD RACH</w:t>
            </w:r>
            <w:r>
              <w:rPr>
                <w:bCs/>
                <w:sz w:val="20"/>
                <w:szCs w:val="20"/>
                <w:lang w:val="en-US"/>
              </w:rPr>
              <w:t>, i.e., as configured based on previous releases of the specification</w:t>
            </w:r>
            <w:r w:rsidRPr="00581840">
              <w:rPr>
                <w:bCs/>
                <w:sz w:val="20"/>
                <w:szCs w:val="20"/>
                <w:lang w:val="en-US"/>
              </w:rPr>
              <w:t xml:space="preserve"> </w:t>
            </w:r>
            <w:r>
              <w:rPr>
                <w:bCs/>
                <w:sz w:val="20"/>
                <w:szCs w:val="20"/>
                <w:lang w:val="en-US"/>
              </w:rPr>
              <w:t>and typically located in UL of flexible symbols as configured by tdd-UL-DL-ConfigurationCommon.</w:t>
            </w:r>
          </w:p>
          <w:p w14:paraId="4FC43C93" w14:textId="77777777" w:rsidR="00C83AF6" w:rsidRPr="00581840" w:rsidRDefault="0000520D">
            <w:pPr>
              <w:pStyle w:val="ListParagraph"/>
              <w:numPr>
                <w:ilvl w:val="0"/>
                <w:numId w:val="50"/>
              </w:numPr>
              <w:spacing w:line="240" w:lineRule="auto"/>
              <w:rPr>
                <w:bCs/>
                <w:sz w:val="20"/>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t>InterDigital</w:t>
            </w:r>
          </w:p>
        </w:tc>
        <w:tc>
          <w:tcPr>
            <w:tcW w:w="8402" w:type="dxa"/>
          </w:tcPr>
          <w:p w14:paraId="69686C4B" w14:textId="77777777" w:rsidR="00C83AF6" w:rsidRDefault="0000520D">
            <w:pPr>
              <w:spacing w:before="120" w:line="240" w:lineRule="auto"/>
              <w:rPr>
                <w:bCs/>
              </w:rPr>
            </w:pPr>
            <w:r>
              <w:t xml:space="preserve">We understand the intention of the FL. However, in our opinion, the definition of </w:t>
            </w:r>
            <w:r>
              <w:lastRenderedPageBreak/>
              <w:t>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lastRenderedPageBreak/>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 w:val="20"/>
                <w:szCs w:val="20"/>
                <w:lang w:val="en-US"/>
              </w:rPr>
            </w:pPr>
            <w:r w:rsidRPr="00581840">
              <w:rPr>
                <w:rFonts w:eastAsia="Malgun Gothic" w:cstheme="minorHAnsi"/>
                <w:bCs/>
                <w:sz w:val="20"/>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 w:val="20"/>
                <w:szCs w:val="20"/>
                <w:lang w:val="en-US"/>
              </w:rPr>
            </w:pPr>
            <w:r w:rsidRPr="00581840">
              <w:rPr>
                <w:rFonts w:eastAsia="Malgun Gothic" w:cstheme="minorHAnsi"/>
                <w:bCs/>
                <w:color w:val="FF0000"/>
                <w:sz w:val="20"/>
                <w:szCs w:val="20"/>
                <w:lang w:val="en-US"/>
              </w:rPr>
              <w:t>The ROs in non-SBFD symbols configured as flexible or UL by tdd-UL-DL-ConfigurationCommon</w:t>
            </w:r>
          </w:p>
          <w:p w14:paraId="1AE65A8C" w14:textId="77777777" w:rsidR="00C83AF6" w:rsidRPr="00581840" w:rsidRDefault="0000520D">
            <w:pPr>
              <w:pStyle w:val="ListParagraph"/>
              <w:numPr>
                <w:ilvl w:val="0"/>
                <w:numId w:val="116"/>
              </w:numPr>
              <w:spacing w:line="240" w:lineRule="auto"/>
              <w:rPr>
                <w:bCs/>
                <w:sz w:val="20"/>
                <w:szCs w:val="20"/>
                <w:lang w:val="en-US"/>
              </w:rPr>
            </w:pPr>
            <w:r w:rsidRPr="00581840">
              <w:rPr>
                <w:rFonts w:eastAsia="Malgun Gothic" w:cstheme="minorHAnsi"/>
                <w:bCs/>
                <w:sz w:val="20"/>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 w:val="20"/>
                <w:szCs w:val="20"/>
                <w:lang w:val="en-US"/>
              </w:rPr>
            </w:pPr>
            <w:r w:rsidRPr="00581840">
              <w:rPr>
                <w:rFonts w:eastAsia="Malgun Gothic" w:cstheme="minorHAnsi"/>
                <w:bCs/>
                <w:color w:val="FF0000"/>
                <w:sz w:val="20"/>
                <w:szCs w:val="20"/>
                <w:lang w:val="en-US"/>
              </w:rPr>
              <w:t>The ROs in SBFD symbols</w:t>
            </w:r>
            <w:r w:rsidRPr="00581840">
              <w:rPr>
                <w:rFonts w:eastAsia="Malgun Gothic" w:cstheme="minorHAnsi" w:hint="eastAsia"/>
                <w:bCs/>
                <w:color w:val="FF0000"/>
                <w:sz w:val="2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 w:val="20"/>
                <w:szCs w:val="20"/>
                <w:lang w:val="en-US"/>
              </w:rPr>
              <w:t>FFS: The ROs in non-SBFD symbols</w:t>
            </w:r>
            <w:r w:rsidRPr="00581840">
              <w:rPr>
                <w:rFonts w:eastAsia="Malgun Gothic" w:cstheme="minorHAnsi"/>
                <w:bCs/>
                <w:sz w:val="20"/>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lang w:eastAsia="zh-CN"/>
              </w:rPr>
              <w:t xml:space="preserve">New H3C </w:t>
            </w:r>
          </w:p>
        </w:tc>
        <w:tc>
          <w:tcPr>
            <w:tcW w:w="8402" w:type="dxa"/>
            <w:vAlign w:val="center"/>
          </w:tcPr>
          <w:p w14:paraId="22A9A045" w14:textId="77777777" w:rsidR="00C83AF6" w:rsidRDefault="0000520D">
            <w:pPr>
              <w:rPr>
                <w:bCs/>
              </w:rPr>
            </w:pPr>
            <w:r>
              <w:rPr>
                <w:rFonts w:hint="eastAsia"/>
                <w:bCs/>
                <w:lang w:eastAsia="zh-CN"/>
              </w:rPr>
              <w:t>OK</w:t>
            </w:r>
          </w:p>
        </w:tc>
      </w:tr>
      <w:tr w:rsidR="00D6195B" w14:paraId="4366B2E9" w14:textId="77777777" w:rsidTr="00B27E26">
        <w:tc>
          <w:tcPr>
            <w:tcW w:w="1555" w:type="dxa"/>
            <w:vAlign w:val="center"/>
          </w:tcPr>
          <w:p w14:paraId="2F7225D6" w14:textId="0C26D451" w:rsidR="00D6195B" w:rsidRDefault="00D6195B" w:rsidP="00D6195B">
            <w:pPr>
              <w:rPr>
                <w:bCs/>
                <w:lang w:eastAsia="zh-CN"/>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lang w:val="en-US" w:eastAsia="zh-CN"/>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lastRenderedPageBreak/>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08F7D13E">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550A58A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w:t>
            </w:r>
            <w:r>
              <w:rPr>
                <w:bCs/>
              </w:rPr>
              <w:lastRenderedPageBreak/>
              <w:t xml:space="preserve">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lastRenderedPageBreak/>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lang w:eastAsia="zh-CN"/>
              </w:rPr>
              <w:t xml:space="preserve">New H3C </w:t>
            </w:r>
          </w:p>
        </w:tc>
        <w:tc>
          <w:tcPr>
            <w:tcW w:w="8480" w:type="dxa"/>
            <w:vAlign w:val="center"/>
          </w:tcPr>
          <w:p w14:paraId="304CAAA3" w14:textId="77777777" w:rsidR="00C83AF6" w:rsidRDefault="0000520D">
            <w:pPr>
              <w:rPr>
                <w:bCs/>
              </w:rPr>
            </w:pPr>
            <w:r>
              <w:rPr>
                <w:rFonts w:hint="eastAsia"/>
                <w:bCs/>
                <w:lang w:eastAsia="zh-CN"/>
              </w:rPr>
              <w:t>OK with Alt.2</w:t>
            </w:r>
          </w:p>
        </w:tc>
      </w:tr>
      <w:tr w:rsidR="00D6195B" w14:paraId="3DE01D15" w14:textId="77777777" w:rsidTr="00B27E26">
        <w:tc>
          <w:tcPr>
            <w:tcW w:w="1477" w:type="dxa"/>
            <w:vAlign w:val="center"/>
          </w:tcPr>
          <w:p w14:paraId="3BE61EA0" w14:textId="4EC30E87" w:rsidR="00D6195B" w:rsidRDefault="00D6195B" w:rsidP="00D6195B">
            <w:pPr>
              <w:rPr>
                <w:bCs/>
                <w:lang w:eastAsia="zh-CN"/>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lang w:eastAsia="zh-CN"/>
              </w:rPr>
            </w:pPr>
            <w:r w:rsidRPr="00062DF3">
              <w:rPr>
                <w:rFonts w:eastAsia="Malgun Gothic"/>
                <w:bCs/>
              </w:rPr>
              <w:t xml:space="preserve">If msg1-FrequencyStart falls outside the UL subband of the SBFD symbols, the NW </w:t>
            </w:r>
            <w:r w:rsidRPr="00062DF3">
              <w:rPr>
                <w:rFonts w:eastAsia="Malgun Gothic"/>
                <w:bCs/>
              </w:rPr>
              <w:lastRenderedPageBreak/>
              <w:t>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lastRenderedPageBreak/>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lang w:val="en-US" w:eastAsia="zh-CN"/>
              </w:rPr>
              <w:t>Sony</w:t>
            </w:r>
          </w:p>
        </w:tc>
        <w:tc>
          <w:tcPr>
            <w:tcW w:w="8480" w:type="dxa"/>
          </w:tcPr>
          <w:p w14:paraId="53DCD340" w14:textId="77777777" w:rsidR="00B27E26" w:rsidRDefault="00B27E26" w:rsidP="00E15D08">
            <w:pPr>
              <w:rPr>
                <w:bCs/>
              </w:rPr>
            </w:pPr>
            <w:r>
              <w:rPr>
                <w:bCs/>
                <w:lang w:val="en-US" w:eastAsia="zh-CN"/>
              </w:rPr>
              <w:t>Similar view with CATT &amp; Spreadtrum.  We do not see the need for reinterpretation.  The gNB should be able to sort this out via configurations.  Also as CATT mentioned, we already have an FFS on this aspect, and this proposal doesn’t really add anything.</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w:t>
            </w:r>
            <w:r>
              <w:rPr>
                <w:bCs/>
              </w:rPr>
              <w:lastRenderedPageBreak/>
              <w:t>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lastRenderedPageBreak/>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r>
              <w:t>InterDigital</w:t>
            </w:r>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lang w:eastAsia="zh-CN"/>
              </w:rPr>
              <w:t xml:space="preserve">New H3C </w:t>
            </w:r>
          </w:p>
        </w:tc>
        <w:tc>
          <w:tcPr>
            <w:tcW w:w="8504" w:type="dxa"/>
            <w:vAlign w:val="center"/>
          </w:tcPr>
          <w:p w14:paraId="6BA05329" w14:textId="77777777" w:rsidR="00C83AF6" w:rsidRDefault="0000520D">
            <w:pPr>
              <w:rPr>
                <w:bCs/>
              </w:rPr>
            </w:pPr>
            <w:r>
              <w:rPr>
                <w:rFonts w:hint="eastAsia"/>
                <w:bCs/>
                <w:lang w:eastAsia="zh-CN"/>
              </w:rPr>
              <w:t>OK</w:t>
            </w:r>
          </w:p>
        </w:tc>
      </w:tr>
      <w:tr w:rsidR="00D6195B" w14:paraId="285759A1" w14:textId="77777777" w:rsidTr="00B27E26">
        <w:tc>
          <w:tcPr>
            <w:tcW w:w="1453"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lang w:val="en-US" w:eastAsia="zh-CN"/>
              </w:rPr>
              <w:t>Sony</w:t>
            </w:r>
            <w:r>
              <w:rPr>
                <w:rFonts w:hint="eastAsia"/>
                <w:bCs/>
                <w:lang w:val="en-US" w:eastAsia="zh-CN"/>
              </w:rPr>
              <w:t xml:space="preserve"> </w:t>
            </w:r>
          </w:p>
        </w:tc>
        <w:tc>
          <w:tcPr>
            <w:tcW w:w="8504" w:type="dxa"/>
          </w:tcPr>
          <w:p w14:paraId="4C72A0AD" w14:textId="77777777" w:rsidR="00B27E26" w:rsidRDefault="00B27E26" w:rsidP="00E15D08">
            <w:pPr>
              <w:rPr>
                <w:bCs/>
              </w:rPr>
            </w:pPr>
            <w:r>
              <w:rPr>
                <w:bCs/>
                <w:lang w:val="en-US" w:eastAsia="zh-CN"/>
              </w:rPr>
              <w:t>Support the conclusion.  For the 2</w:t>
            </w:r>
            <w:r w:rsidRPr="007A6ECD">
              <w:rPr>
                <w:bCs/>
                <w:vertAlign w:val="superscript"/>
                <w:lang w:val="en-US" w:eastAsia="zh-CN"/>
              </w:rPr>
              <w:t>nd</w:t>
            </w:r>
            <w:r>
              <w:rPr>
                <w:bCs/>
                <w:lang w:val="en-US" w:eastAsia="zh-CN"/>
              </w:rPr>
              <w:t xml:space="preserve"> sub-bullet, I believe the RO validation would automatically removes any RO that are in DL subband, so this sub-bullet is fine. </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lang w:eastAsia="zh-CN"/>
              </w:rPr>
              <w:t xml:space="preserve">New H3C </w:t>
            </w:r>
          </w:p>
        </w:tc>
        <w:tc>
          <w:tcPr>
            <w:tcW w:w="8402" w:type="dxa"/>
            <w:vAlign w:val="center"/>
          </w:tcPr>
          <w:p w14:paraId="5459785F" w14:textId="77777777" w:rsidR="00C83AF6" w:rsidRDefault="0000520D">
            <w:pPr>
              <w:rPr>
                <w:bCs/>
              </w:rPr>
            </w:pPr>
            <w:r>
              <w:rPr>
                <w:rFonts w:hint="eastAsia"/>
                <w:bCs/>
                <w:lang w:eastAsia="zh-CN"/>
              </w:rPr>
              <w:t>OK</w:t>
            </w:r>
          </w:p>
        </w:tc>
      </w:tr>
      <w:tr w:rsidR="00D6195B" w14:paraId="239EE8A8" w14:textId="77777777" w:rsidTr="00B27E26">
        <w:tc>
          <w:tcPr>
            <w:tcW w:w="1555" w:type="dxa"/>
          </w:tcPr>
          <w:p w14:paraId="0DF5D7DC" w14:textId="4F0DDC98" w:rsidR="00D6195B" w:rsidRDefault="00D6195B" w:rsidP="00D6195B">
            <w:pPr>
              <w:rPr>
                <w:bCs/>
                <w:lang w:eastAsia="zh-CN"/>
              </w:rPr>
            </w:pPr>
            <w:r w:rsidRPr="00062DF3">
              <w:t>Nokia</w:t>
            </w:r>
          </w:p>
        </w:tc>
        <w:tc>
          <w:tcPr>
            <w:tcW w:w="8402" w:type="dxa"/>
          </w:tcPr>
          <w:p w14:paraId="2B66D8FB" w14:textId="61D488A3" w:rsidR="00D6195B" w:rsidRDefault="00D6195B" w:rsidP="00D6195B">
            <w:pPr>
              <w:rPr>
                <w:bCs/>
                <w:lang w:eastAsia="zh-CN"/>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lang w:val="en-US" w:eastAsia="zh-CN"/>
              </w:rPr>
              <w:t>Sony</w:t>
            </w:r>
            <w:r>
              <w:rPr>
                <w:rFonts w:hint="eastAsia"/>
                <w:bCs/>
                <w:lang w:val="en-US" w:eastAsia="zh-CN"/>
              </w:rPr>
              <w:t xml:space="preserve"> </w:t>
            </w:r>
          </w:p>
        </w:tc>
        <w:tc>
          <w:tcPr>
            <w:tcW w:w="8402" w:type="dxa"/>
          </w:tcPr>
          <w:p w14:paraId="7774D438" w14:textId="77777777" w:rsidR="00B27E26" w:rsidRDefault="00B27E26" w:rsidP="00E15D08">
            <w:pPr>
              <w:rPr>
                <w:bCs/>
              </w:rPr>
            </w:pPr>
            <w:r>
              <w:rPr>
                <w:bCs/>
                <w:lang w:val="en-US" w:eastAsia="zh-CN"/>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r>
              <w:t>InterDigital</w:t>
            </w:r>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lang w:eastAsia="zh-CN"/>
              </w:rPr>
              <w:t xml:space="preserve">New H3C </w:t>
            </w:r>
          </w:p>
        </w:tc>
        <w:tc>
          <w:tcPr>
            <w:tcW w:w="8402" w:type="dxa"/>
            <w:vAlign w:val="center"/>
          </w:tcPr>
          <w:p w14:paraId="2B76A58E" w14:textId="77777777" w:rsidR="00C83AF6" w:rsidRDefault="0000520D">
            <w:pPr>
              <w:rPr>
                <w:bCs/>
              </w:rPr>
            </w:pPr>
            <w:r>
              <w:rPr>
                <w:rFonts w:hint="eastAsia"/>
                <w:bCs/>
                <w:lang w:eastAsia="zh-CN"/>
              </w:rPr>
              <w:t>OK</w:t>
            </w:r>
          </w:p>
        </w:tc>
      </w:tr>
      <w:tr w:rsidR="00D6195B" w14:paraId="12B0BDEA" w14:textId="77777777" w:rsidTr="00B27E26">
        <w:tc>
          <w:tcPr>
            <w:tcW w:w="1555" w:type="dxa"/>
          </w:tcPr>
          <w:p w14:paraId="29315DE2" w14:textId="1B7426CF" w:rsidR="00D6195B" w:rsidRDefault="00D6195B" w:rsidP="00D6195B">
            <w:pPr>
              <w:rPr>
                <w:bCs/>
                <w:lang w:eastAsia="zh-CN"/>
              </w:rPr>
            </w:pPr>
            <w:r w:rsidRPr="00062DF3">
              <w:rPr>
                <w:bCs/>
              </w:rPr>
              <w:t>Nokia</w:t>
            </w:r>
          </w:p>
        </w:tc>
        <w:tc>
          <w:tcPr>
            <w:tcW w:w="8402" w:type="dxa"/>
          </w:tcPr>
          <w:p w14:paraId="65EB65E4" w14:textId="520190DD" w:rsidR="00D6195B" w:rsidRDefault="00D6195B" w:rsidP="00D6195B">
            <w:pPr>
              <w:rPr>
                <w:bCs/>
                <w:lang w:eastAsia="zh-CN"/>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lang w:val="en-US" w:eastAsia="zh-CN"/>
              </w:rPr>
              <w:t>Sony</w:t>
            </w:r>
            <w:r>
              <w:rPr>
                <w:rFonts w:hint="eastAsia"/>
                <w:bCs/>
                <w:lang w:val="en-US" w:eastAsia="zh-CN"/>
              </w:rPr>
              <w:t xml:space="preserve"> </w:t>
            </w:r>
          </w:p>
        </w:tc>
        <w:tc>
          <w:tcPr>
            <w:tcW w:w="8402" w:type="dxa"/>
          </w:tcPr>
          <w:p w14:paraId="6C7E1317" w14:textId="77777777" w:rsidR="00B27E26" w:rsidRDefault="00B27E26" w:rsidP="00E15D08">
            <w:pPr>
              <w:rPr>
                <w:bCs/>
              </w:rPr>
            </w:pPr>
            <w:r>
              <w:rPr>
                <w:bCs/>
                <w:lang w:val="en-US" w:eastAsia="zh-CN"/>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w:t>
            </w:r>
            <w:r>
              <w:rPr>
                <w:bCs/>
              </w:rPr>
              <w:lastRenderedPageBreak/>
              <w:t>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r>
              <w:lastRenderedPageBreak/>
              <w:t>InterDigital</w:t>
            </w:r>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lang w:eastAsia="zh-CN"/>
              </w:rPr>
              <w:t xml:space="preserve">New H3C </w:t>
            </w:r>
          </w:p>
        </w:tc>
        <w:tc>
          <w:tcPr>
            <w:tcW w:w="8402" w:type="dxa"/>
            <w:vAlign w:val="center"/>
          </w:tcPr>
          <w:p w14:paraId="2F02989C" w14:textId="77777777" w:rsidR="00C83AF6" w:rsidRDefault="0000520D">
            <w:pPr>
              <w:rPr>
                <w:bCs/>
              </w:rPr>
            </w:pPr>
            <w:r>
              <w:rPr>
                <w:rFonts w:hint="eastAsia"/>
                <w:bCs/>
                <w:lang w:eastAsia="zh-CN"/>
              </w:rPr>
              <w:t>OK</w:t>
            </w:r>
          </w:p>
        </w:tc>
      </w:tr>
      <w:tr w:rsidR="00D6195B" w14:paraId="0468472D" w14:textId="77777777" w:rsidTr="00B27E26">
        <w:tc>
          <w:tcPr>
            <w:tcW w:w="1555" w:type="dxa"/>
          </w:tcPr>
          <w:p w14:paraId="66B9E407" w14:textId="72560C38" w:rsidR="00D6195B" w:rsidRDefault="00D6195B" w:rsidP="00D6195B">
            <w:pPr>
              <w:rPr>
                <w:bCs/>
                <w:lang w:eastAsia="zh-CN"/>
              </w:rPr>
            </w:pPr>
            <w:r w:rsidRPr="00062DF3">
              <w:rPr>
                <w:bCs/>
              </w:rPr>
              <w:t>Nokia</w:t>
            </w:r>
          </w:p>
        </w:tc>
        <w:tc>
          <w:tcPr>
            <w:tcW w:w="8402" w:type="dxa"/>
          </w:tcPr>
          <w:p w14:paraId="046DD3F0" w14:textId="6A1FC51D" w:rsidR="00D6195B" w:rsidRDefault="00D6195B" w:rsidP="00D6195B">
            <w:pPr>
              <w:rPr>
                <w:bCs/>
                <w:lang w:eastAsia="zh-CN"/>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lang w:val="en-US" w:eastAsia="zh-CN"/>
              </w:rPr>
              <w:t>Sony</w:t>
            </w:r>
          </w:p>
        </w:tc>
        <w:tc>
          <w:tcPr>
            <w:tcW w:w="8402" w:type="dxa"/>
          </w:tcPr>
          <w:p w14:paraId="757BF558" w14:textId="77777777" w:rsidR="00B27E26" w:rsidRDefault="00B27E26" w:rsidP="00E15D08">
            <w:pPr>
              <w:rPr>
                <w:bCs/>
              </w:rPr>
            </w:pPr>
            <w:r>
              <w:rPr>
                <w:bCs/>
                <w:lang w:val="en-US" w:eastAsia="zh-CN"/>
              </w:rPr>
              <w:t>The proposal suggested to “further discuss” the need to support separate power control.  We can support further discussions on this aspect.</w:t>
            </w:r>
          </w:p>
        </w:tc>
      </w:tr>
    </w:tbl>
    <w:p w14:paraId="136EBA08" w14:textId="77777777" w:rsidR="00C83AF6" w:rsidRDefault="00C83AF6">
      <w:pPr>
        <w:spacing w:before="120"/>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 xml:space="preserve">The first concern: if this concern seems about WID, out of scope per WID description that “Specify SBFD operation to support random access in SBFD </w:t>
            </w:r>
            <w:r w:rsidRPr="00581840">
              <w:rPr>
                <w:rFonts w:eastAsia="Malgun Gothic" w:cstheme="minorHAnsi"/>
                <w:bCs/>
                <w:lang w:val="en-US"/>
              </w:rPr>
              <w:lastRenderedPageBreak/>
              <w:t>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ListParagraph"/>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lang w:eastAsia="zh-CN"/>
              </w:rPr>
              <w:t xml:space="preserve">New H3C </w:t>
            </w:r>
          </w:p>
        </w:tc>
        <w:tc>
          <w:tcPr>
            <w:tcW w:w="8402" w:type="dxa"/>
            <w:vAlign w:val="center"/>
          </w:tcPr>
          <w:p w14:paraId="324BB9F7" w14:textId="77777777" w:rsidR="00C83AF6" w:rsidRDefault="0000520D">
            <w:pPr>
              <w:rPr>
                <w:bCs/>
              </w:rPr>
            </w:pPr>
            <w:r>
              <w:rPr>
                <w:rFonts w:hint="eastAsia"/>
                <w:bCs/>
                <w:lang w:eastAsia="zh-CN"/>
              </w:rPr>
              <w:t>OK</w:t>
            </w:r>
          </w:p>
        </w:tc>
      </w:tr>
      <w:tr w:rsidR="00D6195B" w14:paraId="40563209" w14:textId="77777777" w:rsidTr="00B27E26">
        <w:tc>
          <w:tcPr>
            <w:tcW w:w="1555" w:type="dxa"/>
            <w:vAlign w:val="center"/>
          </w:tcPr>
          <w:p w14:paraId="6FB26132" w14:textId="75E88C6B" w:rsidR="00D6195B" w:rsidRDefault="00D6195B" w:rsidP="00D6195B">
            <w:pPr>
              <w:rPr>
                <w:bCs/>
                <w:lang w:eastAsia="zh-CN"/>
              </w:rPr>
            </w:pPr>
            <w:r w:rsidRPr="00062DF3">
              <w:rPr>
                <w:rFonts w:eastAsia="Malgun Gothic"/>
                <w:bCs/>
              </w:rPr>
              <w:t>Nokia</w:t>
            </w:r>
          </w:p>
        </w:tc>
        <w:tc>
          <w:tcPr>
            <w:tcW w:w="8402" w:type="dxa"/>
            <w:vAlign w:val="center"/>
          </w:tcPr>
          <w:p w14:paraId="2947BE24" w14:textId="755FE0CD" w:rsidR="00D6195B" w:rsidRDefault="00D6195B" w:rsidP="00D6195B">
            <w:pPr>
              <w:rPr>
                <w:bCs/>
                <w:lang w:eastAsia="zh-CN"/>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lang w:val="en-US" w:eastAsia="zh-CN"/>
              </w:rPr>
              <w:t>Sony</w:t>
            </w:r>
          </w:p>
        </w:tc>
        <w:tc>
          <w:tcPr>
            <w:tcW w:w="8402" w:type="dxa"/>
          </w:tcPr>
          <w:p w14:paraId="390D464F" w14:textId="77777777" w:rsidR="00B27E26" w:rsidRDefault="00B27E26" w:rsidP="00E15D08">
            <w:pPr>
              <w:rPr>
                <w:bCs/>
              </w:rPr>
            </w:pPr>
            <w:r>
              <w:rPr>
                <w:bCs/>
                <w:lang w:val="en-US" w:eastAsia="zh-CN"/>
              </w:rPr>
              <w:t>Not support.  The main argument is “collision” with legacy RO in UL slot.  This is something that can be easily solved with gNB configuration.  This issue is small and does not justify denying more RO resources in UL slot for SBFD UE.</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lang w:eastAsia="zh-CN"/>
              </w:rPr>
              <w:t xml:space="preserve">New H3C </w:t>
            </w:r>
          </w:p>
        </w:tc>
        <w:tc>
          <w:tcPr>
            <w:tcW w:w="8402" w:type="dxa"/>
            <w:vAlign w:val="center"/>
          </w:tcPr>
          <w:p w14:paraId="7E2D63C8" w14:textId="77777777" w:rsidR="00C83AF6" w:rsidRDefault="0000520D">
            <w:pPr>
              <w:rPr>
                <w:bCs/>
              </w:rPr>
            </w:pPr>
            <w:r>
              <w:rPr>
                <w:rFonts w:hint="eastAsia"/>
                <w:bCs/>
                <w:lang w:eastAsia="zh-CN"/>
              </w:rPr>
              <w:t>OK</w:t>
            </w:r>
          </w:p>
        </w:tc>
      </w:tr>
      <w:tr w:rsidR="00D6195B" w14:paraId="4D3F78BB" w14:textId="77777777" w:rsidTr="00B27E26">
        <w:tc>
          <w:tcPr>
            <w:tcW w:w="1555" w:type="dxa"/>
            <w:vAlign w:val="center"/>
          </w:tcPr>
          <w:p w14:paraId="35B4CECE" w14:textId="0830A7F2" w:rsidR="00D6195B" w:rsidRDefault="00D6195B" w:rsidP="00D6195B">
            <w:pPr>
              <w:rPr>
                <w:bCs/>
                <w:lang w:eastAsia="zh-CN"/>
              </w:rPr>
            </w:pPr>
            <w:r w:rsidRPr="00062DF3">
              <w:rPr>
                <w:rFonts w:eastAsia="Malgun Gothic"/>
                <w:bCs/>
              </w:rPr>
              <w:t>Nokia</w:t>
            </w:r>
          </w:p>
        </w:tc>
        <w:tc>
          <w:tcPr>
            <w:tcW w:w="8402" w:type="dxa"/>
            <w:vAlign w:val="center"/>
          </w:tcPr>
          <w:p w14:paraId="746E79B1" w14:textId="4DA7A024" w:rsidR="00D6195B" w:rsidRDefault="00D6195B" w:rsidP="00D6195B">
            <w:pPr>
              <w:rPr>
                <w:bCs/>
                <w:lang w:eastAsia="zh-CN"/>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lang w:val="en-US" w:eastAsia="zh-CN"/>
              </w:rPr>
              <w:t>Sony</w:t>
            </w:r>
          </w:p>
        </w:tc>
        <w:tc>
          <w:tcPr>
            <w:tcW w:w="8402" w:type="dxa"/>
          </w:tcPr>
          <w:p w14:paraId="6D862D6F" w14:textId="77777777" w:rsidR="00B27E26" w:rsidRDefault="00B27E26" w:rsidP="00E15D08">
            <w:pPr>
              <w:rPr>
                <w:bCs/>
              </w:rPr>
            </w:pPr>
            <w:r>
              <w:rPr>
                <w:bCs/>
                <w:lang w:val="en-US" w:eastAsia="zh-CN"/>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r>
              <w:t>InterDigital</w:t>
            </w:r>
          </w:p>
        </w:tc>
        <w:tc>
          <w:tcPr>
            <w:tcW w:w="8402"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lang w:eastAsia="zh-CN"/>
              </w:rPr>
              <w:t xml:space="preserve">New H3C </w:t>
            </w:r>
          </w:p>
        </w:tc>
        <w:tc>
          <w:tcPr>
            <w:tcW w:w="8402" w:type="dxa"/>
            <w:vAlign w:val="center"/>
          </w:tcPr>
          <w:p w14:paraId="10C44B11" w14:textId="77777777" w:rsidR="00C83AF6" w:rsidRDefault="0000520D">
            <w:pPr>
              <w:rPr>
                <w:bCs/>
              </w:rPr>
            </w:pPr>
            <w:r>
              <w:rPr>
                <w:rFonts w:hint="eastAsia"/>
                <w:bCs/>
                <w:lang w:eastAsia="zh-CN"/>
              </w:rPr>
              <w:t>OK</w:t>
            </w:r>
          </w:p>
        </w:tc>
      </w:tr>
      <w:tr w:rsidR="00D6195B" w14:paraId="7D8EE09B" w14:textId="77777777" w:rsidTr="00B27E26">
        <w:tc>
          <w:tcPr>
            <w:tcW w:w="1555" w:type="dxa"/>
          </w:tcPr>
          <w:p w14:paraId="4C3D81CE" w14:textId="347FB2B3" w:rsidR="00D6195B" w:rsidRDefault="00D6195B" w:rsidP="00D6195B">
            <w:pPr>
              <w:rPr>
                <w:bCs/>
                <w:lang w:eastAsia="zh-CN"/>
              </w:rPr>
            </w:pPr>
            <w:r w:rsidRPr="00062DF3">
              <w:rPr>
                <w:bCs/>
              </w:rPr>
              <w:t>Nokia</w:t>
            </w:r>
          </w:p>
        </w:tc>
        <w:tc>
          <w:tcPr>
            <w:tcW w:w="8402" w:type="dxa"/>
          </w:tcPr>
          <w:p w14:paraId="6EA9A795" w14:textId="21F74257" w:rsidR="00D6195B" w:rsidRDefault="00D6195B" w:rsidP="00D6195B">
            <w:pPr>
              <w:rPr>
                <w:bCs/>
                <w:lang w:eastAsia="zh-CN"/>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lastRenderedPageBreak/>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r>
              <w:t>InterDigital</w:t>
            </w:r>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lang w:eastAsia="zh-CN"/>
              </w:rPr>
              <w:t xml:space="preserve">New H3C </w:t>
            </w:r>
          </w:p>
        </w:tc>
        <w:tc>
          <w:tcPr>
            <w:tcW w:w="8402" w:type="dxa"/>
            <w:vAlign w:val="center"/>
          </w:tcPr>
          <w:p w14:paraId="2FE7603A" w14:textId="77777777" w:rsidR="00C83AF6" w:rsidRDefault="0000520D">
            <w:pPr>
              <w:rPr>
                <w:bCs/>
              </w:rPr>
            </w:pPr>
            <w:r>
              <w:rPr>
                <w:rFonts w:hint="eastAsia"/>
                <w:bCs/>
                <w:lang w:eastAsia="zh-CN"/>
              </w:rPr>
              <w:t>OK</w:t>
            </w:r>
          </w:p>
        </w:tc>
      </w:tr>
      <w:tr w:rsidR="00D6195B" w14:paraId="0E40B4D1" w14:textId="77777777" w:rsidTr="00B27E26">
        <w:tc>
          <w:tcPr>
            <w:tcW w:w="1555" w:type="dxa"/>
          </w:tcPr>
          <w:p w14:paraId="1D41BAB0" w14:textId="004F166C" w:rsidR="00D6195B" w:rsidRDefault="00D6195B" w:rsidP="00D6195B">
            <w:pPr>
              <w:rPr>
                <w:bCs/>
                <w:lang w:eastAsia="zh-CN"/>
              </w:rPr>
            </w:pPr>
            <w:r w:rsidRPr="00062DF3">
              <w:rPr>
                <w:bCs/>
              </w:rPr>
              <w:t>Nokia</w:t>
            </w:r>
          </w:p>
        </w:tc>
        <w:tc>
          <w:tcPr>
            <w:tcW w:w="8402" w:type="dxa"/>
          </w:tcPr>
          <w:p w14:paraId="7DA3C16F" w14:textId="751BD458" w:rsidR="00D6195B" w:rsidRDefault="00D6195B" w:rsidP="00D6195B">
            <w:pPr>
              <w:rPr>
                <w:bCs/>
                <w:lang w:eastAsia="zh-CN"/>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w:t>
            </w:r>
            <w:r>
              <w:rPr>
                <w:rFonts w:eastAsia="Malgun Gothic"/>
                <w:bCs/>
              </w:rPr>
              <w:lastRenderedPageBreak/>
              <w:t xml:space="preserve">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lang w:val="en-US" w:eastAsia="zh-CN"/>
              </w:rPr>
              <w:lastRenderedPageBreak/>
              <w:t>Sony</w:t>
            </w:r>
            <w:r>
              <w:rPr>
                <w:rFonts w:hint="eastAsia"/>
                <w:bCs/>
                <w:lang w:val="en-US" w:eastAsia="zh-CN"/>
              </w:rPr>
              <w:t xml:space="preserve"> </w:t>
            </w:r>
          </w:p>
        </w:tc>
        <w:tc>
          <w:tcPr>
            <w:tcW w:w="8402" w:type="dxa"/>
          </w:tcPr>
          <w:p w14:paraId="51C5407F" w14:textId="77777777" w:rsidR="00B27E26" w:rsidRDefault="00B27E26" w:rsidP="00E15D08">
            <w:pPr>
              <w:rPr>
                <w:bCs/>
              </w:rPr>
            </w:pPr>
            <w:r>
              <w:rPr>
                <w:bCs/>
                <w:lang w:val="en-US" w:eastAsia="zh-CN"/>
              </w:rPr>
              <w:t>Support.  For FR1, Alt 1 and Alt 2 can both be supported.</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r>
              <w:t>InterDigital</w:t>
            </w:r>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lastRenderedPageBreak/>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lang w:eastAsia="zh-CN"/>
              </w:rPr>
              <w:lastRenderedPageBreak/>
              <w:t xml:space="preserve">New H3C </w:t>
            </w:r>
          </w:p>
        </w:tc>
        <w:tc>
          <w:tcPr>
            <w:tcW w:w="8402" w:type="dxa"/>
            <w:vAlign w:val="center"/>
          </w:tcPr>
          <w:p w14:paraId="173BFA66" w14:textId="77777777" w:rsidR="00C83AF6" w:rsidRDefault="0000520D">
            <w:pPr>
              <w:rPr>
                <w:bCs/>
              </w:rPr>
            </w:pPr>
            <w:r>
              <w:rPr>
                <w:rFonts w:hint="eastAsia"/>
                <w:bCs/>
                <w:lang w:eastAsia="zh-CN"/>
              </w:rPr>
              <w:t>OK</w:t>
            </w:r>
          </w:p>
        </w:tc>
      </w:tr>
      <w:tr w:rsidR="00D6195B" w14:paraId="04850450" w14:textId="77777777" w:rsidTr="00B27E26">
        <w:tc>
          <w:tcPr>
            <w:tcW w:w="1555" w:type="dxa"/>
          </w:tcPr>
          <w:p w14:paraId="37B9E689" w14:textId="76A886CE" w:rsidR="00D6195B" w:rsidRDefault="00D6195B" w:rsidP="00D6195B">
            <w:pPr>
              <w:rPr>
                <w:bCs/>
                <w:lang w:eastAsia="zh-CN"/>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lang w:val="en-US" w:eastAsia="zh-CN"/>
              </w:rPr>
              <w:t>Sony</w:t>
            </w:r>
            <w:r>
              <w:rPr>
                <w:rFonts w:hint="eastAsia"/>
                <w:bCs/>
                <w:lang w:val="en-US" w:eastAsia="zh-CN"/>
              </w:rPr>
              <w:t xml:space="preserve"> </w:t>
            </w:r>
          </w:p>
        </w:tc>
        <w:tc>
          <w:tcPr>
            <w:tcW w:w="8402" w:type="dxa"/>
          </w:tcPr>
          <w:p w14:paraId="6FEEBFD1" w14:textId="77777777" w:rsidR="00B27E26" w:rsidRDefault="00B27E26" w:rsidP="00E15D08">
            <w:pPr>
              <w:rPr>
                <w:bCs/>
              </w:rPr>
            </w:pPr>
            <w:r>
              <w:rPr>
                <w:bCs/>
                <w:lang w:val="en-US" w:eastAsia="zh-CN"/>
              </w:rPr>
              <w:t>Support.  This is naturally supported since we have a separate configuration for SBFD RO.</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t>Issue#1-2: PRACH transmission procedure (4-step RA)</w:t>
      </w:r>
    </w:p>
    <w:p w14:paraId="41FFB0EE" w14:textId="77777777" w:rsidR="00C83AF6" w:rsidRDefault="0000520D">
      <w:pPr>
        <w:pStyle w:val="Heading3"/>
        <w:spacing w:before="120"/>
      </w:pPr>
      <w:r>
        <w:t>Submitted 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SimSun" w:cs="Times New Roman"/>
                <w:b/>
                <w:szCs w:val="20"/>
                <w:lang w:val="en-US" w:eastAsia="ko-KR"/>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387" w:hangingChars="567" w:hanging="1387"/>
              <w:rPr>
                <w:rFonts w:cs="Times New Roman"/>
                <w:b/>
                <w:szCs w:val="20"/>
              </w:rPr>
            </w:pPr>
            <w:r>
              <w:rPr>
                <w:rFonts w:cs="Times New Roman"/>
                <w:b/>
                <w:szCs w:val="20"/>
              </w:rPr>
              <w:lastRenderedPageBreak/>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lastRenderedPageBreak/>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lastRenderedPageBreak/>
        <w:t>PRACH resource selection</w:t>
      </w:r>
    </w:p>
    <w:tbl>
      <w:tblPr>
        <w:tblStyle w:val="TableGrid"/>
        <w:tblW w:w="0" w:type="auto"/>
        <w:tblLook w:val="04A0" w:firstRow="1" w:lastRow="0" w:firstColumn="1" w:lastColumn="0" w:noHBand="0" w:noVBand="1"/>
      </w:tblPr>
      <w:tblGrid>
        <w:gridCol w:w="1306"/>
        <w:gridCol w:w="8656"/>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lastRenderedPageBreak/>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w:t>
            </w:r>
            <w:r w:rsidRPr="00581840">
              <w:rPr>
                <w:rFonts w:cs="Times New Roman"/>
                <w:b/>
                <w:color w:val="000000"/>
                <w:szCs w:val="20"/>
                <w:lang w:val="en-US" w:eastAsia="ko-KR"/>
              </w:rPr>
              <w:t xml:space="preserve">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lastRenderedPageBreak/>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4"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526" w:firstLine="0"/>
        <w:rPr>
          <w:i/>
          <w:iCs/>
          <w:lang w:val="en-US"/>
        </w:rPr>
      </w:pPr>
      <w:r w:rsidRPr="00581840">
        <w:rPr>
          <w:b/>
          <w:bCs/>
          <w:lang w:val="en-US"/>
        </w:rPr>
        <w:lastRenderedPageBreak/>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ListParagraph"/>
        <w:numPr>
          <w:ilvl w:val="1"/>
          <w:numId w:val="132"/>
        </w:numPr>
        <w:spacing w:before="120"/>
        <w:ind w:leftChars="219" w:left="526"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ListParagraph"/>
        <w:numPr>
          <w:ilvl w:val="1"/>
          <w:numId w:val="132"/>
        </w:numPr>
        <w:spacing w:before="120"/>
        <w:ind w:leftChars="219" w:left="526"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4"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lastRenderedPageBreak/>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r>
              <w:t>InterDigital</w:t>
            </w:r>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 xml:space="preserve">There are many conditions for ROs in one RO group, e.g. ROs in one RO group </w:t>
            </w:r>
            <w:r>
              <w:rPr>
                <w:bCs/>
              </w:rPr>
              <w:lastRenderedPageBreak/>
              <w:t>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lang w:eastAsia="zh-CN"/>
              </w:rPr>
              <w:lastRenderedPageBreak/>
              <w:t xml:space="preserve">New H3C </w:t>
            </w:r>
          </w:p>
        </w:tc>
        <w:tc>
          <w:tcPr>
            <w:tcW w:w="8402" w:type="dxa"/>
            <w:vAlign w:val="center"/>
          </w:tcPr>
          <w:p w14:paraId="625216D9" w14:textId="77777777" w:rsidR="00C83AF6" w:rsidRDefault="0000520D">
            <w:pPr>
              <w:rPr>
                <w:bCs/>
              </w:rPr>
            </w:pPr>
            <w:r>
              <w:rPr>
                <w:rFonts w:hint="eastAsia"/>
                <w:bCs/>
                <w:lang w:eastAsia="zh-CN"/>
              </w:rPr>
              <w:t>OK</w:t>
            </w:r>
          </w:p>
        </w:tc>
      </w:tr>
      <w:tr w:rsidR="00D6195B" w14:paraId="66E547A5" w14:textId="77777777" w:rsidTr="00B27E26">
        <w:tc>
          <w:tcPr>
            <w:tcW w:w="1555" w:type="dxa"/>
          </w:tcPr>
          <w:p w14:paraId="26339CE2" w14:textId="25715106" w:rsidR="00D6195B" w:rsidRDefault="00D6195B" w:rsidP="00D6195B">
            <w:pPr>
              <w:rPr>
                <w:bCs/>
                <w:lang w:eastAsia="zh-CN"/>
              </w:rPr>
            </w:pPr>
            <w:r>
              <w:rPr>
                <w:bCs/>
              </w:rPr>
              <w:t>Nokia</w:t>
            </w:r>
          </w:p>
        </w:tc>
        <w:tc>
          <w:tcPr>
            <w:tcW w:w="8402" w:type="dxa"/>
          </w:tcPr>
          <w:p w14:paraId="2516631E" w14:textId="073E1738" w:rsidR="00D6195B" w:rsidRDefault="00D6195B" w:rsidP="00D6195B">
            <w:pPr>
              <w:rPr>
                <w:bCs/>
                <w:lang w:eastAsia="zh-CN"/>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lang w:val="en-US" w:eastAsia="zh-CN"/>
              </w:rPr>
              <w:t>Sony</w:t>
            </w:r>
            <w:r>
              <w:rPr>
                <w:rFonts w:hint="eastAsia"/>
                <w:bCs/>
                <w:lang w:val="en-US" w:eastAsia="zh-CN"/>
              </w:rPr>
              <w:t xml:space="preserve"> </w:t>
            </w:r>
          </w:p>
        </w:tc>
        <w:tc>
          <w:tcPr>
            <w:tcW w:w="8402" w:type="dxa"/>
          </w:tcPr>
          <w:p w14:paraId="18C77A5B" w14:textId="77777777" w:rsidR="00B27E26" w:rsidRDefault="00B27E26" w:rsidP="00E15D08">
            <w:pPr>
              <w:rPr>
                <w:bCs/>
              </w:rPr>
            </w:pPr>
            <w:r>
              <w:rPr>
                <w:bCs/>
                <w:lang w:val="en-US" w:eastAsia="zh-CN"/>
              </w:rPr>
              <w:t>Support.  We are also supportive of repetitions across SBFD and non-SBFD as it can reduce latency significantly, which is the objective of this WI.</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lastRenderedPageBreak/>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lastRenderedPageBreak/>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lastRenderedPageBreak/>
              <w:t>PO configuration and valid determination in the UL subband of SBFD symbols</w:t>
            </w:r>
          </w:p>
          <w:p w14:paraId="2B3DBE9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ListParagraph"/>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lastRenderedPageBreak/>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lastRenderedPageBreak/>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lastRenderedPageBreak/>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lastRenderedPageBreak/>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lastRenderedPageBreak/>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lastRenderedPageBreak/>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lastRenderedPageBreak/>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lastRenderedPageBreak/>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lastRenderedPageBreak/>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w:t>
            </w:r>
            <w:r w:rsidRPr="00581840">
              <w:rPr>
                <w:bCs/>
                <w:lang w:val="en-US"/>
              </w:rPr>
              <w:lastRenderedPageBreak/>
              <w:t xml:space="preserve">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r>
              <w:t>InterDigital</w:t>
            </w:r>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lastRenderedPageBreak/>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bl>
    <w:p w14:paraId="0483681E" w14:textId="77777777" w:rsidR="00C83AF6" w:rsidRDefault="00C83AF6">
      <w:pPr>
        <w:spacing w:before="120" w:afterLines="50" w:after="120"/>
      </w:pPr>
    </w:p>
    <w:p w14:paraId="403E0C22" w14:textId="77777777" w:rsidR="00C83AF6" w:rsidRDefault="0000520D">
      <w:pPr>
        <w:pStyle w:val="Heading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lastRenderedPageBreak/>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t>Issue#2-3: Additional enhancements to support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lastRenderedPageBreak/>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ListParagraph"/>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lastRenderedPageBreak/>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Hyperlink"/>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0000">
            <w:pPr>
              <w:spacing w:before="120"/>
            </w:pPr>
            <w:hyperlink r:id="rId23" w:history="1">
              <w:r w:rsidR="0000520D">
                <w:rPr>
                  <w:rStyle w:val="Hyperlink"/>
                </w:rPr>
                <w:t>asalah@google.com</w:t>
              </w:r>
            </w:hyperlink>
          </w:p>
          <w:p w14:paraId="22B00AFF" w14:textId="77777777" w:rsidR="00C83AF6" w:rsidRDefault="00000000">
            <w:pPr>
              <w:spacing w:before="120"/>
            </w:pPr>
            <w:hyperlink r:id="rId24" w:history="1">
              <w:r w:rsidR="0000520D">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Hyperlink"/>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Hyperlink"/>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Hyperlink"/>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Hyperlink"/>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Hyperlink"/>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Hyperlink"/>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lastRenderedPageBreak/>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sidR="0000520D">
                <w:rPr>
                  <w:rStyle w:val="Hyperlink"/>
                  <w:rFonts w:hint="eastAsia"/>
                </w:rPr>
                <w:t>h</w:t>
              </w:r>
              <w:r w:rsidR="0000520D">
                <w:rPr>
                  <w:rStyle w:val="Hyperlink"/>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sidR="0000520D">
                <w:rPr>
                  <w:rStyle w:val="Hyperlink"/>
                  <w:rFonts w:eastAsia="Malgun Gothic"/>
                </w:rPr>
                <w:t>M</w:t>
              </w:r>
              <w:r w:rsidR="0000520D">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lastRenderedPageBreak/>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Heading1"/>
      </w:pPr>
      <w:r>
        <w:lastRenderedPageBreak/>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lastRenderedPageBreak/>
        <w:t>improved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w:t>
      </w:r>
      <w:r>
        <w:rPr>
          <w:szCs w:val="20"/>
        </w:rPr>
        <w:lastRenderedPageBreak/>
        <w:t xml:space="preserve">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lastRenderedPageBreak/>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4DE8" w14:textId="77777777" w:rsidR="00065093" w:rsidRDefault="00065093">
      <w:r>
        <w:separator/>
      </w:r>
    </w:p>
  </w:endnote>
  <w:endnote w:type="continuationSeparator" w:id="0">
    <w:p w14:paraId="085C5808" w14:textId="77777777" w:rsidR="00065093" w:rsidRDefault="0006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604020202020204"/>
    <w:charset w:val="86"/>
    <w:family w:val="swiss"/>
    <w:pitch w:val="default"/>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TimesNewRomanPSMT">
    <w:altName w:val="Times New Roman"/>
    <w:panose1 w:val="020B0604020202020204"/>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KaiTi_GB2312">
    <w:altName w:val="楷体_GB2312"/>
    <w:panose1 w:val="020B0604020202020204"/>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panose1 w:val="020B0604020202020204"/>
    <w:charset w:val="00"/>
    <w:family w:val="roman"/>
    <w:pitch w:val="default"/>
  </w:font>
  <w:font w:name="Liberation Sans">
    <w:altName w:val="Arial"/>
    <w:panose1 w:val="020B0604020202020204"/>
    <w:charset w:val="01"/>
    <w:family w:val="swiss"/>
    <w:pitch w:val="default"/>
  </w:font>
  <w:font w:name="Noto Sans CJK SC">
    <w:altName w:val="SimSu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Ericsson Hilda">
    <w:altName w:val="Calibri"/>
    <w:panose1 w:val="020B0604020202020204"/>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E08" w14:textId="77777777" w:rsidR="00065093" w:rsidRDefault="00065093">
      <w:r>
        <w:separator/>
      </w:r>
    </w:p>
  </w:footnote>
  <w:footnote w:type="continuationSeparator" w:id="0">
    <w:p w14:paraId="138DC30B" w14:textId="77777777" w:rsidR="00065093" w:rsidRDefault="0006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140612342">
    <w:abstractNumId w:val="122"/>
  </w:num>
  <w:num w:numId="2" w16cid:durableId="288126553">
    <w:abstractNumId w:val="54"/>
  </w:num>
  <w:num w:numId="3" w16cid:durableId="1764763520">
    <w:abstractNumId w:val="47"/>
  </w:num>
  <w:num w:numId="4" w16cid:durableId="1090390694">
    <w:abstractNumId w:val="69"/>
  </w:num>
  <w:num w:numId="5" w16cid:durableId="186450305">
    <w:abstractNumId w:val="88"/>
  </w:num>
  <w:num w:numId="6" w16cid:durableId="318773784">
    <w:abstractNumId w:val="94"/>
  </w:num>
  <w:num w:numId="7" w16cid:durableId="761217423">
    <w:abstractNumId w:val="151"/>
  </w:num>
  <w:num w:numId="8" w16cid:durableId="1365523328">
    <w:abstractNumId w:val="96"/>
  </w:num>
  <w:num w:numId="9" w16cid:durableId="983704380">
    <w:abstractNumId w:val="141"/>
  </w:num>
  <w:num w:numId="10" w16cid:durableId="1155226065">
    <w:abstractNumId w:val="79"/>
  </w:num>
  <w:num w:numId="11" w16cid:durableId="890189286">
    <w:abstractNumId w:val="116"/>
  </w:num>
  <w:num w:numId="12" w16cid:durableId="271328023">
    <w:abstractNumId w:val="91"/>
  </w:num>
  <w:num w:numId="13" w16cid:durableId="360129920">
    <w:abstractNumId w:val="52"/>
  </w:num>
  <w:num w:numId="14" w16cid:durableId="924073292">
    <w:abstractNumId w:val="133"/>
  </w:num>
  <w:num w:numId="15" w16cid:durableId="74016632">
    <w:abstractNumId w:val="82"/>
  </w:num>
  <w:num w:numId="16" w16cid:durableId="1816675557">
    <w:abstractNumId w:val="147"/>
  </w:num>
  <w:num w:numId="17" w16cid:durableId="829980110">
    <w:abstractNumId w:val="136"/>
  </w:num>
  <w:num w:numId="18" w16cid:durableId="2101950905">
    <w:abstractNumId w:val="146"/>
  </w:num>
  <w:num w:numId="19" w16cid:durableId="659189366">
    <w:abstractNumId w:val="105"/>
  </w:num>
  <w:num w:numId="20" w16cid:durableId="1691687303">
    <w:abstractNumId w:val="102"/>
  </w:num>
  <w:num w:numId="21" w16cid:durableId="7026310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981513">
    <w:abstractNumId w:val="152"/>
  </w:num>
  <w:num w:numId="23" w16cid:durableId="1620456050">
    <w:abstractNumId w:val="10"/>
  </w:num>
  <w:num w:numId="24" w16cid:durableId="11647825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6898289">
    <w:abstractNumId w:val="30"/>
  </w:num>
  <w:num w:numId="26" w16cid:durableId="1511602290">
    <w:abstractNumId w:val="148"/>
  </w:num>
  <w:num w:numId="27" w16cid:durableId="1637837237">
    <w:abstractNumId w:val="70"/>
  </w:num>
  <w:num w:numId="28" w16cid:durableId="479230047">
    <w:abstractNumId w:val="32"/>
  </w:num>
  <w:num w:numId="29" w16cid:durableId="578641422">
    <w:abstractNumId w:val="109"/>
  </w:num>
  <w:num w:numId="30" w16cid:durableId="175116330">
    <w:abstractNumId w:val="1"/>
  </w:num>
  <w:num w:numId="31" w16cid:durableId="1431656992">
    <w:abstractNumId w:val="119"/>
  </w:num>
  <w:num w:numId="32" w16cid:durableId="1492524622">
    <w:abstractNumId w:val="66"/>
  </w:num>
  <w:num w:numId="33" w16cid:durableId="648873539">
    <w:abstractNumId w:val="137"/>
  </w:num>
  <w:num w:numId="34" w16cid:durableId="1138377931">
    <w:abstractNumId w:val="14"/>
  </w:num>
  <w:num w:numId="35" w16cid:durableId="1624075433">
    <w:abstractNumId w:val="37"/>
  </w:num>
  <w:num w:numId="36" w16cid:durableId="1454786107">
    <w:abstractNumId w:val="50"/>
  </w:num>
  <w:num w:numId="37" w16cid:durableId="861473700">
    <w:abstractNumId w:val="148"/>
    <w:lvlOverride w:ilvl="0">
      <w:startOverride w:val="1"/>
    </w:lvlOverride>
  </w:num>
  <w:num w:numId="38" w16cid:durableId="1599826223">
    <w:abstractNumId w:val="53"/>
  </w:num>
  <w:num w:numId="39" w16cid:durableId="388118057">
    <w:abstractNumId w:val="149"/>
  </w:num>
  <w:num w:numId="40" w16cid:durableId="537739148">
    <w:abstractNumId w:val="135"/>
  </w:num>
  <w:num w:numId="41" w16cid:durableId="1377390471">
    <w:abstractNumId w:val="55"/>
  </w:num>
  <w:num w:numId="42" w16cid:durableId="208538904">
    <w:abstractNumId w:val="127"/>
  </w:num>
  <w:num w:numId="43" w16cid:durableId="48454948">
    <w:abstractNumId w:val="31"/>
  </w:num>
  <w:num w:numId="44" w16cid:durableId="1904170701">
    <w:abstractNumId w:val="40"/>
  </w:num>
  <w:num w:numId="45" w16cid:durableId="540702460">
    <w:abstractNumId w:val="28"/>
  </w:num>
  <w:num w:numId="46" w16cid:durableId="334067570">
    <w:abstractNumId w:val="22"/>
  </w:num>
  <w:num w:numId="47" w16cid:durableId="865680396">
    <w:abstractNumId w:val="17"/>
  </w:num>
  <w:num w:numId="48" w16cid:durableId="316690628">
    <w:abstractNumId w:val="20"/>
  </w:num>
  <w:num w:numId="49" w16cid:durableId="1505776969">
    <w:abstractNumId w:val="48"/>
  </w:num>
  <w:num w:numId="50" w16cid:durableId="1019618927">
    <w:abstractNumId w:val="19"/>
  </w:num>
  <w:num w:numId="51" w16cid:durableId="502747232">
    <w:abstractNumId w:val="97"/>
  </w:num>
  <w:num w:numId="52" w16cid:durableId="1072503058">
    <w:abstractNumId w:val="21"/>
  </w:num>
  <w:num w:numId="53" w16cid:durableId="718405812">
    <w:abstractNumId w:val="126"/>
  </w:num>
  <w:num w:numId="54" w16cid:durableId="1111709314">
    <w:abstractNumId w:val="49"/>
  </w:num>
  <w:num w:numId="55" w16cid:durableId="967516340">
    <w:abstractNumId w:val="60"/>
  </w:num>
  <w:num w:numId="56" w16cid:durableId="811099728">
    <w:abstractNumId w:val="24"/>
  </w:num>
  <w:num w:numId="57" w16cid:durableId="534469977">
    <w:abstractNumId w:val="114"/>
  </w:num>
  <w:num w:numId="58" w16cid:durableId="1363438681">
    <w:abstractNumId w:val="86"/>
  </w:num>
  <w:num w:numId="59" w16cid:durableId="585959233">
    <w:abstractNumId w:val="46"/>
  </w:num>
  <w:num w:numId="60" w16cid:durableId="664167808">
    <w:abstractNumId w:val="71"/>
  </w:num>
  <w:num w:numId="61" w16cid:durableId="844825064">
    <w:abstractNumId w:val="68"/>
  </w:num>
  <w:num w:numId="62" w16cid:durableId="1288974172">
    <w:abstractNumId w:val="12"/>
  </w:num>
  <w:num w:numId="63" w16cid:durableId="1968000212">
    <w:abstractNumId w:val="140"/>
  </w:num>
  <w:num w:numId="64" w16cid:durableId="676806687">
    <w:abstractNumId w:val="58"/>
  </w:num>
  <w:num w:numId="65" w16cid:durableId="1962686892">
    <w:abstractNumId w:val="101"/>
  </w:num>
  <w:num w:numId="66" w16cid:durableId="698774217">
    <w:abstractNumId w:val="131"/>
  </w:num>
  <w:num w:numId="67" w16cid:durableId="1471480349">
    <w:abstractNumId w:val="121"/>
  </w:num>
  <w:num w:numId="68" w16cid:durableId="1745376079">
    <w:abstractNumId w:val="35"/>
  </w:num>
  <w:num w:numId="69" w16cid:durableId="1150446001">
    <w:abstractNumId w:val="16"/>
  </w:num>
  <w:num w:numId="70" w16cid:durableId="1736119632">
    <w:abstractNumId w:val="78"/>
  </w:num>
  <w:num w:numId="71" w16cid:durableId="1556088611">
    <w:abstractNumId w:val="51"/>
  </w:num>
  <w:num w:numId="72" w16cid:durableId="959726309">
    <w:abstractNumId w:val="33"/>
  </w:num>
  <w:num w:numId="73" w16cid:durableId="689137444">
    <w:abstractNumId w:val="13"/>
  </w:num>
  <w:num w:numId="74" w16cid:durableId="984240984">
    <w:abstractNumId w:val="138"/>
  </w:num>
  <w:num w:numId="75" w16cid:durableId="1363508005">
    <w:abstractNumId w:val="112"/>
  </w:num>
  <w:num w:numId="76" w16cid:durableId="2106488875">
    <w:abstractNumId w:val="81"/>
  </w:num>
  <w:num w:numId="77" w16cid:durableId="1396930490">
    <w:abstractNumId w:val="8"/>
  </w:num>
  <w:num w:numId="78" w16cid:durableId="1446383423">
    <w:abstractNumId w:val="18"/>
  </w:num>
  <w:num w:numId="79" w16cid:durableId="1150368665">
    <w:abstractNumId w:val="7"/>
  </w:num>
  <w:num w:numId="80" w16cid:durableId="1899709206">
    <w:abstractNumId w:val="67"/>
  </w:num>
  <w:num w:numId="81" w16cid:durableId="1396777871">
    <w:abstractNumId w:val="64"/>
  </w:num>
  <w:num w:numId="82" w16cid:durableId="355928010">
    <w:abstractNumId w:val="76"/>
  </w:num>
  <w:num w:numId="83" w16cid:durableId="1903909381">
    <w:abstractNumId w:val="144"/>
  </w:num>
  <w:num w:numId="84" w16cid:durableId="102574203">
    <w:abstractNumId w:val="90"/>
  </w:num>
  <w:num w:numId="85" w16cid:durableId="1921482732">
    <w:abstractNumId w:val="29"/>
  </w:num>
  <w:num w:numId="86" w16cid:durableId="1226912712">
    <w:abstractNumId w:val="65"/>
  </w:num>
  <w:num w:numId="87" w16cid:durableId="1859270704">
    <w:abstractNumId w:val="134"/>
  </w:num>
  <w:num w:numId="88" w16cid:durableId="128592205">
    <w:abstractNumId w:val="123"/>
  </w:num>
  <w:num w:numId="89" w16cid:durableId="1400860128">
    <w:abstractNumId w:val="106"/>
  </w:num>
  <w:num w:numId="90" w16cid:durableId="564224412">
    <w:abstractNumId w:val="80"/>
  </w:num>
  <w:num w:numId="91" w16cid:durableId="454521330">
    <w:abstractNumId w:val="4"/>
  </w:num>
  <w:num w:numId="92" w16cid:durableId="1447701896">
    <w:abstractNumId w:val="15"/>
  </w:num>
  <w:num w:numId="93" w16cid:durableId="2024626236">
    <w:abstractNumId w:val="83"/>
  </w:num>
  <w:num w:numId="94" w16cid:durableId="1573538712">
    <w:abstractNumId w:val="142"/>
  </w:num>
  <w:num w:numId="95" w16cid:durableId="1569724560">
    <w:abstractNumId w:val="5"/>
  </w:num>
  <w:num w:numId="96" w16cid:durableId="144905266">
    <w:abstractNumId w:val="125"/>
  </w:num>
  <w:num w:numId="97" w16cid:durableId="33162554">
    <w:abstractNumId w:val="44"/>
  </w:num>
  <w:num w:numId="98" w16cid:durableId="1004935470">
    <w:abstractNumId w:val="75"/>
  </w:num>
  <w:num w:numId="99" w16cid:durableId="1165782410">
    <w:abstractNumId w:val="99"/>
  </w:num>
  <w:num w:numId="100" w16cid:durableId="1357123271">
    <w:abstractNumId w:val="6"/>
  </w:num>
  <w:num w:numId="101" w16cid:durableId="1730691696">
    <w:abstractNumId w:val="95"/>
  </w:num>
  <w:num w:numId="102" w16cid:durableId="1829130216">
    <w:abstractNumId w:val="59"/>
  </w:num>
  <w:num w:numId="103" w16cid:durableId="897323790">
    <w:abstractNumId w:val="73"/>
  </w:num>
  <w:num w:numId="104" w16cid:durableId="955216279">
    <w:abstractNumId w:val="113"/>
  </w:num>
  <w:num w:numId="105" w16cid:durableId="1642419847">
    <w:abstractNumId w:val="100"/>
  </w:num>
  <w:num w:numId="106" w16cid:durableId="724566202">
    <w:abstractNumId w:val="153"/>
  </w:num>
  <w:num w:numId="107" w16cid:durableId="690760972">
    <w:abstractNumId w:val="9"/>
  </w:num>
  <w:num w:numId="108" w16cid:durableId="727996701">
    <w:abstractNumId w:val="103"/>
  </w:num>
  <w:num w:numId="109" w16cid:durableId="2105687690">
    <w:abstractNumId w:val="98"/>
  </w:num>
  <w:num w:numId="110" w16cid:durableId="705255990">
    <w:abstractNumId w:val="139"/>
  </w:num>
  <w:num w:numId="111" w16cid:durableId="1146897292">
    <w:abstractNumId w:val="85"/>
  </w:num>
  <w:num w:numId="112" w16cid:durableId="168983102">
    <w:abstractNumId w:val="34"/>
  </w:num>
  <w:num w:numId="113" w16cid:durableId="1060203264">
    <w:abstractNumId w:val="0"/>
  </w:num>
  <w:num w:numId="114" w16cid:durableId="185869802">
    <w:abstractNumId w:val="124"/>
  </w:num>
  <w:num w:numId="115" w16cid:durableId="1942757583">
    <w:abstractNumId w:val="2"/>
  </w:num>
  <w:num w:numId="116" w16cid:durableId="1299606284">
    <w:abstractNumId w:val="117"/>
  </w:num>
  <w:num w:numId="117" w16cid:durableId="391395596">
    <w:abstractNumId w:val="61"/>
  </w:num>
  <w:num w:numId="118" w16cid:durableId="1288976158">
    <w:abstractNumId w:val="108"/>
  </w:num>
  <w:num w:numId="119" w16cid:durableId="1269315972">
    <w:abstractNumId w:val="130"/>
  </w:num>
  <w:num w:numId="120" w16cid:durableId="1680154696">
    <w:abstractNumId w:val="87"/>
  </w:num>
  <w:num w:numId="121" w16cid:durableId="1791513761">
    <w:abstractNumId w:val="26"/>
  </w:num>
  <w:num w:numId="122" w16cid:durableId="1644314647">
    <w:abstractNumId w:val="150"/>
  </w:num>
  <w:num w:numId="123" w16cid:durableId="325936157">
    <w:abstractNumId w:val="143"/>
  </w:num>
  <w:num w:numId="124" w16cid:durableId="1136147103">
    <w:abstractNumId w:val="23"/>
  </w:num>
  <w:num w:numId="125" w16cid:durableId="1852597221">
    <w:abstractNumId w:val="92"/>
  </w:num>
  <w:num w:numId="126" w16cid:durableId="546642662">
    <w:abstractNumId w:val="74"/>
  </w:num>
  <w:num w:numId="127" w16cid:durableId="1131552703">
    <w:abstractNumId w:val="115"/>
  </w:num>
  <w:num w:numId="128" w16cid:durableId="1514106370">
    <w:abstractNumId w:val="25"/>
  </w:num>
  <w:num w:numId="129" w16cid:durableId="545727439">
    <w:abstractNumId w:val="132"/>
  </w:num>
  <w:num w:numId="130" w16cid:durableId="1876188704">
    <w:abstractNumId w:val="38"/>
  </w:num>
  <w:num w:numId="131" w16cid:durableId="732314232">
    <w:abstractNumId w:val="89"/>
  </w:num>
  <w:num w:numId="132" w16cid:durableId="1068842271">
    <w:abstractNumId w:val="62"/>
  </w:num>
  <w:num w:numId="133" w16cid:durableId="45881133">
    <w:abstractNumId w:val="145"/>
  </w:num>
  <w:num w:numId="134" w16cid:durableId="790438329">
    <w:abstractNumId w:val="42"/>
  </w:num>
  <w:num w:numId="135" w16cid:durableId="941038701">
    <w:abstractNumId w:val="63"/>
  </w:num>
  <w:num w:numId="136" w16cid:durableId="1531796087">
    <w:abstractNumId w:val="39"/>
  </w:num>
  <w:num w:numId="137" w16cid:durableId="2010254309">
    <w:abstractNumId w:val="41"/>
  </w:num>
  <w:num w:numId="138" w16cid:durableId="1147630422">
    <w:abstractNumId w:val="45"/>
  </w:num>
  <w:num w:numId="139" w16cid:durableId="384110447">
    <w:abstractNumId w:val="110"/>
  </w:num>
  <w:num w:numId="140" w16cid:durableId="473062158">
    <w:abstractNumId w:val="107"/>
  </w:num>
  <w:num w:numId="141" w16cid:durableId="1592161288">
    <w:abstractNumId w:val="128"/>
  </w:num>
  <w:num w:numId="142" w16cid:durableId="12300772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4441514">
    <w:abstractNumId w:val="118"/>
  </w:num>
  <w:num w:numId="144" w16cid:durableId="2003002222">
    <w:abstractNumId w:val="27"/>
  </w:num>
  <w:num w:numId="145" w16cid:durableId="1503928779">
    <w:abstractNumId w:val="43"/>
  </w:num>
  <w:num w:numId="146" w16cid:durableId="1466006158">
    <w:abstractNumId w:val="70"/>
    <w:lvlOverride w:ilvl="0">
      <w:startOverride w:val="1"/>
    </w:lvlOverride>
  </w:num>
  <w:num w:numId="147" w16cid:durableId="848788947">
    <w:abstractNumId w:val="11"/>
  </w:num>
  <w:num w:numId="148" w16cid:durableId="1330913851">
    <w:abstractNumId w:val="72"/>
  </w:num>
  <w:num w:numId="149" w16cid:durableId="51124242">
    <w:abstractNumId w:val="56"/>
  </w:num>
  <w:num w:numId="150" w16cid:durableId="237635716">
    <w:abstractNumId w:val="111"/>
  </w:num>
  <w:num w:numId="151" w16cid:durableId="384838124">
    <w:abstractNumId w:val="57"/>
  </w:num>
  <w:num w:numId="152" w16cid:durableId="1177580942">
    <w:abstractNumId w:val="93"/>
  </w:num>
  <w:num w:numId="153" w16cid:durableId="1046756851">
    <w:abstractNumId w:val="77"/>
  </w:num>
  <w:num w:numId="154" w16cid:durableId="449516265">
    <w:abstractNumId w:val="36"/>
  </w:num>
  <w:num w:numId="155" w16cid:durableId="14887783">
    <w:abstractNumId w:val="104"/>
  </w:num>
  <w:num w:numId="156" w16cid:durableId="1326738609">
    <w:abstractNumId w:val="129"/>
  </w:num>
  <w:num w:numId="157" w16cid:durableId="1842232382">
    <w:abstractNumId w:val="122"/>
    <w:lvlOverride w:ilvl="0">
      <w:startOverride w:val="4"/>
    </w:lvlOverride>
  </w:num>
  <w:num w:numId="158" w16cid:durableId="1858764739">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BC"/>
    <w:rPr>
      <w:rFonts w:asciiTheme="minorHAnsi" w:eastAsiaTheme="minorHAnsi" w:hAnsiTheme="minorHAnsi" w:cstheme="minorBidi"/>
      <w:kern w:val="2"/>
      <w:sz w:val="24"/>
      <w:szCs w:val="24"/>
      <w:lang w:val="en-GB"/>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E463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3BC"/>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u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34581</Words>
  <Characters>197118</Characters>
  <Application>Microsoft Office Word</Application>
  <DocSecurity>0</DocSecurity>
  <Lines>1642</Lines>
  <Paragraphs>462</Paragraphs>
  <ScaleCrop>false</ScaleCrop>
  <Company/>
  <LinksUpToDate>false</LinksUpToDate>
  <CharactersWithSpaces>231237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Shin Horng Wong</cp:lastModifiedBy>
  <cp:revision>4</cp:revision>
  <cp:lastPrinted>2014-11-06T03:38:00Z</cp:lastPrinted>
  <dcterms:created xsi:type="dcterms:W3CDTF">2024-05-20T02:55:00Z</dcterms:created>
  <dcterms:modified xsi:type="dcterms:W3CDTF">2024-05-20T03:01:00Z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